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1317427.xml.htm"/>
      <w:bookmarkStart w:id="1" w:name="kswkform3_179131742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Bell Charles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TENABLE HOLDINGS,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MERRIWEATHER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Tenable Holdings, Inc.</w:t>
              </w:r>
            </w:hyperlink>
            <w:r>
              <w:rPr/>
              <w:t xml:space="preserve"> [ </w:t>
            </w:r>
            <w:r>
              <w:rPr>
                <w:rFonts w:ascii="Times;serif" w:hAnsi="Times;serif"/>
                <w:color w:val="0000FF"/>
                <w:sz w:val="24"/>
                <w:shd w:fill="FFFFFF" w:val="clear"/>
              </w:rPr>
              <w:t>TENB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No securities beneficially owned. Exhibit List -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tenableholdings-formofpo.htm"/>
      <w:bookmarkStart w:id="3" w:name="kstenableholdingsformofpo"/>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(For Executing Form ID and Forms 3, 4 and 5) Know all by these presents, that the undersigned hereby constitutes and appoints each of Madison Jones and Jason Minio of Cooley LLP, and Michelle VonderHaar, David Bartholomew, Kelly Kennedy and Isa Clarke of Tenable Holdings, Inc. (the “Company”), signing individually, the undersigned’s true and lawful attorneys-in-fact and agents to: (1) Prepare, execute in the undersigned’s name and on the undersigned’s behalf, and submit to the Securities and Exchange Commission (the “SEC”) a Form ID, 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 (2) Prepare, execute in the undersigned’s name and on the undersigned’s behalf, and submit to the SEC Forms 3, 4 and 5 (including amendments thereto and joint filing agreements in connection therewith) in accordance with Section 16(a) of the Exchange Act and the rules thereunder in the undersigned’s capacity as an officer, director or beneficial owner of more than 10% of a registered class of securities of the Company; (3) Do and perform any and all acts for and on behalf of the undersigned that may be necessary or desirable to prepare and execute any such Form 3, 4 or 5 (including amendments thereto and joint filing agreements in connection therewith) and file such forms with the SEC and any stock exchange, self-regulatory association or any similar authority; and (4) 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 fact may approve in the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 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Cooley LLP, as applicable. IN WITNESS WHEREOF, the undersigned has caused this Power of Attorney to be executed as of the date written below. Date: September 27, 2026 Signature: /s/ Charlie Bell Name: Charlie Bell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71759" TargetMode="External"/><Relationship Id="rId3" Type="http://schemas.openxmlformats.org/officeDocument/2006/relationships/hyperlink" Target="http://www.sec.gov/cgi-bin/browse-edgar?action=getcompany&amp;CIK=000166028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1020</Words>
  <Characters>5475</Characters>
  <CharactersWithSpaces>6451</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tenableholdings-formofpo</dc:title>
</cp:coreProperties>
</file>