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6110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1106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Thurmond Mark C.</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TENABLE HOLDINGS, INC.</w:t>
            </w:r>
          </w:p>
        </w:tc>
        <w:tc>
          <w:tcPr>
            <w:tcW w:w="12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6100 MERRIWEATHER DRIVE</w:t>
            </w:r>
          </w:p>
        </w:tc>
        <w:tc>
          <w:tcPr>
            <w:tcW w:w="12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21044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Tenable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TENB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02/23/2024</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51"/>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02/23/2024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1,684</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47.67</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47,162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02/23/2024</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1,362</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48,524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02/23/2024</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3,857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52,381</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02/26/2024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7,110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47.72</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45,271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1,362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80" w:type="dxa"/>
            <w:vAlign w:val="bottom"/>
          </w:tcPr>
          <w:p>
            <w:pPr>
              <w:jc w:val="right"/>
              <w:ind w:right="176"/>
              <w:spacing w:after="0" w:line="129" w:lineRule="exact"/>
              <w:rPr>
                <w:sz w:val="20"/>
                <w:szCs w:val="20"/>
                <w:color w:val="auto"/>
              </w:rPr>
            </w:pPr>
            <w:r>
              <w:rPr>
                <w:rFonts w:ascii="Times New Roman" w:cs="Times New Roman" w:eastAsia="Times New Roman" w:hAnsi="Times New Roman"/>
                <w:sz w:val="13"/>
                <w:szCs w:val="13"/>
                <w:color w:val="0000FF"/>
              </w:rPr>
              <w:t>02/23/2024</w:t>
            </w:r>
          </w:p>
        </w:tc>
        <w:tc>
          <w:tcPr>
            <w:tcW w:w="1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1,362</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10,905</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02/23/2024</w:t>
            </w:r>
          </w:p>
        </w:tc>
        <w:tc>
          <w:tcPr>
            <w:tcW w:w="110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3,857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3,857</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30,856</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-2351405</wp:posOffset>
            </wp:positionV>
            <wp:extent cx="29210" cy="2356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564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22, 2023, the Compensation Committee of the Issuer's Board of Directors certified the achievement of the Performance Restricted Stock Units (PRSUs) granted on February 23, 2022 and determined a 106% payout for the measurement period based on the Issuer's fiscal year 2022 criteria. 25% of the shares underlying the PRSUs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Bartholomew,</w:t>
            </w:r>
          </w:p>
        </w:tc>
        <w:tc>
          <w:tcPr>
            <w:tcW w:w="44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02/26/2024</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1579" TargetMode="External"/><Relationship Id="rId13"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2024-02-27T18:07:47Z</dcterms:created>
  <dcterms:modified xsi:type="dcterms:W3CDTF">2024-02-27T18:07:47Z</dcterms:modified>
</cp:coreProperties>
</file>