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231F20"/>
          <w:sz w:val="28"/>
        </w:rPr>
      </w:pPr>
      <w:r>
        <w:rPr>
          <w:rFonts w:ascii="Arial;sans-serif" w:hAnsi="Arial;sans-serif"/>
          <w:b/>
          <w:color w:val="231F20"/>
          <w:sz w:val="28"/>
        </w:rPr>
        <w:t>UNITED STATES</w:t>
      </w:r>
    </w:p>
    <w:p>
      <w:pPr>
        <w:pStyle w:val="TextBody"/>
        <w:bidi w:val="0"/>
        <w:spacing w:lineRule="auto" w:line="288" w:before="0" w:after="0"/>
        <w:jc w:val="center"/>
        <w:rPr>
          <w:rFonts w:ascii="Arial;sans-serif" w:hAnsi="Arial;sans-serif"/>
          <w:b/>
          <w:color w:val="231F20"/>
          <w:sz w:val="28"/>
        </w:rPr>
      </w:pPr>
      <w:r>
        <w:rPr>
          <w:rFonts w:ascii="Arial;sans-serif" w:hAnsi="Arial;sans-serif"/>
          <w:b/>
          <w:color w:val="231F20"/>
          <w:sz w:val="28"/>
        </w:rPr>
        <w:t>SECURITIES AND EXCHANGE COMMISSION</w:t>
      </w:r>
    </w:p>
    <w:p>
      <w:pPr>
        <w:pStyle w:val="TextBody"/>
        <w:bidi w:val="0"/>
        <w:spacing w:lineRule="auto" w:line="288" w:before="0" w:after="0"/>
        <w:jc w:val="center"/>
        <w:rPr>
          <w:rFonts w:ascii="Arial;sans-serif" w:hAnsi="Arial;sans-serif"/>
          <w:b/>
          <w:color w:val="231F20"/>
          <w:sz w:val="24"/>
        </w:rPr>
      </w:pPr>
      <w:r>
        <w:rPr>
          <w:rFonts w:ascii="Arial;sans-serif" w:hAnsi="Arial;sans-serif"/>
          <w:b/>
          <w:color w:val="231F20"/>
          <w:sz w:val="24"/>
        </w:rPr>
        <w:t>Washington, D.C. 20549</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__________________</w:t>
      </w:r>
    </w:p>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 xml:space="preserve">FORM 10-Q </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tbl>
      <w:tblPr>
        <w:tblW w:w="8591" w:type="dxa"/>
        <w:jc w:val="left"/>
        <w:tblInd w:w="0" w:type="dxa"/>
        <w:tblLayout w:type="fixed"/>
        <w:tblCellMar>
          <w:top w:w="28" w:type="dxa"/>
          <w:left w:w="28" w:type="dxa"/>
          <w:bottom w:w="28" w:type="dxa"/>
          <w:right w:w="28" w:type="dxa"/>
        </w:tblCellMar>
      </w:tblPr>
      <w:tblGrid>
        <w:gridCol w:w="124"/>
        <w:gridCol w:w="109"/>
        <w:gridCol w:w="109"/>
        <w:gridCol w:w="2411"/>
        <w:gridCol w:w="2411"/>
        <w:gridCol w:w="34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34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0" w:after="60"/>
        <w:jc w:val="center"/>
        <w:rPr/>
      </w:pPr>
      <w:r>
        <w:rPr>
          <w:rFonts w:ascii="Arial;sans-serif" w:hAnsi="Arial;sans-serif"/>
          <w:b/>
          <w:color w:val="000000"/>
          <w:sz w:val="18"/>
        </w:rPr>
        <w:t>For the Quarterly Period Ended June 30, 2026</w:t>
      </w:r>
      <w:r>
        <w:rPr>
          <w:color w:val="000000"/>
        </w:rPr>
        <w:t xml:space="preserve">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or</w:t>
      </w:r>
    </w:p>
    <w:tbl>
      <w:tblPr>
        <w:tblW w:w="8681" w:type="dxa"/>
        <w:jc w:val="left"/>
        <w:tblInd w:w="0" w:type="dxa"/>
        <w:tblLayout w:type="fixed"/>
        <w:tblCellMar>
          <w:top w:w="28" w:type="dxa"/>
          <w:left w:w="28" w:type="dxa"/>
          <w:bottom w:w="28" w:type="dxa"/>
          <w:right w:w="28" w:type="dxa"/>
        </w:tblCellMar>
      </w:tblPr>
      <w:tblGrid>
        <w:gridCol w:w="124"/>
        <w:gridCol w:w="109"/>
        <w:gridCol w:w="109"/>
        <w:gridCol w:w="2442"/>
        <w:gridCol w:w="2442"/>
        <w:gridCol w:w="34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34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0" w:after="120"/>
        <w:jc w:val="center"/>
        <w:rPr>
          <w:rFonts w:ascii="Arial;sans-serif" w:hAnsi="Arial;sans-serif"/>
          <w:b/>
          <w:color w:val="000000"/>
          <w:sz w:val="18"/>
        </w:rPr>
      </w:pPr>
      <w:r>
        <w:rPr>
          <w:rFonts w:ascii="Arial;sans-serif" w:hAnsi="Arial;sans-serif"/>
          <w:b/>
          <w:color w:val="000000"/>
          <w:sz w:val="18"/>
        </w:rPr>
        <w:t>For the transition period from _____ to _____</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Commission file number 001-38600 </w:t>
      </w:r>
    </w:p>
    <w:p>
      <w:pPr>
        <w:pStyle w:val="TextBody"/>
        <w:bidi w:val="0"/>
        <w:spacing w:lineRule="auto" w:line="288" w:before="0" w:after="6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lineRule="auto" w:line="288" w:before="0" w:after="0"/>
        <w:jc w:val="center"/>
        <w:rPr>
          <w:rFonts w:ascii="Arial;sans-serif" w:hAnsi="Arial;sans-serif"/>
          <w:b/>
          <w:color w:val="231F20"/>
          <w:sz w:val="44"/>
        </w:rPr>
      </w:pPr>
      <w:r>
        <w:rPr>
          <w:rFonts w:ascii="Arial;sans-serif" w:hAnsi="Arial;sans-serif"/>
          <w:b/>
          <w:color w:val="231F20"/>
          <w:sz w:val="44"/>
        </w:rPr>
        <w:t xml:space="preserve">TENABLE HOLDINGS, INC. </w:t>
      </w:r>
    </w:p>
    <w:p>
      <w:pPr>
        <w:pStyle w:val="TextBody"/>
        <w:bidi w:val="0"/>
        <w:spacing w:lineRule="auto" w:line="288" w:before="0" w:after="0"/>
        <w:jc w:val="center"/>
        <w:rPr>
          <w:rFonts w:ascii="Arial;sans-serif" w:hAnsi="Arial;sans-serif"/>
          <w:b/>
          <w:color w:val="231F20"/>
          <w:sz w:val="16"/>
        </w:rPr>
      </w:pPr>
      <w:r>
        <w:rPr>
          <w:rFonts w:ascii="Arial;sans-serif" w:hAnsi="Arial;sans-serif"/>
          <w:b/>
          <w:color w:val="231F20"/>
          <w:sz w:val="16"/>
        </w:rPr>
        <w:t>(Exact name of registrant as specified in its charter)</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tbl>
      <w:tblPr>
        <w:tblW w:w="7646" w:type="dxa"/>
        <w:jc w:val="left"/>
        <w:tblInd w:w="0" w:type="dxa"/>
        <w:tblLayout w:type="fixed"/>
        <w:tblCellMar>
          <w:top w:w="28" w:type="dxa"/>
          <w:left w:w="28" w:type="dxa"/>
          <w:bottom w:w="28" w:type="dxa"/>
          <w:right w:w="28" w:type="dxa"/>
        </w:tblCellMar>
      </w:tblPr>
      <w:tblGrid>
        <w:gridCol w:w="1566"/>
        <w:gridCol w:w="1374"/>
        <w:gridCol w:w="1395"/>
        <w:gridCol w:w="109"/>
        <w:gridCol w:w="109"/>
        <w:gridCol w:w="109"/>
        <w:gridCol w:w="871"/>
        <w:gridCol w:w="871"/>
        <w:gridCol w:w="1242"/>
      </w:tblGrid>
      <w:tr>
        <w:trPr/>
        <w:tc>
          <w:tcPr>
            <w:tcW w:w="15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47-5580846</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Number)</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6100 Merriweather Drive, Columbia, Maryland 21044 </w:t>
      </w:r>
    </w:p>
    <w:p>
      <w:pPr>
        <w:pStyle w:val="TextBody"/>
        <w:bidi w:val="0"/>
        <w:spacing w:lineRule="auto" w:line="288" w:before="0" w:after="120"/>
        <w:jc w:val="center"/>
        <w:rPr>
          <w:rFonts w:ascii="Arial;sans-serif" w:hAnsi="Arial;sans-serif"/>
          <w:b w:val="false"/>
          <w:color w:val="000000"/>
          <w:sz w:val="16"/>
        </w:rPr>
      </w:pPr>
      <w:r>
        <w:rPr>
          <w:rFonts w:ascii="Arial;sans-serif" w:hAnsi="Arial;sans-serif"/>
          <w:b w:val="false"/>
          <w:color w:val="000000"/>
          <w:sz w:val="16"/>
        </w:rPr>
        <w:t>(Address of principal executive offices, including zip code)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(410) 872-0555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lineRule="auto" w:line="288" w:before="0" w:after="12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953" w:type="dxa"/>
        <w:jc w:val="center"/>
        <w:tblInd w:w="0" w:type="dxa"/>
        <w:tblLayout w:type="fixed"/>
        <w:tblCellMar>
          <w:top w:w="28" w:type="dxa"/>
          <w:left w:w="28" w:type="dxa"/>
          <w:bottom w:w="28" w:type="dxa"/>
          <w:right w:w="28" w:type="dxa"/>
        </w:tblCellMar>
      </w:tblPr>
      <w:tblGrid>
        <w:gridCol w:w="1287"/>
        <w:gridCol w:w="1131"/>
        <w:gridCol w:w="1136"/>
        <w:gridCol w:w="534"/>
        <w:gridCol w:w="534"/>
        <w:gridCol w:w="536"/>
        <w:gridCol w:w="1108"/>
        <w:gridCol w:w="1108"/>
        <w:gridCol w:w="1579"/>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TENB</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bidi w:val="0"/>
        <w:spacing w:lineRule="auto" w:line="288" w:before="0" w:after="120"/>
        <w:jc w:val="left"/>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lineRule="auto" w:line="288" w:before="0" w:after="120"/>
        <w:jc w:val="left"/>
        <w:rPr/>
      </w:pPr>
      <w:r>
        <w:rPr>
          <w:rFonts w:ascii="Arial;sans-serif" w:hAnsi="Arial;sans-serif"/>
          <w:b w:val="false"/>
          <w:color w:val="000000"/>
          <w:sz w:val="18"/>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Arial;sans-serif" w:hAnsi="Arial;sans-serif"/>
          <w:b w:val="false"/>
          <w:color w:val="000000"/>
          <w:sz w:val="18"/>
        </w:rPr>
        <w:t xml:space="preserve">No  </w:t>
      </w:r>
      <w:r>
        <w:rPr>
          <w:color w:val="000000"/>
        </w:rPr>
        <w: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616"/>
        <w:gridCol w:w="1308"/>
        <w:gridCol w:w="1260"/>
        <w:gridCol w:w="221"/>
        <w:gridCol w:w="221"/>
        <w:gridCol w:w="221"/>
        <w:gridCol w:w="221"/>
        <w:gridCol w:w="221"/>
        <w:gridCol w:w="221"/>
        <w:gridCol w:w="1311"/>
        <w:gridCol w:w="1311"/>
        <w:gridCol w:w="1316"/>
        <w:gridCol w:w="221"/>
        <w:gridCol w:w="221"/>
        <w:gridCol w:w="315"/>
      </w:tblGrid>
      <w:tr>
        <w:trPr/>
        <w:tc>
          <w:tcPr>
            <w:tcW w:w="161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lineRule="auto" w:line="288" w:before="0" w:after="120"/>
        <w:jc w:val="left"/>
        <w:rPr/>
      </w:pPr>
      <w:r>
        <w:rPr>
          <w:rFonts w:ascii="Arial;sans-serif" w:hAnsi="Arial;sans-serif"/>
          <w:b w:val="false"/>
          <w:color w:val="000000"/>
          <w:sz w:val="18"/>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number of shares of the Registrant's common stock outstanding as of July 31, 2026 was 110,139,983.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37"/>
        <w:gridCol w:w="293"/>
        <w:gridCol w:w="293"/>
        <w:gridCol w:w="2554"/>
        <w:gridCol w:w="2543"/>
        <w:gridCol w:w="2551"/>
        <w:gridCol w:w="475"/>
        <w:gridCol w:w="475"/>
        <w:gridCol w:w="684"/>
      </w:tblGrid>
      <w:tr>
        <w:trPr/>
        <w:tc>
          <w:tcPr>
            <w:tcW w:w="3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7c8ef724952144c5901a16e084b27ff5_10">
              <w:r>
                <w:rPr>
                  <w:rStyle w:val="InternetLink"/>
                  <w:rFonts w:ascii="Arial;sans-serif" w:hAnsi="Arial;sans-serif"/>
                  <w:b/>
                  <w:color w:val="0000FF"/>
                  <w:sz w:val="20"/>
                  <w:u w:val="single"/>
                </w:rPr>
                <w:t>PART I – FINANCIAL INFORMATION</w:t>
              </w:r>
            </w:hyperlink>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0">
              <w:r>
                <w:rPr>
                  <w:rStyle w:val="InternetLink"/>
                  <w:rFonts w:ascii="Arial;sans-serif" w:hAnsi="Arial;sans-serif"/>
                  <w:b w:val="false"/>
                  <w:color w:val="0000FF"/>
                  <w:sz w:val="20"/>
                  <w:u w:val="single"/>
                </w:rPr>
                <w:t>Item 1.</w:t>
              </w:r>
            </w:hyperlink>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0">
              <w:r>
                <w:rPr>
                  <w:rStyle w:val="InternetLink"/>
                  <w:rFonts w:ascii="Arial;sans-serif" w:hAnsi="Arial;sans-serif"/>
                  <w:b w:val="false"/>
                  <w:color w:val="0000FF"/>
                  <w:sz w:val="20"/>
                  <w:u w:val="single"/>
                </w:rPr>
                <w:t>Financial Statements</w:t>
              </w:r>
            </w:hyperlink>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3">
              <w:r>
                <w:rPr>
                  <w:rStyle w:val="InternetLink"/>
                  <w:rFonts w:ascii="Arial;sans-serif" w:hAnsi="Arial;sans-serif"/>
                  <w:b w:val="false"/>
                  <w:color w:val="0000FF"/>
                  <w:sz w:val="20"/>
                  <w:u w:val="single"/>
                </w:rPr>
                <w:t>Consolidated Balance Sheets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3">
              <w:r>
                <w:rPr>
                  <w:rStyle w:val="InternetLink"/>
                  <w:rFonts w:ascii="Arial;sans-serif" w:hAnsi="Arial;sans-serif"/>
                  <w:b w:val="false"/>
                  <w:color w:val="0000FF"/>
                  <w:sz w:val="20"/>
                  <w:u w:val="single"/>
                </w:rPr>
                <w:t>3</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6">
              <w:r>
                <w:rPr>
                  <w:rStyle w:val="InternetLink"/>
                  <w:rFonts w:ascii="Arial;sans-serif" w:hAnsi="Arial;sans-serif"/>
                  <w:b w:val="false"/>
                  <w:color w:val="0000FF"/>
                  <w:sz w:val="20"/>
                  <w:u w:val="single"/>
                </w:rPr>
                <w:t>Consolidated Statements of Operations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9">
              <w:r>
                <w:rPr>
                  <w:rStyle w:val="InternetLink"/>
                  <w:rFonts w:ascii="Arial;sans-serif" w:hAnsi="Arial;sans-serif"/>
                  <w:b w:val="false"/>
                  <w:color w:val="0000FF"/>
                  <w:sz w:val="20"/>
                  <w:u w:val="single"/>
                </w:rPr>
                <w:t>4</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Consolidated Statements of Comprehensive Income (Loss)</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25">
              <w:r>
                <w:rPr>
                  <w:rStyle w:val="InternetLink"/>
                  <w:rFonts w:ascii="Arial;sans-serif" w:hAnsi="Arial;sans-serif"/>
                  <w:b w:val="false"/>
                  <w:color w:val="0000FF"/>
                  <w:sz w:val="20"/>
                  <w:u w:val="single"/>
                </w:rPr>
                <w:t>5</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Consolidated Statements of Stockholders' Equity</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31">
              <w:r>
                <w:rPr>
                  <w:rStyle w:val="InternetLink"/>
                  <w:rFonts w:ascii="Arial;sans-serif" w:hAnsi="Arial;sans-serif"/>
                  <w:b w:val="false"/>
                  <w:color w:val="0000FF"/>
                  <w:sz w:val="20"/>
                  <w:u w:val="single"/>
                </w:rPr>
                <w:t>6</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34">
              <w:r>
                <w:rPr>
                  <w:rStyle w:val="InternetLink"/>
                  <w:rFonts w:ascii="Arial;sans-serif" w:hAnsi="Arial;sans-serif"/>
                  <w:b w:val="false"/>
                  <w:color w:val="0000FF"/>
                  <w:sz w:val="20"/>
                  <w:u w:val="single"/>
                </w:rPr>
                <w:t>Consolidated Statements of Cash Flows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34">
              <w:r>
                <w:rPr>
                  <w:rStyle w:val="InternetLink"/>
                  <w:rFonts w:ascii="Arial;sans-serif" w:hAnsi="Arial;sans-serif"/>
                  <w:b w:val="false"/>
                  <w:color w:val="0000FF"/>
                  <w:sz w:val="20"/>
                  <w:u w:val="single"/>
                </w:rPr>
                <w:t>7</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37">
              <w:r>
                <w:rPr>
                  <w:rStyle w:val="InternetLink"/>
                  <w:rFonts w:ascii="Arial;sans-serif" w:hAnsi="Arial;sans-serif"/>
                  <w:b w:val="false"/>
                  <w:color w:val="0000FF"/>
                  <w:sz w:val="20"/>
                  <w:u w:val="single"/>
                </w:rPr>
                <w:t>Notes to Consolidated Financial Statements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37">
              <w:r>
                <w:rPr>
                  <w:rStyle w:val="InternetLink"/>
                  <w:rFonts w:ascii="Arial;sans-serif" w:hAnsi="Arial;sans-serif"/>
                  <w:b w:val="false"/>
                  <w:color w:val="0000FF"/>
                  <w:sz w:val="20"/>
                  <w:u w:val="single"/>
                </w:rPr>
                <w:t>8</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40">
              <w:r>
                <w:rPr>
                  <w:rStyle w:val="InternetLink"/>
                  <w:rFonts w:ascii="Arial;sans-serif" w:hAnsi="Arial;sans-serif"/>
                  <w:b w:val="false"/>
                  <w:color w:val="0000FF"/>
                  <w:sz w:val="20"/>
                  <w:u w:val="single"/>
                </w:rPr>
                <w:t>1. Summary of Significant Accounting Policies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40">
              <w:r>
                <w:rPr>
                  <w:rStyle w:val="InternetLink"/>
                  <w:rFonts w:ascii="Arial;sans-serif" w:hAnsi="Arial;sans-serif"/>
                  <w:b w:val="false"/>
                  <w:color w:val="0000FF"/>
                  <w:sz w:val="20"/>
                  <w:u w:val="single"/>
                </w:rPr>
                <w:t>8</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2. Revenue</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46">
              <w:r>
                <w:rPr>
                  <w:rStyle w:val="InternetLink"/>
                  <w:rFonts w:ascii="Arial;sans-serif" w:hAnsi="Arial;sans-serif"/>
                  <w:b w:val="false"/>
                  <w:color w:val="0000FF"/>
                  <w:sz w:val="20"/>
                  <w:u w:val="single"/>
                </w:rPr>
                <w:t>9</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49">
              <w:r>
                <w:rPr>
                  <w:rStyle w:val="InternetLink"/>
                  <w:rFonts w:ascii="Arial;sans-serif" w:hAnsi="Arial;sans-serif"/>
                  <w:b w:val="false"/>
                  <w:color w:val="0000FF"/>
                  <w:sz w:val="20"/>
                  <w:u w:val="single"/>
                </w:rPr>
                <w:t>3. Cash Equivalents, Short-Term Investments and Other Investments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49">
              <w:r>
                <w:rPr>
                  <w:rStyle w:val="InternetLink"/>
                  <w:rFonts w:ascii="Arial;sans-serif" w:hAnsi="Arial;sans-serif"/>
                  <w:b w:val="false"/>
                  <w:color w:val="0000FF"/>
                  <w:sz w:val="20"/>
                  <w:u w:val="single"/>
                </w:rPr>
                <w:t>10</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52">
              <w:r>
                <w:rPr>
                  <w:rStyle w:val="InternetLink"/>
                  <w:rFonts w:ascii="Arial;sans-serif" w:hAnsi="Arial;sans-serif"/>
                  <w:b w:val="false"/>
                  <w:color w:val="0000FF"/>
                  <w:sz w:val="20"/>
                  <w:u w:val="single"/>
                </w:rPr>
                <w:t>4. Property and Equipment, Net</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52">
              <w:r>
                <w:rPr>
                  <w:rStyle w:val="InternetLink"/>
                  <w:rFonts w:ascii="Arial;sans-serif" w:hAnsi="Arial;sans-serif"/>
                  <w:b w:val="false"/>
                  <w:color w:val="0000FF"/>
                  <w:sz w:val="20"/>
                  <w:u w:val="single"/>
                </w:rPr>
                <w:t>12</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58">
              <w:r>
                <w:rPr>
                  <w:rStyle w:val="InternetLink"/>
                  <w:rFonts w:ascii="Arial;sans-serif" w:hAnsi="Arial;sans-serif"/>
                  <w:b w:val="false"/>
                  <w:color w:val="0000FF"/>
                  <w:sz w:val="20"/>
                  <w:u w:val="single"/>
                </w:rPr>
                <w:t>5. Goodwill and Intangible Assets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58">
              <w:r>
                <w:rPr>
                  <w:rStyle w:val="InternetLink"/>
                  <w:rFonts w:ascii="Arial;sans-serif" w:hAnsi="Arial;sans-serif"/>
                  <w:b w:val="false"/>
                  <w:color w:val="0000FF"/>
                  <w:sz w:val="20"/>
                  <w:u w:val="single"/>
                </w:rPr>
                <w:t>12</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64">
              <w:r>
                <w:rPr>
                  <w:rStyle w:val="InternetLink"/>
                  <w:rFonts w:ascii="Arial;sans-serif" w:hAnsi="Arial;sans-serif"/>
                  <w:b w:val="false"/>
                  <w:color w:val="0000FF"/>
                  <w:sz w:val="20"/>
                  <w:u w:val="single"/>
                </w:rPr>
                <w:t>6. Leases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64">
              <w:r>
                <w:rPr>
                  <w:rStyle w:val="InternetLink"/>
                  <w:rFonts w:ascii="Arial;sans-serif" w:hAnsi="Arial;sans-serif"/>
                  <w:b w:val="false"/>
                  <w:color w:val="0000FF"/>
                  <w:sz w:val="20"/>
                  <w:u w:val="single"/>
                </w:rPr>
                <w:t>13</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70">
              <w:r>
                <w:rPr>
                  <w:rStyle w:val="InternetLink"/>
                  <w:rFonts w:ascii="Arial;sans-serif" w:hAnsi="Arial;sans-serif"/>
                  <w:b w:val="false"/>
                  <w:color w:val="0000FF"/>
                  <w:sz w:val="20"/>
                  <w:u w:val="single"/>
                </w:rPr>
                <w:t>7. Debt</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70">
              <w:r>
                <w:rPr>
                  <w:rStyle w:val="InternetLink"/>
                  <w:rFonts w:ascii="Arial;sans-serif" w:hAnsi="Arial;sans-serif"/>
                  <w:b w:val="false"/>
                  <w:color w:val="0000FF"/>
                  <w:sz w:val="20"/>
                  <w:u w:val="single"/>
                </w:rPr>
                <w:t>14</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73">
              <w:r>
                <w:rPr>
                  <w:rStyle w:val="InternetLink"/>
                  <w:rFonts w:ascii="Arial;sans-serif" w:hAnsi="Arial;sans-serif"/>
                  <w:b w:val="false"/>
                  <w:color w:val="0000FF"/>
                  <w:sz w:val="20"/>
                  <w:u w:val="single"/>
                </w:rPr>
                <w:t>8. Commitments and Contingencies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73">
              <w:r>
                <w:rPr>
                  <w:rStyle w:val="InternetLink"/>
                  <w:rFonts w:ascii="Arial;sans-serif" w:hAnsi="Arial;sans-serif"/>
                  <w:b w:val="false"/>
                  <w:color w:val="0000FF"/>
                  <w:sz w:val="20"/>
                  <w:u w:val="single"/>
                </w:rPr>
                <w:t>14</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76">
              <w:r>
                <w:rPr>
                  <w:rStyle w:val="InternetLink"/>
                  <w:rFonts w:ascii="Arial;sans-serif" w:hAnsi="Arial;sans-serif"/>
                  <w:b w:val="false"/>
                  <w:color w:val="0000FF"/>
                  <w:sz w:val="20"/>
                  <w:u w:val="single"/>
                </w:rPr>
                <w:t>9. Stock-Based Compensation</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76">
              <w:r>
                <w:rPr>
                  <w:rStyle w:val="InternetLink"/>
                  <w:rFonts w:ascii="Arial;sans-serif" w:hAnsi="Arial;sans-serif"/>
                  <w:b w:val="false"/>
                  <w:color w:val="0000FF"/>
                  <w:sz w:val="20"/>
                  <w:u w:val="single"/>
                </w:rPr>
                <w:t>15</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82">
              <w:r>
                <w:rPr>
                  <w:rStyle w:val="InternetLink"/>
                  <w:rFonts w:ascii="Arial;sans-serif" w:hAnsi="Arial;sans-serif"/>
                  <w:b w:val="false"/>
                  <w:color w:val="0000FF"/>
                  <w:sz w:val="20"/>
                  <w:u w:val="single"/>
                </w:rPr>
                <w:t>10. Income Taxes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82">
              <w:r>
                <w:rPr>
                  <w:rStyle w:val="InternetLink"/>
                  <w:rFonts w:ascii="Arial;sans-serif" w:hAnsi="Arial;sans-serif"/>
                  <w:b w:val="false"/>
                  <w:color w:val="0000FF"/>
                  <w:sz w:val="20"/>
                  <w:u w:val="single"/>
                </w:rPr>
                <w:t>16</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85">
              <w:r>
                <w:rPr>
                  <w:rStyle w:val="InternetLink"/>
                  <w:rFonts w:ascii="Arial;sans-serif" w:hAnsi="Arial;sans-serif"/>
                  <w:b w:val="false"/>
                  <w:color w:val="0000FF"/>
                  <w:sz w:val="20"/>
                  <w:u w:val="single"/>
                </w:rPr>
                <w:t>11. Net Earnings (Loss) Per Share</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85">
              <w:r>
                <w:rPr>
                  <w:rStyle w:val="InternetLink"/>
                  <w:rFonts w:ascii="Arial;sans-serif" w:hAnsi="Arial;sans-serif"/>
                  <w:b w:val="false"/>
                  <w:color w:val="0000FF"/>
                  <w:sz w:val="20"/>
                  <w:u w:val="single"/>
                </w:rPr>
                <w:t>17</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91">
              <w:r>
                <w:rPr>
                  <w:rStyle w:val="InternetLink"/>
                  <w:rFonts w:ascii="Arial;sans-serif" w:hAnsi="Arial;sans-serif"/>
                  <w:b w:val="false"/>
                  <w:color w:val="0000FF"/>
                  <w:sz w:val="20"/>
                  <w:u w:val="single"/>
                </w:rPr>
                <w:t>Item 2.</w:t>
              </w:r>
            </w:hyperlink>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91">
              <w:r>
                <w:rPr>
                  <w:rStyle w:val="InternetLink"/>
                  <w:rFonts w:ascii="Arial;sans-serif" w:hAnsi="Arial;sans-serif"/>
                  <w:b w:val="false"/>
                  <w:color w:val="0000FF"/>
                  <w:sz w:val="20"/>
                  <w:u w:val="single"/>
                </w:rPr>
                <w:t>Management’s Discussion and Analysis of Financial Condition and Results of Operations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91">
              <w:r>
                <w:rPr>
                  <w:rStyle w:val="InternetLink"/>
                  <w:rFonts w:ascii="Arial;sans-serif" w:hAnsi="Arial;sans-serif"/>
                  <w:b w:val="false"/>
                  <w:color w:val="0000FF"/>
                  <w:sz w:val="20"/>
                  <w:u w:val="single"/>
                </w:rPr>
                <w:t>18</w:t>
              </w:r>
            </w:hyperlink>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24">
              <w:r>
                <w:rPr>
                  <w:rStyle w:val="InternetLink"/>
                  <w:rFonts w:ascii="Arial;sans-serif" w:hAnsi="Arial;sans-serif"/>
                  <w:b w:val="false"/>
                  <w:color w:val="0000FF"/>
                  <w:sz w:val="20"/>
                  <w:u w:val="single"/>
                </w:rPr>
                <w:t>Item 3.</w:t>
              </w:r>
            </w:hyperlink>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24">
              <w:r>
                <w:rPr>
                  <w:rStyle w:val="InternetLink"/>
                  <w:rFonts w:ascii="Arial;sans-serif" w:hAnsi="Arial;sans-serif"/>
                  <w:b w:val="false"/>
                  <w:color w:val="0000FF"/>
                  <w:sz w:val="20"/>
                  <w:u w:val="single"/>
                </w:rPr>
                <w:t>Quantitative and Qualitative Disclosures About Market Risk</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24">
              <w:r>
                <w:rPr>
                  <w:rStyle w:val="InternetLink"/>
                  <w:rFonts w:ascii="Arial;sans-serif" w:hAnsi="Arial;sans-serif"/>
                  <w:b w:val="false"/>
                  <w:color w:val="0000FF"/>
                  <w:sz w:val="20"/>
                  <w:u w:val="single"/>
                </w:rPr>
                <w:t>28</w:t>
              </w:r>
            </w:hyperlink>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27">
              <w:r>
                <w:rPr>
                  <w:rStyle w:val="InternetLink"/>
                  <w:rFonts w:ascii="Arial;sans-serif" w:hAnsi="Arial;sans-serif"/>
                  <w:b w:val="false"/>
                  <w:color w:val="0000FF"/>
                  <w:sz w:val="20"/>
                  <w:u w:val="single"/>
                </w:rPr>
                <w:t>Item 4.</w:t>
              </w:r>
            </w:hyperlink>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27">
              <w:r>
                <w:rPr>
                  <w:rStyle w:val="InternetLink"/>
                  <w:rFonts w:ascii="Arial;sans-serif" w:hAnsi="Arial;sans-serif"/>
                  <w:b w:val="false"/>
                  <w:color w:val="0000FF"/>
                  <w:sz w:val="20"/>
                  <w:u w:val="single"/>
                </w:rPr>
                <w:t>Controls and Procedures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27">
              <w:r>
                <w:rPr>
                  <w:rStyle w:val="InternetLink"/>
                  <w:rFonts w:ascii="Arial;sans-serif" w:hAnsi="Arial;sans-serif"/>
                  <w:b w:val="false"/>
                  <w:color w:val="0000FF"/>
                  <w:sz w:val="20"/>
                  <w:u w:val="single"/>
                </w:rPr>
                <w:t>29</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7c8ef724952144c5901a16e084b27ff5_130">
              <w:r>
                <w:rPr>
                  <w:rStyle w:val="InternetLink"/>
                  <w:rFonts w:ascii="Arial;sans-serif" w:hAnsi="Arial;sans-serif"/>
                  <w:b/>
                  <w:color w:val="0000FF"/>
                  <w:sz w:val="20"/>
                  <w:u w:val="single"/>
                </w:rPr>
                <w:t>PART II – OTHER INFORMATION</w:t>
              </w:r>
            </w:hyperlink>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33">
              <w:r>
                <w:rPr>
                  <w:rStyle w:val="InternetLink"/>
                  <w:rFonts w:ascii="Arial;sans-serif" w:hAnsi="Arial;sans-serif"/>
                  <w:b w:val="false"/>
                  <w:color w:val="0000FF"/>
                  <w:sz w:val="20"/>
                  <w:u w:val="single"/>
                </w:rPr>
                <w:t>Item 1.</w:t>
              </w:r>
            </w:hyperlink>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33">
              <w:r>
                <w:rPr>
                  <w:rStyle w:val="InternetLink"/>
                  <w:rFonts w:ascii="Arial;sans-serif" w:hAnsi="Arial;sans-serif"/>
                  <w:b w:val="false"/>
                  <w:color w:val="0000FF"/>
                  <w:sz w:val="20"/>
                  <w:u w:val="single"/>
                </w:rPr>
                <w:t>Legal Proceedings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33">
              <w:r>
                <w:rPr>
                  <w:rStyle w:val="InternetLink"/>
                  <w:rFonts w:ascii="Arial;sans-serif" w:hAnsi="Arial;sans-serif"/>
                  <w:b w:val="false"/>
                  <w:color w:val="0000FF"/>
                  <w:sz w:val="20"/>
                  <w:u w:val="single"/>
                </w:rPr>
                <w:t>31</w:t>
              </w:r>
            </w:hyperlink>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36">
              <w:r>
                <w:rPr>
                  <w:rStyle w:val="InternetLink"/>
                  <w:rFonts w:ascii="Arial;sans-serif" w:hAnsi="Arial;sans-serif"/>
                  <w:b w:val="false"/>
                  <w:color w:val="0000FF"/>
                  <w:sz w:val="20"/>
                  <w:u w:val="single"/>
                </w:rPr>
                <w:t>Item 1A.</w:t>
              </w:r>
            </w:hyperlink>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36">
              <w:r>
                <w:rPr>
                  <w:rStyle w:val="InternetLink"/>
                  <w:rFonts w:ascii="Arial;sans-serif" w:hAnsi="Arial;sans-serif"/>
                  <w:b w:val="false"/>
                  <w:color w:val="0000FF"/>
                  <w:sz w:val="20"/>
                  <w:u w:val="single"/>
                </w:rPr>
                <w:t>Risk Factors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36">
              <w:r>
                <w:rPr>
                  <w:rStyle w:val="InternetLink"/>
                  <w:rFonts w:ascii="Arial;sans-serif" w:hAnsi="Arial;sans-serif"/>
                  <w:b w:val="false"/>
                  <w:color w:val="0000FF"/>
                  <w:sz w:val="20"/>
                  <w:u w:val="single"/>
                </w:rPr>
                <w:t>31</w:t>
              </w:r>
            </w:hyperlink>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39">
              <w:r>
                <w:rPr>
                  <w:rStyle w:val="InternetLink"/>
                  <w:rFonts w:ascii="Arial;sans-serif" w:hAnsi="Arial;sans-serif"/>
                  <w:b w:val="false"/>
                  <w:color w:val="0000FF"/>
                  <w:sz w:val="20"/>
                  <w:u w:val="single"/>
                </w:rPr>
                <w:t>Item 2.</w:t>
              </w:r>
            </w:hyperlink>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39">
              <w:r>
                <w:rPr>
                  <w:rStyle w:val="InternetLink"/>
                  <w:rFonts w:ascii="Arial;sans-serif" w:hAnsi="Arial;sans-serif"/>
                  <w:b w:val="false"/>
                  <w:color w:val="0000FF"/>
                  <w:sz w:val="20"/>
                  <w:u w:val="single"/>
                </w:rPr>
                <w:t>Unregistered Sales of Equity Securities and Issuer Purchases of Equity Securities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39">
              <w:r>
                <w:rPr>
                  <w:rStyle w:val="InternetLink"/>
                  <w:rFonts w:ascii="Arial;sans-serif" w:hAnsi="Arial;sans-serif"/>
                  <w:b w:val="false"/>
                  <w:color w:val="0000FF"/>
                  <w:sz w:val="20"/>
                  <w:u w:val="single"/>
                </w:rPr>
                <w:t>38</w:t>
              </w:r>
            </w:hyperlink>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42">
              <w:r>
                <w:rPr>
                  <w:rStyle w:val="InternetLink"/>
                  <w:rFonts w:ascii="Arial;sans-serif" w:hAnsi="Arial;sans-serif"/>
                  <w:b w:val="false"/>
                  <w:color w:val="0000FF"/>
                  <w:sz w:val="20"/>
                  <w:u w:val="single"/>
                </w:rPr>
                <w:t>Item 5.</w:t>
              </w:r>
            </w:hyperlink>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42">
              <w:r>
                <w:rPr>
                  <w:rStyle w:val="InternetLink"/>
                  <w:rFonts w:ascii="Arial;sans-serif" w:hAnsi="Arial;sans-serif"/>
                  <w:b w:val="false"/>
                  <w:color w:val="0000FF"/>
                  <w:sz w:val="20"/>
                  <w:u w:val="single"/>
                </w:rPr>
                <w:t>Other Information</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42">
              <w:r>
                <w:rPr>
                  <w:rStyle w:val="InternetLink"/>
                  <w:rFonts w:ascii="Arial;sans-serif" w:hAnsi="Arial;sans-serif"/>
                  <w:b w:val="false"/>
                  <w:color w:val="0000FF"/>
                  <w:sz w:val="20"/>
                  <w:u w:val="single"/>
                </w:rPr>
                <w:t>39</w:t>
              </w:r>
            </w:hyperlink>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48">
              <w:r>
                <w:rPr>
                  <w:rStyle w:val="InternetLink"/>
                  <w:rFonts w:ascii="Arial;sans-serif" w:hAnsi="Arial;sans-serif"/>
                  <w:b w:val="false"/>
                  <w:color w:val="0000FF"/>
                  <w:sz w:val="20"/>
                  <w:u w:val="single"/>
                </w:rPr>
                <w:t>Item 6.</w:t>
              </w:r>
            </w:hyperlink>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48">
              <w:r>
                <w:rPr>
                  <w:rStyle w:val="InternetLink"/>
                  <w:rFonts w:ascii="Arial;sans-serif" w:hAnsi="Arial;sans-serif"/>
                  <w:b w:val="false"/>
                  <w:color w:val="0000FF"/>
                  <w:sz w:val="20"/>
                  <w:u w:val="single"/>
                </w:rPr>
                <w:t>Exhibits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48">
              <w:r>
                <w:rPr>
                  <w:rStyle w:val="InternetLink"/>
                  <w:rFonts w:ascii="Arial;sans-serif" w:hAnsi="Arial;sans-serif"/>
                  <w:b w:val="false"/>
                  <w:color w:val="0000FF"/>
                  <w:sz w:val="20"/>
                  <w:u w:val="single"/>
                </w:rPr>
                <w:t>40</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51">
              <w:r>
                <w:rPr>
                  <w:rStyle w:val="InternetLink"/>
                  <w:rFonts w:ascii="Arial;sans-serif" w:hAnsi="Arial;sans-serif"/>
                  <w:b w:val="false"/>
                  <w:color w:val="0000FF"/>
                  <w:sz w:val="20"/>
                  <w:u w:val="single"/>
                </w:rPr>
                <w:t>Signatures</w:t>
              </w:r>
            </w:hyperlink>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ef724952144c5901a16e084b27ff5_151">
              <w:r>
                <w:rPr>
                  <w:rStyle w:val="InternetLink"/>
                  <w:rFonts w:ascii="Arial;sans-serif" w:hAnsi="Arial;sans-serif"/>
                  <w:b w:val="false"/>
                  <w:color w:val="0000FF"/>
                  <w:sz w:val="20"/>
                  <w:u w:val="single"/>
                </w:rPr>
                <w:t>41</w:t>
              </w:r>
            </w:hyperlink>
          </w:p>
        </w:tc>
      </w:tr>
    </w:tbl>
    <w:p>
      <w:pPr>
        <w:pStyle w:val="TextBody"/>
        <w:bidi w:val="0"/>
        <w:spacing w:before="0" w:after="0"/>
        <w:jc w:val="left"/>
        <w:rPr/>
      </w:pPr>
      <w:r>
        <w:rPr/>
      </w:r>
    </w:p>
    <w:p>
      <w:pPr>
        <w:pStyle w:val="TextBody"/>
        <w:bidi w:val="0"/>
        <w:spacing w:lineRule="auto" w:line="288" w:before="0" w:after="240"/>
        <w:ind w:left="0" w:right="0" w:firstLine="363"/>
        <w:jc w:val="left"/>
        <w:rPr>
          <w:rFonts w:ascii="Arial;sans-serif" w:hAnsi="Arial;sans-serif"/>
          <w:b/>
          <w:color w:val="000000"/>
          <w:sz w:val="20"/>
        </w:rPr>
      </w:pPr>
      <w:r>
        <w:rPr>
          <w:rFonts w:ascii="Arial;sans-serif" w:hAnsi="Arial;sans-serif"/>
          <w:b/>
          <w:color w:val="000000"/>
          <w:sz w:val="20"/>
        </w:rPr>
        <w:t>Where You Can Find More Information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Investors and others should note that we may announce material business and financial information to our investors using our investor relations website (https://investors.tenable.com), our filings with the Securities and Exchange Commission (SEC), our website, webcasts, press releases, and conference calls. We use these mediums, including our website, to communicate with investors and the general public about our company, our products, and other issues, and for complying with our disclosure obligations under Regulation FD. It is possible that the information that we make available on our website may be deemed to be material information. We therefore encourage investors and others interested in our company to review the information that we make available on our website, in addition to following our SEC filings, our webcasts, press releases, and conference calls. The information we post through these channels is not a part of this Quarterly Report on Form 10-Q. These channels may be updated from time to time on our investor relations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PART I. FINANCIAL INFORMATION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648"/>
        <w:gridCol w:w="2146"/>
        <w:gridCol w:w="2159"/>
        <w:gridCol w:w="211"/>
        <w:gridCol w:w="1021"/>
        <w:gridCol w:w="109"/>
        <w:gridCol w:w="109"/>
        <w:gridCol w:w="109"/>
        <w:gridCol w:w="109"/>
        <w:gridCol w:w="240"/>
        <w:gridCol w:w="1166"/>
        <w:gridCol w:w="178"/>
      </w:tblGrid>
      <w:tr>
        <w:trPr/>
        <w:tc>
          <w:tcPr>
            <w:tcW w:w="2648"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6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per share data)</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Assets </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187,762 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214,419 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receivable (net of allowance for doubtful accounts of $530 and $656 at June 30, 2026 and December 31, 2025, respectively)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279,150 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commissions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52,914 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39,339 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current assets </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773,584 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Property and equipment, net </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40,062 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commissions (net of current portion)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71,715 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35,558 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intangible assets,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115,296 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697,886 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assets </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13,566 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assets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1,573,661 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1,747,667 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Current liabilities: </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21,889 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69,166 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706,866 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current liabilities </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812,949 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Deferred revenue (net of current portion) </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192,410 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 net of issuance costs (net of current portion)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354,209 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(net of current portion)</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50,877 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liabilities </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liabilities </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1,375,262 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1,421,291 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(par value: $0.01; 500,000 shares authorized; 132,356 and 129,046 shares issued at June 30, 2026 and December 31, 2025, respectively)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1,586,727 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(at cost: 21,914 and 10,596 shares at June 30, 2026 and December 31, 2025, respectively)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(364,574)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 income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(897,454)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326,376 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1,573,661 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1,747,667 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82"/>
        <w:gridCol w:w="1342"/>
        <w:gridCol w:w="1350"/>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5"/>
      </w:tblGrid>
      <w:tr>
        <w:trPr/>
        <w:tc>
          <w:tcPr>
            <w:tcW w:w="178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per share data)</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379,538 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210,273 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404,697 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(29,803)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(loss) per share: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used to compute net earnings (loss) per share: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 (LOSS)</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37"/>
        <w:gridCol w:w="1524"/>
        <w:gridCol w:w="1526"/>
        <w:gridCol w:w="227"/>
        <w:gridCol w:w="698"/>
        <w:gridCol w:w="117"/>
        <w:gridCol w:w="117"/>
        <w:gridCol w:w="117"/>
        <w:gridCol w:w="117"/>
        <w:gridCol w:w="227"/>
        <w:gridCol w:w="876"/>
        <w:gridCol w:w="117"/>
        <w:gridCol w:w="109"/>
        <w:gridCol w:w="109"/>
        <w:gridCol w:w="109"/>
        <w:gridCol w:w="211"/>
        <w:gridCol w:w="646"/>
        <w:gridCol w:w="109"/>
        <w:gridCol w:w="109"/>
        <w:gridCol w:w="109"/>
        <w:gridCol w:w="109"/>
        <w:gridCol w:w="211"/>
        <w:gridCol w:w="810"/>
        <w:gridCol w:w="164"/>
      </w:tblGrid>
      <w:tr>
        <w:trPr/>
        <w:tc>
          <w:tcPr>
            <w:tcW w:w="1737"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0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(37,641)</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net of tax:</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Unrealized losses on available-for-sale securities, net </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(loss)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(14,772)</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(37,697)</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775" w:type="dxa"/>
        <w:jc w:val="center"/>
        <w:tblInd w:w="0" w:type="dxa"/>
        <w:tblLayout w:type="fixed"/>
        <w:tblCellMar>
          <w:top w:w="28" w:type="dxa"/>
          <w:left w:w="28" w:type="dxa"/>
          <w:bottom w:w="28" w:type="dxa"/>
          <w:right w:w="28" w:type="dxa"/>
        </w:tblCellMar>
      </w:tblPr>
      <w:tblGrid>
        <w:gridCol w:w="562"/>
        <w:gridCol w:w="244"/>
        <w:gridCol w:w="245"/>
        <w:gridCol w:w="323"/>
        <w:gridCol w:w="323"/>
        <w:gridCol w:w="186"/>
        <w:gridCol w:w="109"/>
        <w:gridCol w:w="109"/>
        <w:gridCol w:w="109"/>
        <w:gridCol w:w="181"/>
        <w:gridCol w:w="496"/>
        <w:gridCol w:w="109"/>
        <w:gridCol w:w="109"/>
        <w:gridCol w:w="109"/>
        <w:gridCol w:w="109"/>
        <w:gridCol w:w="181"/>
        <w:gridCol w:w="766"/>
        <w:gridCol w:w="109"/>
        <w:gridCol w:w="109"/>
        <w:gridCol w:w="109"/>
        <w:gridCol w:w="109"/>
        <w:gridCol w:w="285"/>
        <w:gridCol w:w="286"/>
        <w:gridCol w:w="186"/>
        <w:gridCol w:w="109"/>
        <w:gridCol w:w="109"/>
        <w:gridCol w:w="109"/>
        <w:gridCol w:w="181"/>
        <w:gridCol w:w="646"/>
        <w:gridCol w:w="109"/>
        <w:gridCol w:w="109"/>
        <w:gridCol w:w="109"/>
        <w:gridCol w:w="109"/>
        <w:gridCol w:w="297"/>
        <w:gridCol w:w="618"/>
        <w:gridCol w:w="181"/>
        <w:gridCol w:w="109"/>
        <w:gridCol w:w="109"/>
        <w:gridCol w:w="109"/>
        <w:gridCol w:w="181"/>
        <w:gridCol w:w="646"/>
        <w:gridCol w:w="109"/>
        <w:gridCol w:w="109"/>
        <w:gridCol w:w="109"/>
        <w:gridCol w:w="109"/>
        <w:gridCol w:w="191"/>
        <w:gridCol w:w="682"/>
        <w:gridCol w:w="163"/>
      </w:tblGrid>
      <w:tr>
        <w:trPr/>
        <w:tc>
          <w:tcPr>
            <w:tcW w:w="56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Stockholders’</w:t>
              <w:br/>
              <w:t>Equity</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 thousands)</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Balance at March 31, 2026</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131,255 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1,638,765 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16,682 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(495,711)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(896,040)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248,220 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Vesting of performance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 of treasury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(100,731)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Shares issued from Treasury</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Taxes paid related to net share settlement of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47,246 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Balance at June 30, 2026</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132,356 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1,687,284 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21,914 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(597,710)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(892,235)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198,399 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Balance at December 31, 2025</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129,046 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1,586,727 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10,596 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(364,574)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(897,454)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326,376 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2,476 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Vesting of performance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 of treasury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11,371 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(231,610)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Shares issued from Treasury</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Taxes paid related to net share settlement of equity awards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91,606 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Balance at June 30, 2026</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132,356 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1,687,284 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21,914 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(597,710)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(892,235)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198,399 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Balance at March 31, 2025</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124,484 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1,440,770 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4,282 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(174,911)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(884,271)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383,161 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Vesting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Vesting of performance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of common stock under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of restricted stock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 of treasury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(64,999)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Taxes paid related to net share settlement of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Fair value of replacement equity attributable to pre-acquisition service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46,676 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(14,706)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Balance at June 30,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127,352 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1,489,379 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6,365 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(241,239)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(898,977)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350,699 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Balance at December 31, 2024</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122,371 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1,374,659 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(861,336)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399,954 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Vesting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Vesting of performance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of common stock under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9,712 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of restricted stock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 of treasury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3,652 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(124,999)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Taxes paid related to net share settlement of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Fair value of replacement equity attributable to pre-acquisition service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102,725 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(37,641)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Balance at June 30,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127,352 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1,489,379 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6,365 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(241,239)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(898,977)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350,699 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455"/>
        <w:gridCol w:w="2125"/>
        <w:gridCol w:w="2129"/>
        <w:gridCol w:w="348"/>
        <w:gridCol w:w="1417"/>
        <w:gridCol w:w="180"/>
        <w:gridCol w:w="109"/>
        <w:gridCol w:w="109"/>
        <w:gridCol w:w="109"/>
        <w:gridCol w:w="211"/>
        <w:gridCol w:w="856"/>
        <w:gridCol w:w="157"/>
      </w:tblGrid>
      <w:tr>
        <w:trPr/>
        <w:tc>
          <w:tcPr>
            <w:tcW w:w="2455"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6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20,560 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90,203 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accretion of discounts and amortization of premiums on short-term investments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vAlign w:val="center"/>
          </w:tcPr>
          <w:p>
            <w:pPr>
              <w:pStyle w:val="TableContents"/>
              <w:bidi w:val="0"/>
              <w:spacing w:before="0" w:after="283"/>
              <w:jc w:val="left"/>
              <w:rPr>
                <w:sz w:val="4"/>
                <w:szCs w:val="4"/>
              </w:rPr>
            </w:pPr>
            <w:r>
              <w:rPr>
                <w:sz w:val="4"/>
                <w:szCs w:val="4"/>
              </w:rPr>
            </w:r>
          </w:p>
        </w:tc>
        <w:tc>
          <w:tcPr>
            <w:tcW w:w="1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6709" w:type="dxa"/>
            <w:gridSpan w:val="3"/>
            <w:tcBorders/>
            <w:vAlign w:val="center"/>
          </w:tcPr>
          <w:p>
            <w:pPr>
              <w:pStyle w:val="TableContents"/>
              <w:bidi w:val="0"/>
              <w:spacing w:before="0" w:after="283"/>
              <w:jc w:val="left"/>
              <w:rPr>
                <w:sz w:val="4"/>
                <w:szCs w:val="4"/>
              </w:rPr>
            </w:pPr>
            <w:r>
              <w:rPr>
                <w:sz w:val="4"/>
                <w:szCs w:val="4"/>
              </w:rPr>
            </w:r>
          </w:p>
        </w:tc>
        <w:tc>
          <w:tcPr>
            <w:tcW w:w="1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74,805 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assets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accrued expenses and accrued compensation</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(49,859)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and noncurrent liabilities</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132,687 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129,870 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short-term investments</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(55,656)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(83,338)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maturities of short-term investments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97,335 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other investments</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other investments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Business combinations, net of cash acquired</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(196,182)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1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30,596 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(168,766)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term loan</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vAlign w:val="center"/>
          </w:tcPr>
          <w:p>
            <w:pPr>
              <w:pStyle w:val="TableContents"/>
              <w:bidi w:val="0"/>
              <w:spacing w:before="0" w:after="283"/>
              <w:jc w:val="left"/>
              <w:rPr>
                <w:sz w:val="4"/>
                <w:szCs w:val="4"/>
              </w:rPr>
            </w:pPr>
            <w:r>
              <w:rPr>
                <w:sz w:val="4"/>
                <w:szCs w:val="4"/>
              </w:rPr>
            </w:r>
          </w:p>
        </w:tc>
        <w:tc>
          <w:tcPr>
            <w:tcW w:w="1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stock issued in connection with the employee stock purchase plan</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exercise of stock options</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for taxes related to net share settlement of equity awards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treasury stock</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(230,218)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(124,999)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vAlign w:val="center"/>
          </w:tcPr>
          <w:p>
            <w:pPr>
              <w:pStyle w:val="TableContents"/>
              <w:bidi w:val="0"/>
              <w:spacing w:before="0" w:after="283"/>
              <w:jc w:val="left"/>
              <w:rPr>
                <w:sz w:val="4"/>
                <w:szCs w:val="4"/>
              </w:rPr>
            </w:pPr>
            <w:r>
              <w:rPr>
                <w:sz w:val="4"/>
                <w:szCs w:val="4"/>
              </w:rPr>
            </w:r>
          </w:p>
        </w:tc>
        <w:tc>
          <w:tcPr>
            <w:tcW w:w="1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(224,823)</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(116,304)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 and restricted cash</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and cash equivalents and restricted cash</w:t>
            </w:r>
          </w:p>
        </w:tc>
        <w:tc>
          <w:tcPr>
            <w:tcW w:w="1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(62,411)</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(153,622)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at beginning of period</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187,762 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328,647 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and restricted cash at end of period</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125,351 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175,025 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 of cash flow information:</w:t>
            </w:r>
          </w:p>
        </w:tc>
        <w:tc>
          <w:tcPr>
            <w:tcW w:w="1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interest</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income taxes, net of refunds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Supplemental cash flow information related to leases:</w:t>
            </w:r>
          </w:p>
        </w:tc>
        <w:tc>
          <w:tcPr>
            <w:tcW w:w="1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payments for operating leases</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1. Summary of Significant Accounting Policies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Basis of Presentation and Preparation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accompanying consolidated financial statements include the accounts of Tenable Holdings, Inc. (the "Company," "we," "us," or "our") and our wholly owned subsidiaries and have been prepared in conformity with United States generally accepted accounting principles (“GAAP”) for interim financial information. All intercompany accounts and transactions have been eliminated in consolidation.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consolidated statements are unaudited and should be read in conjunction with the consolidated financial statements and related notes included in our 2025 Annual Report on Form 10-K ("10-K") filed with the Securities and Exchange Commission on February 27, 2026. The consolidated financial statements have been prepared on a basis consistent with the audited annual consolidated financial statements included in the 10-K and, in the opinion of management, include all adjustments of a normal recurring nature necessary to fairly state our financial position, our results of operations, and cash flows.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results for the three and six months ended June 30, 2026 are not necessarily indicative of the operating results expected for the year ending December 31, 2026 or any other future period.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preparation of consolidated financial statements in conformity with GAAP requires management to make estimates and assumptions that affect the amounts reported in the consolidated financial statements and accompanying notes. Actual results could differ significantly from these estimates.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operate as one operating segment. Our chief operating decision makers ("CODMs") are our Co-Chief Executive Officers. Our CODMs review financial information on a consolidated basis for purposes of making operating decisions, allocating resources and evaluating financial performance. Our CODMs review cost of sales expense, sales and marketing expense, research and development expense and general and administrative expense to assess our significant segment expenses, and review income (loss) from operations and net income (loss) to assess our operating performance. Our CODMs also review total assets, as reported on our consolidated balance sheets. See our consolidated statement of operations for our significant segment expenses, income (loss) from operations and net income (loss) in the periods presented.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significant accounting policies are described in our 10-K. During the six months ended June 30, 2026, there were no material changes to our significant accounting policies from those described in our 10-K.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Recently Adopted Accounting Pronouncements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July 2025, the FASB issued ASU 2025-05 - Measurement of Credit Loss for Accounts Receivable and Contract Assets, which provides a practical expedient for the calculation of current expected credit losses for accounts receivable and contract assets, allowing entities to assume that current conditions as of the balance sheet date will persist through the forecast period. The adoption of ASU 2025-05 as of January 1, 2026 on a prospective basis had an immaterial impact on our consolidated financial statements.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Recently Issued Accounting Pronouncements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December 2025, the FASB issued ASU 2025-10 - Government Grants (Topic 832): Accounting for Government Grants Received by Business Entities, establishing guidance on the recognition, measurement and presentation of government grants. The guidance is effective beginning January 1, 2029 on a modified prospective, modified retrospective or retrospective basis, with early adoption permitted. We are currently evaluating the impact of adopting this standard on our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2. Revenue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Disaggregation of Revenue</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a summary of revenue:</w:t>
      </w:r>
    </w:p>
    <w:tbl>
      <w:tblPr>
        <w:tblW w:w="9645" w:type="dxa"/>
        <w:jc w:val="left"/>
        <w:tblInd w:w="0" w:type="dxa"/>
        <w:tblLayout w:type="fixed"/>
        <w:tblCellMar>
          <w:top w:w="28" w:type="dxa"/>
          <w:left w:w="28" w:type="dxa"/>
          <w:bottom w:w="28" w:type="dxa"/>
          <w:right w:w="28" w:type="dxa"/>
        </w:tblCellMar>
      </w:tblPr>
      <w:tblGrid>
        <w:gridCol w:w="1419"/>
        <w:gridCol w:w="1247"/>
        <w:gridCol w:w="124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448,474 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Perpetual license and maintenance revenue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services and other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268,508 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247,295 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530,566 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486,432 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Revenue by region, based on the address of the end user as specified in our subscription, license or service agreements, was as follows:</w:t>
      </w:r>
    </w:p>
    <w:tbl>
      <w:tblPr>
        <w:tblW w:w="8564" w:type="dxa"/>
        <w:jc w:val="left"/>
        <w:tblInd w:w="0" w:type="dxa"/>
        <w:tblLayout w:type="fixed"/>
        <w:tblCellMar>
          <w:top w:w="28" w:type="dxa"/>
          <w:left w:w="28" w:type="dxa"/>
          <w:bottom w:w="28" w:type="dxa"/>
          <w:right w:w="28" w:type="dxa"/>
        </w:tblCellMar>
      </w:tblPr>
      <w:tblGrid>
        <w:gridCol w:w="1028"/>
        <w:gridCol w:w="902"/>
        <w:gridCol w:w="904"/>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02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299,944 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 Middle East and Africa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Pacific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268,508 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530,566 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ind w:left="0" w:right="0" w:firstLine="360"/>
        <w:jc w:val="left"/>
        <w:rPr>
          <w:rFonts w:ascii="Arial;sans-serif" w:hAnsi="Arial;sans-serif"/>
          <w:b w:val="false"/>
          <w:color w:val="000000"/>
          <w:sz w:val="20"/>
        </w:rPr>
      </w:pPr>
      <w:r>
        <w:rPr>
          <w:rFonts w:ascii="Arial;sans-serif" w:hAnsi="Arial;sans-serif"/>
          <w:b w:val="false"/>
          <w:color w:val="000000"/>
          <w:sz w:val="20"/>
        </w:rPr>
        <w:t>Customers located in the United States accounted for 52% of revenue in the three and six months ended June 30, 2026 and 53% of revenue in the three and six months ended June 30, 2025. No other country accounted for 10% or more of revenue in the periods presented.</w:t>
      </w:r>
    </w:p>
    <w:p>
      <w:pPr>
        <w:pStyle w:val="TextBody"/>
        <w:bidi w:val="0"/>
        <w:spacing w:lineRule="auto" w:line="288" w:before="0" w:after="240"/>
        <w:ind w:left="0" w:right="0" w:firstLine="360"/>
        <w:jc w:val="both"/>
        <w:rPr>
          <w:rFonts w:ascii="Arial;sans-serif" w:hAnsi="Arial;sans-serif"/>
          <w:b/>
          <w:i/>
          <w:color w:val="000000"/>
          <w:sz w:val="20"/>
        </w:rPr>
      </w:pPr>
      <w:r>
        <w:rPr>
          <w:rFonts w:ascii="Arial;sans-serif" w:hAnsi="Arial;sans-serif"/>
          <w:b/>
          <w:i/>
          <w:color w:val="000000"/>
          <w:sz w:val="20"/>
        </w:rPr>
        <w:t xml:space="preserve">Concentrations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sell and market our products and services through our field sales force that works closely with our channel partners, which includes a network of distributors and resellers, in developing sales opportunities. We use a two-tiered channel model whereby we sell our products and services to our distributors, which in turn sell to resellers, which then sell to end users. Revenue derived through our channel network comprised 95% of revenue in the three and six months ended June 30, 2026 and 94% of revenue in the three and six months ended June 30, 2025. One of our distributors accounted for 30% of revenue in the three and six months ended June 30, 2026 and 32% of revenue in the three and six months ended June 30, 2025, respectively. That same distributor accounted for 29% and 27% of accounts receivable at June 30, 2026 and December 31, 2025, respectively.</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Contract Balances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generally bill our customers in advance and accounts receivable are recorded when we have the right to invoice the customer. Contract liabilities consist of deferred revenue and include customer billings and payments received in advance of performance under the contract. In the three months ended June 30, 2026 and 2025 and the six months ended June 30, 2026 and 2025, we recognized revenue of $251.2 million, $231.1 million, $452.6 million and $412.0 million, respectively, that was included in the deferred revenue balance at the beginning of each respective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Remaining Performance Obligations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summarizes the future estimated revenue related to unsatisfied performance obligations:</w:t>
      </w:r>
    </w:p>
    <w:tbl>
      <w:tblPr>
        <w:tblW w:w="7058" w:type="dxa"/>
        <w:jc w:val="left"/>
        <w:tblInd w:w="0" w:type="dxa"/>
        <w:tblLayout w:type="fixed"/>
        <w:tblCellMar>
          <w:top w:w="28" w:type="dxa"/>
          <w:left w:w="28" w:type="dxa"/>
          <w:bottom w:w="28" w:type="dxa"/>
          <w:right w:w="28" w:type="dxa"/>
        </w:tblCellMar>
      </w:tblPr>
      <w:tblGrid>
        <w:gridCol w:w="1512"/>
        <w:gridCol w:w="1327"/>
        <w:gridCol w:w="1330"/>
        <w:gridCol w:w="211"/>
        <w:gridCol w:w="1021"/>
        <w:gridCol w:w="109"/>
        <w:gridCol w:w="109"/>
        <w:gridCol w:w="109"/>
        <w:gridCol w:w="109"/>
        <w:gridCol w:w="211"/>
        <w:gridCol w:w="856"/>
        <w:gridCol w:w="154"/>
      </w:tblGrid>
      <w:tr>
        <w:trPr/>
        <w:tc>
          <w:tcPr>
            <w:tcW w:w="151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performance obligations, short-term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641,918 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performance obligations, long-term</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performance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889,143 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Deferred Commissions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summarizes the activity of deferred incremental costs of obtaining a contract:</w:t>
      </w:r>
    </w:p>
    <w:tbl>
      <w:tblPr>
        <w:tblW w:w="10205" w:type="dxa"/>
        <w:jc w:val="left"/>
        <w:tblInd w:w="0" w:type="dxa"/>
        <w:tblLayout w:type="fixed"/>
        <w:tblCellMar>
          <w:top w:w="28" w:type="dxa"/>
          <w:left w:w="28" w:type="dxa"/>
          <w:bottom w:w="28" w:type="dxa"/>
          <w:right w:w="28" w:type="dxa"/>
        </w:tblCellMar>
      </w:tblPr>
      <w:tblGrid>
        <w:gridCol w:w="1624"/>
        <w:gridCol w:w="1423"/>
        <w:gridCol w:w="1426"/>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6"/>
      </w:tblGrid>
      <w:tr>
        <w:trPr/>
        <w:tc>
          <w:tcPr>
            <w:tcW w:w="1624"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Capitalization of contract acquisition costs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23,738 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deferred contract acquisition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115,059 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115,059 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3. Cash Equivalents, Short-Term Investments and Other Investments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Cash Equivalents and Short-Term Investments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review the fair value of our financial assets based on quoted prices for identical assets or prices for similar assets in active markets. The following tables summarize our assets that are measured at fair value on a recurring basis:</w:t>
      </w:r>
    </w:p>
    <w:tbl>
      <w:tblPr>
        <w:tblW w:w="10205" w:type="dxa"/>
        <w:jc w:val="center"/>
        <w:tblInd w:w="0" w:type="dxa"/>
        <w:tblLayout w:type="fixed"/>
        <w:tblCellMar>
          <w:top w:w="28" w:type="dxa"/>
          <w:left w:w="28" w:type="dxa"/>
          <w:bottom w:w="28" w:type="dxa"/>
          <w:right w:w="28" w:type="dxa"/>
        </w:tblCellMar>
      </w:tblPr>
      <w:tblGrid>
        <w:gridCol w:w="859"/>
        <w:gridCol w:w="698"/>
        <w:gridCol w:w="672"/>
        <w:gridCol w:w="457"/>
        <w:gridCol w:w="457"/>
        <w:gridCol w:w="458"/>
        <w:gridCol w:w="109"/>
        <w:gridCol w:w="109"/>
        <w:gridCol w:w="109"/>
        <w:gridCol w:w="232"/>
        <w:gridCol w:w="944"/>
        <w:gridCol w:w="120"/>
        <w:gridCol w:w="109"/>
        <w:gridCol w:w="109"/>
        <w:gridCol w:w="109"/>
        <w:gridCol w:w="353"/>
        <w:gridCol w:w="681"/>
        <w:gridCol w:w="185"/>
        <w:gridCol w:w="109"/>
        <w:gridCol w:w="109"/>
        <w:gridCol w:w="109"/>
        <w:gridCol w:w="324"/>
        <w:gridCol w:w="741"/>
        <w:gridCol w:w="168"/>
        <w:gridCol w:w="109"/>
        <w:gridCol w:w="109"/>
        <w:gridCol w:w="109"/>
        <w:gridCol w:w="266"/>
        <w:gridCol w:w="1081"/>
        <w:gridCol w:w="201"/>
      </w:tblGrid>
      <w:tr>
        <w:trPr/>
        <w:tc>
          <w:tcPr>
            <w:tcW w:w="85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2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97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r>
      <w:tr>
        <w:trPr/>
        <w:tc>
          <w:tcPr>
            <w:tcW w:w="2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equivalents</w:t>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18,533 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equivalents</w:t>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18,533 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18,533 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Short-term investments</w:t>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13,473 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73,901 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backed securities</w:t>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14,836 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Yankee bonds</w:t>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and agency obligations</w:t>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65,085 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short-term investments</w:t>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173,122 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172,858 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859"/>
        <w:gridCol w:w="698"/>
        <w:gridCol w:w="672"/>
        <w:gridCol w:w="457"/>
        <w:gridCol w:w="457"/>
        <w:gridCol w:w="458"/>
        <w:gridCol w:w="109"/>
        <w:gridCol w:w="109"/>
        <w:gridCol w:w="109"/>
        <w:gridCol w:w="232"/>
        <w:gridCol w:w="944"/>
        <w:gridCol w:w="120"/>
        <w:gridCol w:w="109"/>
        <w:gridCol w:w="109"/>
        <w:gridCol w:w="109"/>
        <w:gridCol w:w="320"/>
        <w:gridCol w:w="732"/>
        <w:gridCol w:w="167"/>
        <w:gridCol w:w="109"/>
        <w:gridCol w:w="109"/>
        <w:gridCol w:w="109"/>
        <w:gridCol w:w="357"/>
        <w:gridCol w:w="689"/>
        <w:gridCol w:w="187"/>
        <w:gridCol w:w="109"/>
        <w:gridCol w:w="109"/>
        <w:gridCol w:w="109"/>
        <w:gridCol w:w="266"/>
        <w:gridCol w:w="1081"/>
        <w:gridCol w:w="201"/>
      </w:tblGrid>
      <w:tr>
        <w:trPr/>
        <w:tc>
          <w:tcPr>
            <w:tcW w:w="85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equivalents</w:t>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59,760 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59,760 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equivalents</w:t>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59,760 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59,760 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Short-term investments</w:t>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94,894 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backed securities</w:t>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17,364 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Yankee bonds</w:t>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and agency obligations</w:t>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83,802 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short-term investments</w:t>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214,032 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214,419 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considered the extent to which any unrealized losses on our short-term investments were driven by credit risk and other factors, including market risk, and if it is more-likely-than-not that we would have to sell the security before the recovery of the amortized cost basis. At June 30, 2026 and December 31, 2025, our unrealized losses were due to changes in market interest rates compared to when the investments were initiated. We do not believe any unrealized losses represent credit losses, and it is unlikely we would sell the investments before we would recover their amortized cost basis.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contractual maturities of our short-term investments are as follows:</w:t>
      </w:r>
    </w:p>
    <w:tbl>
      <w:tblPr>
        <w:tblW w:w="10205" w:type="dxa"/>
        <w:jc w:val="left"/>
        <w:tblInd w:w="0" w:type="dxa"/>
        <w:tblLayout w:type="fixed"/>
        <w:tblCellMar>
          <w:top w:w="28" w:type="dxa"/>
          <w:left w:w="28" w:type="dxa"/>
          <w:bottom w:w="28" w:type="dxa"/>
          <w:right w:w="28" w:type="dxa"/>
        </w:tblCellMar>
      </w:tblPr>
      <w:tblGrid>
        <w:gridCol w:w="1000"/>
        <w:gridCol w:w="865"/>
        <w:gridCol w:w="867"/>
        <w:gridCol w:w="253"/>
        <w:gridCol w:w="1029"/>
        <w:gridCol w:w="130"/>
        <w:gridCol w:w="109"/>
        <w:gridCol w:w="109"/>
        <w:gridCol w:w="109"/>
        <w:gridCol w:w="324"/>
        <w:gridCol w:w="1317"/>
        <w:gridCol w:w="166"/>
        <w:gridCol w:w="109"/>
        <w:gridCol w:w="109"/>
        <w:gridCol w:w="109"/>
        <w:gridCol w:w="253"/>
        <w:gridCol w:w="1029"/>
        <w:gridCol w:w="130"/>
        <w:gridCol w:w="109"/>
        <w:gridCol w:w="109"/>
        <w:gridCol w:w="109"/>
        <w:gridCol w:w="319"/>
        <w:gridCol w:w="1299"/>
        <w:gridCol w:w="243"/>
      </w:tblGrid>
      <w:tr>
        <w:trPr/>
        <w:tc>
          <w:tcPr>
            <w:tcW w:w="100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r>
      <w:tr>
        <w:trPr/>
        <w:tc>
          <w:tcPr>
            <w:tcW w:w="2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Due within one year</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147,664 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147,517 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178,677 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178,995 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Due between one and two years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35,424 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short-term investments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173,122 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172,858 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214,032 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214,419 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June 30, 2026 and December 31, 2025, cash and cash equivalents included $8.9 million and $8.7 million, respectively, of restricted cash related to collateral for outstanding letters of credit and an operating lease.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Other Investments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investments in privately held, nonmarketable securities are measured at cost, less any impairment, plus or minus observable price changes for similar investments of the same issuer, and were as follows:</w:t>
      </w:r>
    </w:p>
    <w:tbl>
      <w:tblPr>
        <w:tblW w:w="7911" w:type="dxa"/>
        <w:jc w:val="center"/>
        <w:tblInd w:w="0" w:type="dxa"/>
        <w:tblLayout w:type="fixed"/>
        <w:tblCellMar>
          <w:top w:w="28" w:type="dxa"/>
          <w:left w:w="28" w:type="dxa"/>
          <w:bottom w:w="28" w:type="dxa"/>
          <w:right w:w="28" w:type="dxa"/>
        </w:tblCellMar>
      </w:tblPr>
      <w:tblGrid>
        <w:gridCol w:w="832"/>
        <w:gridCol w:w="730"/>
        <w:gridCol w:w="732"/>
        <w:gridCol w:w="619"/>
        <w:gridCol w:w="619"/>
        <w:gridCol w:w="621"/>
        <w:gridCol w:w="109"/>
        <w:gridCol w:w="109"/>
        <w:gridCol w:w="109"/>
        <w:gridCol w:w="281"/>
        <w:gridCol w:w="863"/>
        <w:gridCol w:w="145"/>
        <w:gridCol w:w="109"/>
        <w:gridCol w:w="109"/>
        <w:gridCol w:w="109"/>
        <w:gridCol w:w="377"/>
        <w:gridCol w:w="1160"/>
        <w:gridCol w:w="278"/>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securities</w:t>
            </w:r>
          </w:p>
        </w:tc>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6,702 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and other securities</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investments</w:t>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7,902 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7,702 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did not have any liabilities measured and recorded at fair value on a recurring basis at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4. Property and Equipment, Net</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Property and equipment, net consisted of the following:</w:t>
      </w:r>
    </w:p>
    <w:tbl>
      <w:tblPr>
        <w:tblW w:w="7844" w:type="dxa"/>
        <w:jc w:val="left"/>
        <w:tblInd w:w="0" w:type="dxa"/>
        <w:tblLayout w:type="fixed"/>
        <w:tblCellMar>
          <w:top w:w="28" w:type="dxa"/>
          <w:left w:w="28" w:type="dxa"/>
          <w:bottom w:w="28" w:type="dxa"/>
          <w:right w:w="28" w:type="dxa"/>
        </w:tblCellMar>
      </w:tblPr>
      <w:tblGrid>
        <w:gridCol w:w="1582"/>
        <w:gridCol w:w="1395"/>
        <w:gridCol w:w="1402"/>
        <w:gridCol w:w="633"/>
        <w:gridCol w:w="342"/>
        <w:gridCol w:w="349"/>
        <w:gridCol w:w="109"/>
        <w:gridCol w:w="109"/>
        <w:gridCol w:w="109"/>
        <w:gridCol w:w="807"/>
        <w:gridCol w:w="416"/>
        <w:gridCol w:w="591"/>
      </w:tblGrid>
      <w:tr>
        <w:trPr/>
        <w:tc>
          <w:tcPr>
            <w:tcW w:w="1582"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(in thousands)</w:t>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Computer software and equipment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21,676</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Internally developed software</w:t>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44,403</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Furniture and fixtures</w:t>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5,833</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33,049</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1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104,961</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Less: accumulated depreciation and amortization</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(71,310)</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(64,899)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40,062</w:t>
            </w:r>
          </w:p>
        </w:tc>
      </w:tr>
    </w:tbl>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property and equipment, net by geographic area is as follows:</w:t>
      </w:r>
    </w:p>
    <w:tbl>
      <w:tblPr>
        <w:tblW w:w="6010" w:type="dxa"/>
        <w:jc w:val="left"/>
        <w:tblInd w:w="0" w:type="dxa"/>
        <w:tblLayout w:type="fixed"/>
        <w:tblCellMar>
          <w:top w:w="28" w:type="dxa"/>
          <w:left w:w="28" w:type="dxa"/>
          <w:bottom w:w="28" w:type="dxa"/>
          <w:right w:w="28" w:type="dxa"/>
        </w:tblCellMar>
      </w:tblPr>
      <w:tblGrid>
        <w:gridCol w:w="935"/>
        <w:gridCol w:w="821"/>
        <w:gridCol w:w="823"/>
        <w:gridCol w:w="254"/>
        <w:gridCol w:w="905"/>
        <w:gridCol w:w="131"/>
        <w:gridCol w:w="109"/>
        <w:gridCol w:w="109"/>
        <w:gridCol w:w="109"/>
        <w:gridCol w:w="342"/>
        <w:gridCol w:w="1221"/>
        <w:gridCol w:w="251"/>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30,541 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26,494 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13,568 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45,611 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40,062 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Depreciation and amortization related to property and equipment was $3.6 million, $4.3 million, $7.0 million and $8.3 million in the three months ended June 30, 2026 and 2025 and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5. Goodwill and Intangible Assets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June 30, 2026 and December 31, 2025, our goodwill balance was $697.9 million.</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Acquired intangible assets subject to amortization are as follows:</w:t>
      </w:r>
    </w:p>
    <w:tbl>
      <w:tblPr>
        <w:tblW w:w="10205" w:type="dxa"/>
        <w:jc w:val="left"/>
        <w:tblInd w:w="0" w:type="dxa"/>
        <w:tblLayout w:type="fixed"/>
        <w:tblCellMar>
          <w:top w:w="28" w:type="dxa"/>
          <w:left w:w="28" w:type="dxa"/>
          <w:bottom w:w="28" w:type="dxa"/>
          <w:right w:w="28" w:type="dxa"/>
        </w:tblCellMar>
      </w:tblPr>
      <w:tblGrid>
        <w:gridCol w:w="425"/>
        <w:gridCol w:w="336"/>
        <w:gridCol w:w="337"/>
        <w:gridCol w:w="218"/>
        <w:gridCol w:w="884"/>
        <w:gridCol w:w="112"/>
        <w:gridCol w:w="109"/>
        <w:gridCol w:w="109"/>
        <w:gridCol w:w="109"/>
        <w:gridCol w:w="254"/>
        <w:gridCol w:w="905"/>
        <w:gridCol w:w="132"/>
        <w:gridCol w:w="109"/>
        <w:gridCol w:w="109"/>
        <w:gridCol w:w="109"/>
        <w:gridCol w:w="216"/>
        <w:gridCol w:w="877"/>
        <w:gridCol w:w="111"/>
        <w:gridCol w:w="109"/>
        <w:gridCol w:w="109"/>
        <w:gridCol w:w="109"/>
        <w:gridCol w:w="218"/>
        <w:gridCol w:w="884"/>
        <w:gridCol w:w="112"/>
        <w:gridCol w:w="109"/>
        <w:gridCol w:w="109"/>
        <w:gridCol w:w="109"/>
        <w:gridCol w:w="254"/>
        <w:gridCol w:w="905"/>
        <w:gridCol w:w="132"/>
        <w:gridCol w:w="109"/>
        <w:gridCol w:w="109"/>
        <w:gridCol w:w="109"/>
        <w:gridCol w:w="216"/>
        <w:gridCol w:w="877"/>
        <w:gridCol w:w="165"/>
      </w:tblGrid>
      <w:tr>
        <w:trPr/>
        <w:tc>
          <w:tcPr>
            <w:tcW w:w="42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Amount</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technology</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196,237 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(94,506)</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196,237 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(80,941)</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115,296 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196,727 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(94,996)</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101,731 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196,727 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(81,431)</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115,296 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Amortization of acquired intangible assets was $6.8 million, $6.5 million, $13.6 million and $12.4 million in the three months ended June 30, 2026 and 2025, and the six months ended June 30, 2026 and 2025, respectively. At June 30, 2026, our acquired intangible assets are expected to be amortized over an estimated remaining weighted average period of 4.5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At June 30, 2026, estimated future amortization of acquired intangible assets is as follows:</w:t>
      </w:r>
    </w:p>
    <w:tbl>
      <w:tblPr>
        <w:tblW w:w="3651" w:type="dxa"/>
        <w:jc w:val="center"/>
        <w:tblInd w:w="0" w:type="dxa"/>
        <w:tblLayout w:type="fixed"/>
        <w:tblCellMar>
          <w:top w:w="28" w:type="dxa"/>
          <w:left w:w="28" w:type="dxa"/>
          <w:bottom w:w="28" w:type="dxa"/>
          <w:right w:w="28" w:type="dxa"/>
        </w:tblCellMar>
      </w:tblPr>
      <w:tblGrid>
        <w:gridCol w:w="878"/>
        <w:gridCol w:w="774"/>
        <w:gridCol w:w="778"/>
        <w:gridCol w:w="211"/>
        <w:gridCol w:w="856"/>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(in thousands)</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Year ending December 31,</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Thereafter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6. Leases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components of lease expense were as follows:</w:t>
      </w:r>
    </w:p>
    <w:tbl>
      <w:tblPr>
        <w:tblW w:w="7472" w:type="dxa"/>
        <w:jc w:val="left"/>
        <w:tblInd w:w="0" w:type="dxa"/>
        <w:tblLayout w:type="fixed"/>
        <w:tblCellMar>
          <w:top w:w="28" w:type="dxa"/>
          <w:left w:w="28" w:type="dxa"/>
          <w:bottom w:w="28" w:type="dxa"/>
          <w:right w:w="28" w:type="dxa"/>
        </w:tblCellMar>
      </w:tblPr>
      <w:tblGrid>
        <w:gridCol w:w="753"/>
        <w:gridCol w:w="664"/>
        <w:gridCol w:w="667"/>
        <w:gridCol w:w="245"/>
        <w:gridCol w:w="750"/>
        <w:gridCol w:w="126"/>
        <w:gridCol w:w="126"/>
        <w:gridCol w:w="126"/>
        <w:gridCol w:w="126"/>
        <w:gridCol w:w="245"/>
        <w:gridCol w:w="750"/>
        <w:gridCol w:w="126"/>
        <w:gridCol w:w="109"/>
        <w:gridCol w:w="109"/>
        <w:gridCol w:w="109"/>
        <w:gridCol w:w="224"/>
        <w:gridCol w:w="685"/>
        <w:gridCol w:w="115"/>
        <w:gridCol w:w="115"/>
        <w:gridCol w:w="115"/>
        <w:gridCol w:w="115"/>
        <w:gridCol w:w="224"/>
        <w:gridCol w:w="685"/>
        <w:gridCol w:w="163"/>
      </w:tblGrid>
      <w:tr>
        <w:trPr/>
        <w:tc>
          <w:tcPr>
            <w:tcW w:w="75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(in thousands)</w:t>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Operating lease cost</w:t>
            </w:r>
            <w:r>
              <w:rPr>
                <w:rFonts w:ascii="Arial;sans-serif" w:hAnsi="Arial;sans-serif"/>
                <w:b w:val="false"/>
                <w:color w:val="000000"/>
                <w:sz w:val="13"/>
              </w:rPr>
              <w:t>(1)</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jc w:val="left"/>
        <w:rPr/>
      </w:pPr>
      <w:r>
        <w:rPr>
          <w:rFonts w:ascii="Arial;sans-serif" w:hAnsi="Arial;sans-serif"/>
          <w:b w:val="false"/>
          <w:color w:val="000000"/>
          <w:sz w:val="12"/>
          <w:shd w:fill="FFFFFF" w:val="clear"/>
        </w:rPr>
        <w:t>(1)</w:t>
      </w:r>
      <w:r>
        <w:rPr>
          <w:color w:val="000000"/>
          <w:shd w:fill="FFFFFF" w:val="clear"/>
        </w:rPr>
        <w:t>    </w:t>
      </w:r>
      <w:r>
        <w:rPr>
          <w:rFonts w:ascii="Arial;sans-serif" w:hAnsi="Arial;sans-serif"/>
          <w:b w:val="false"/>
          <w:color w:val="000000"/>
          <w:sz w:val="18"/>
        </w:rPr>
        <w:t>Excludes sublease income.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Sublease income, which is recorded as a reduction of rent expense, was $0.4 million in the three months ended June 30, 2026 and 2025 and $0.8 million in the six months ended June 30, 2026 and 2025.</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Rent expense for short-term leases in the three and six months ended June 30, 2026 and 2025 was not material.</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Supplemental information related to leases was as follows:</w:t>
      </w:r>
    </w:p>
    <w:tbl>
      <w:tblPr>
        <w:tblW w:w="6984" w:type="dxa"/>
        <w:jc w:val="center"/>
        <w:tblInd w:w="0" w:type="dxa"/>
        <w:tblLayout w:type="fixed"/>
        <w:tblCellMar>
          <w:top w:w="28" w:type="dxa"/>
          <w:left w:w="28" w:type="dxa"/>
          <w:bottom w:w="28" w:type="dxa"/>
          <w:right w:w="28" w:type="dxa"/>
        </w:tblCellMar>
      </w:tblPr>
      <w:tblGrid>
        <w:gridCol w:w="1289"/>
        <w:gridCol w:w="1128"/>
        <w:gridCol w:w="1137"/>
        <w:gridCol w:w="429"/>
        <w:gridCol w:w="429"/>
        <w:gridCol w:w="431"/>
        <w:gridCol w:w="109"/>
        <w:gridCol w:w="109"/>
        <w:gridCol w:w="109"/>
        <w:gridCol w:w="530"/>
        <w:gridCol w:w="530"/>
        <w:gridCol w:w="754"/>
      </w:tblGrid>
      <w:tr>
        <w:trPr/>
        <w:tc>
          <w:tcPr>
            <w:tcW w:w="128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Operating leases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 average remaining lease term</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 years</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w:t>
            </w:r>
          </w:p>
        </w:tc>
      </w:tr>
    </w:tbl>
    <w:tbl>
      <w:tblPr>
        <w:tblW w:w="10175" w:type="dxa"/>
        <w:jc w:val="left"/>
        <w:tblInd w:w="0" w:type="dxa"/>
        <w:tblLayout w:type="fixed"/>
        <w:tblCellMar>
          <w:top w:w="28" w:type="dxa"/>
          <w:left w:w="28" w:type="dxa"/>
          <w:bottom w:w="28" w:type="dxa"/>
          <w:right w:w="28" w:type="dxa"/>
        </w:tblCellMar>
      </w:tblPr>
      <w:tblGrid>
        <w:gridCol w:w="1729"/>
        <w:gridCol w:w="1524"/>
        <w:gridCol w:w="1531"/>
        <w:gridCol w:w="298"/>
        <w:gridCol w:w="575"/>
        <w:gridCol w:w="154"/>
        <w:gridCol w:w="154"/>
        <w:gridCol w:w="154"/>
        <w:gridCol w:w="154"/>
        <w:gridCol w:w="298"/>
        <w:gridCol w:w="681"/>
        <w:gridCol w:w="154"/>
        <w:gridCol w:w="109"/>
        <w:gridCol w:w="109"/>
        <w:gridCol w:w="109"/>
        <w:gridCol w:w="241"/>
        <w:gridCol w:w="738"/>
        <w:gridCol w:w="124"/>
        <w:gridCol w:w="124"/>
        <w:gridCol w:w="124"/>
        <w:gridCol w:w="124"/>
        <w:gridCol w:w="241"/>
        <w:gridCol w:w="550"/>
        <w:gridCol w:w="176"/>
      </w:tblGrid>
      <w:tr>
        <w:trPr/>
        <w:tc>
          <w:tcPr>
            <w:tcW w:w="172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(in thousands)</w:t>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ROU assets obtained in exchange for lease obligations</w:t>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Operating leases</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Maturities of operating lease liabilities at June 30, 2026 were as follows:</w:t>
      </w:r>
    </w:p>
    <w:tbl>
      <w:tblPr>
        <w:tblW w:w="3546" w:type="dxa"/>
        <w:jc w:val="left"/>
        <w:tblInd w:w="0" w:type="dxa"/>
        <w:tblLayout w:type="fixed"/>
        <w:tblCellMar>
          <w:top w:w="28" w:type="dxa"/>
          <w:left w:w="28" w:type="dxa"/>
          <w:bottom w:w="28" w:type="dxa"/>
          <w:right w:w="28" w:type="dxa"/>
        </w:tblCellMar>
      </w:tblPr>
      <w:tblGrid>
        <w:gridCol w:w="878"/>
        <w:gridCol w:w="774"/>
        <w:gridCol w:w="778"/>
        <w:gridCol w:w="211"/>
        <w:gridCol w:w="751"/>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(in thousands)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Year ending December 31,</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Thereafter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lease payments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Less: Imputed interest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Operating lease payments in the table above do not include $0.9 million, $1.8 million, $1.9 million, $1.9 million, $2.0 million and $2.5 million of sublease payments we expect to receive in 2026, 2027, 2028, 2029, 2030 and thereafter,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7. Debt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Credit Agreement</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In July 2021, we entered into a credit agreement ("Credit Agreement") which is comprised of:</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a $375.0 million senior secured term loan facility ("Term Loan"); and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$50.0 million senior secured revolving credit facility ("Revolving Credit Facility").</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table below summarizes the carrying value of the Term Loan:</w:t>
      </w:r>
    </w:p>
    <w:tbl>
      <w:tblPr>
        <w:tblW w:w="6299" w:type="dxa"/>
        <w:jc w:val="left"/>
        <w:tblInd w:w="0" w:type="dxa"/>
        <w:tblLayout w:type="fixed"/>
        <w:tblCellMar>
          <w:top w:w="28" w:type="dxa"/>
          <w:left w:w="28" w:type="dxa"/>
          <w:bottom w:w="28" w:type="dxa"/>
          <w:right w:w="28" w:type="dxa"/>
        </w:tblCellMar>
      </w:tblPr>
      <w:tblGrid>
        <w:gridCol w:w="1800"/>
        <w:gridCol w:w="1581"/>
        <w:gridCol w:w="1584"/>
        <w:gridCol w:w="230"/>
        <w:gridCol w:w="936"/>
        <w:gridCol w:w="168"/>
      </w:tblGrid>
      <w:tr>
        <w:trPr/>
        <w:tc>
          <w:tcPr>
            <w:tcW w:w="1800"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358,125 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Unamortized debt discount and issuance costs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 net of issuance costs</w:t>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355,444 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Term loan, net, current</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 net of issuance costs (net of current portion)</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352,983 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Term Loan is recorded at its carrying value. At June 30, 2026, the fair value of our Term Loan was approximately $357.7 million. In the fair value hierarchy, our Term Loan is classified as Level 2 as it is traded in less active markets.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maturities of our Term Loan at June 30, 2026 were as follows:</w:t>
      </w:r>
    </w:p>
    <w:tbl>
      <w:tblPr>
        <w:tblW w:w="3651" w:type="dxa"/>
        <w:jc w:val="left"/>
        <w:tblInd w:w="0" w:type="dxa"/>
        <w:tblLayout w:type="fixed"/>
        <w:tblCellMar>
          <w:top w:w="28" w:type="dxa"/>
          <w:left w:w="28" w:type="dxa"/>
          <w:bottom w:w="28" w:type="dxa"/>
          <w:right w:w="28" w:type="dxa"/>
        </w:tblCellMar>
      </w:tblPr>
      <w:tblGrid>
        <w:gridCol w:w="878"/>
        <w:gridCol w:w="774"/>
        <w:gridCol w:w="778"/>
        <w:gridCol w:w="211"/>
        <w:gridCol w:w="856"/>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(in thousands)</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Year ending December 31,</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Arial;sans-serif" w:hAnsi="Arial;sans-serif"/>
                <w:b w:val="false"/>
                <w:color w:val="000000"/>
                <w:sz w:val="20"/>
              </w:rPr>
            </w:pPr>
            <w:r>
              <w:rPr>
                <w:rFonts w:ascii="Arial;sans-serif" w:hAnsi="Arial;sans-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358,125 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may be subject to mandatory Term Loan prepayments related to the excess cash flow provisions. These prepayments would only be required if our first lien net leverage ratio (as defined in our Credit Agreement) exceeds 3.5 at the end of each year. At June 30, 2026, our first lien net leverage ratio was 0.77. The final payment on our Term Loan of $350.6 million is due on the July 7, 2028 maturity date.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Revolving Credit Facility expired on July 7, 2026, and we did not elect to enter into a new facility.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8. Commitments and Contingencies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Commitments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December 2023, we entered into a contract with Microsoft for cloud services from February 2024 through January 2027. Under the terms of the contract we committed to spend €28.5 million. As of June 30, 2026, we have spent €20.5 million of our commitment.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July 2024, we entered into a contract with AWS for cloud services, in which we committed to spend $59.7 million, $77.6 million and $93.0 million in contract years one, two and three, respectively, for a total commitment of $230.3 million from August 2024 to July 2027. As of June 30, 2026, we have met our first year commitment and we have spent $76.5 million of our second year commitment.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Letters of Credit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June 30, 2026, we had $5.7 million of standby letters of credit related to our grant agreements with the State of Maryland and our operating leases. Collateral for $5.5 million of our letters of credit was classified as restricted cash in cash and cash equivalents.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9. Stock-Based Compensation</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Stock-based compensation expense included in the consolidated statements of operations was as follows: </w:t>
      </w:r>
    </w:p>
    <w:tbl>
      <w:tblPr>
        <w:tblW w:w="10134" w:type="dxa"/>
        <w:jc w:val="left"/>
        <w:tblInd w:w="0" w:type="dxa"/>
        <w:tblLayout w:type="fixed"/>
        <w:tblCellMar>
          <w:top w:w="28" w:type="dxa"/>
          <w:left w:w="28" w:type="dxa"/>
          <w:bottom w:w="28" w:type="dxa"/>
          <w:right w:w="28" w:type="dxa"/>
        </w:tblCellMar>
      </w:tblPr>
      <w:tblGrid>
        <w:gridCol w:w="1361"/>
        <w:gridCol w:w="1193"/>
        <w:gridCol w:w="1196"/>
        <w:gridCol w:w="467"/>
        <w:gridCol w:w="345"/>
        <w:gridCol w:w="346"/>
        <w:gridCol w:w="241"/>
        <w:gridCol w:w="241"/>
        <w:gridCol w:w="241"/>
        <w:gridCol w:w="467"/>
        <w:gridCol w:w="345"/>
        <w:gridCol w:w="346"/>
        <w:gridCol w:w="109"/>
        <w:gridCol w:w="109"/>
        <w:gridCol w:w="109"/>
        <w:gridCol w:w="419"/>
        <w:gridCol w:w="345"/>
        <w:gridCol w:w="346"/>
        <w:gridCol w:w="216"/>
        <w:gridCol w:w="216"/>
        <w:gridCol w:w="216"/>
        <w:gridCol w:w="419"/>
        <w:gridCol w:w="347"/>
        <w:gridCol w:w="494"/>
      </w:tblGrid>
      <w:tr>
        <w:trPr/>
        <w:tc>
          <w:tcPr>
            <w:tcW w:w="136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3,565</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6,840</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6,775</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17,868</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35,341</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34,448</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13,986</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27,015</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28,267</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General and administrative</w:t>
            </w:r>
            <w:r>
              <w:rPr>
                <w:rFonts w:ascii="Arial;sans-serif" w:hAnsi="Arial;sans-serif"/>
                <w:b w:val="false"/>
                <w:color w:val="000000"/>
                <w:sz w:val="13"/>
              </w:rPr>
              <w:t>(1)</w:t>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10,930</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21,007</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32,939</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46,349</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90,203</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102,429</w:t>
            </w:r>
          </w:p>
        </w:tc>
      </w:tr>
    </w:tbl>
    <w:p>
      <w:pPr>
        <w:pStyle w:val="TextBody"/>
        <w:bidi w:val="0"/>
        <w:spacing w:lineRule="auto" w:line="288" w:before="0" w:after="6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jc w:val="left"/>
        <w:rPr/>
      </w:pPr>
      <w:r>
        <w:rPr>
          <w:rFonts w:ascii="Arial;sans-serif" w:hAnsi="Arial;sans-serif"/>
          <w:b w:val="false"/>
          <w:color w:val="000000"/>
          <w:sz w:val="13"/>
          <w:shd w:fill="FFFFFF" w:val="clear"/>
        </w:rPr>
        <w:t>(1)</w:t>
      </w:r>
      <w:r>
        <w:rPr>
          <w:color w:val="000000"/>
          <w:shd w:fill="FFFFFF" w:val="clear"/>
        </w:rPr>
        <w:t>    </w:t>
      </w:r>
      <w:r>
        <w:rPr>
          <w:rFonts w:ascii="Arial;sans-serif" w:hAnsi="Arial;sans-serif"/>
          <w:b w:val="false"/>
          <w:color w:val="000000"/>
          <w:sz w:val="18"/>
        </w:rPr>
        <w:t>Stock-based compensation in the six months ended June 30, 2025 includes $14.6 million of expense related to the accelerated vesting of equity awards for our former Chairman and Chief Executive Officer.</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 summary of the unrecognized stock-based compensation expense related to unvested awards at June 30, 2026 is presented below:</w:t>
      </w:r>
    </w:p>
    <w:tbl>
      <w:tblPr>
        <w:tblW w:w="10205" w:type="dxa"/>
        <w:jc w:val="left"/>
        <w:tblInd w:w="0" w:type="dxa"/>
        <w:tblLayout w:type="fixed"/>
        <w:tblCellMar>
          <w:top w:w="28" w:type="dxa"/>
          <w:left w:w="28" w:type="dxa"/>
          <w:bottom w:w="28" w:type="dxa"/>
          <w:right w:w="28" w:type="dxa"/>
        </w:tblCellMar>
      </w:tblPr>
      <w:tblGrid>
        <w:gridCol w:w="1372"/>
        <w:gridCol w:w="1145"/>
        <w:gridCol w:w="1154"/>
        <w:gridCol w:w="645"/>
        <w:gridCol w:w="2622"/>
        <w:gridCol w:w="335"/>
        <w:gridCol w:w="109"/>
        <w:gridCol w:w="109"/>
        <w:gridCol w:w="109"/>
        <w:gridCol w:w="762"/>
        <w:gridCol w:w="762"/>
        <w:gridCol w:w="1081"/>
      </w:tblGrid>
      <w:tr>
        <w:trPr/>
        <w:tc>
          <w:tcPr>
            <w:tcW w:w="137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Unrecognized Stock-Based Compensation Expense </w:t>
              <w:b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Estimated Weighted Average Period </w:t>
              <w:br/>
              <w:t>(in years)</w:t>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 ("RSUs")</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375,379 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stock units ("PSUs")</w:t>
            </w:r>
          </w:p>
        </w:tc>
        <w:tc>
          <w:tcPr>
            <w:tcW w:w="3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w:t>
            </w:r>
          </w:p>
        </w:tc>
        <w:tc>
          <w:tcPr>
            <w:tcW w:w="3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2018 Employee Stock Purchase Plan ("2018 ESPP")</w:t>
            </w:r>
          </w:p>
        </w:tc>
        <w:tc>
          <w:tcPr>
            <w:tcW w:w="3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r>
    </w:tbl>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Restricted Stock, RSUs and PSUs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 summary of our restricted stock, RSU and PSU activity is presented below:</w:t>
      </w:r>
    </w:p>
    <w:tbl>
      <w:tblPr>
        <w:tblW w:w="10205" w:type="dxa"/>
        <w:jc w:val="center"/>
        <w:tblInd w:w="0" w:type="dxa"/>
        <w:tblLayout w:type="fixed"/>
        <w:tblCellMar>
          <w:top w:w="28" w:type="dxa"/>
          <w:left w:w="28" w:type="dxa"/>
          <w:bottom w:w="28" w:type="dxa"/>
          <w:right w:w="28" w:type="dxa"/>
        </w:tblCellMar>
      </w:tblPr>
      <w:tblGrid>
        <w:gridCol w:w="810"/>
        <w:gridCol w:w="530"/>
        <w:gridCol w:w="533"/>
        <w:gridCol w:w="331"/>
        <w:gridCol w:w="331"/>
        <w:gridCol w:w="333"/>
        <w:gridCol w:w="109"/>
        <w:gridCol w:w="109"/>
        <w:gridCol w:w="109"/>
        <w:gridCol w:w="259"/>
        <w:gridCol w:w="796"/>
        <w:gridCol w:w="134"/>
        <w:gridCol w:w="109"/>
        <w:gridCol w:w="109"/>
        <w:gridCol w:w="109"/>
        <w:gridCol w:w="421"/>
        <w:gridCol w:w="331"/>
        <w:gridCol w:w="333"/>
        <w:gridCol w:w="109"/>
        <w:gridCol w:w="109"/>
        <w:gridCol w:w="109"/>
        <w:gridCol w:w="259"/>
        <w:gridCol w:w="796"/>
        <w:gridCol w:w="134"/>
        <w:gridCol w:w="109"/>
        <w:gridCol w:w="109"/>
        <w:gridCol w:w="109"/>
        <w:gridCol w:w="331"/>
        <w:gridCol w:w="331"/>
        <w:gridCol w:w="333"/>
        <w:gridCol w:w="109"/>
        <w:gridCol w:w="109"/>
        <w:gridCol w:w="109"/>
        <w:gridCol w:w="257"/>
        <w:gridCol w:w="789"/>
        <w:gridCol w:w="198"/>
      </w:tblGrid>
      <w:tr>
        <w:trPr/>
        <w:tc>
          <w:tcPr>
            <w:tcW w:w="81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PSUs</w:t>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(in thousands, except for per share data)</w:t>
            </w:r>
          </w:p>
        </w:tc>
        <w:tc>
          <w:tcPr>
            <w:tcW w:w="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 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Grant Date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 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Grant Date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 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Grant Date Fair Value</w:t>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balance at December 31, 2025</w:t>
            </w:r>
          </w:p>
        </w:tc>
        <w:tc>
          <w:tcPr>
            <w:tcW w:w="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40.37 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9,972 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Performance adjustment</w:t>
            </w:r>
            <w:r>
              <w:rPr>
                <w:rFonts w:ascii="Arial;sans-serif" w:hAnsi="Arial;sans-serif"/>
                <w:b w:val="false"/>
                <w:color w:val="000000"/>
                <w:sz w:val="13"/>
              </w:rPr>
              <w:t>(1)</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(2,608)</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balance at June 30, 2026</w:t>
            </w:r>
          </w:p>
        </w:tc>
        <w:tc>
          <w:tcPr>
            <w:tcW w:w="9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jc w:val="left"/>
        <w:rPr/>
      </w:pPr>
      <w:r>
        <w:rPr>
          <w:rFonts w:ascii="Arial;sans-serif" w:hAnsi="Arial;sans-serif"/>
          <w:b w:val="false"/>
          <w:color w:val="000000"/>
          <w:sz w:val="12"/>
          <w:shd w:fill="FFFFFF" w:val="clear"/>
        </w:rPr>
        <w:t>(1)</w:t>
      </w:r>
      <w:r>
        <w:rPr>
          <w:color w:val="000000"/>
          <w:shd w:fill="FFFFFF" w:val="clear"/>
        </w:rPr>
        <w:t>    </w:t>
      </w:r>
      <w:r>
        <w:rPr>
          <w:rFonts w:ascii="Arial;sans-serif" w:hAnsi="Arial;sans-serif"/>
          <w:b w:val="false"/>
          <w:color w:val="000000"/>
          <w:sz w:val="18"/>
          <w:shd w:fill="FFFFFF" w:val="clear"/>
        </w:rPr>
        <w:t>Represents adjustments due to actual performance measured against predefined financial performance targets.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January 2026, under the evergreen provision in our 2018 Equity Incentive Plan we reserved an additional 5.9 million shares of our common stock. At June 30, 2026, there were 21.3 million shares available for grant under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 summary of our stock option activity is presented below:</w:t>
      </w:r>
    </w:p>
    <w:tbl>
      <w:tblPr>
        <w:tblW w:w="10205" w:type="dxa"/>
        <w:jc w:val="left"/>
        <w:tblInd w:w="0" w:type="dxa"/>
        <w:tblLayout w:type="fixed"/>
        <w:tblCellMar>
          <w:top w:w="28" w:type="dxa"/>
          <w:left w:w="28" w:type="dxa"/>
          <w:bottom w:w="28" w:type="dxa"/>
          <w:right w:w="28" w:type="dxa"/>
        </w:tblCellMar>
      </w:tblPr>
      <w:tblGrid>
        <w:gridCol w:w="1047"/>
        <w:gridCol w:w="776"/>
        <w:gridCol w:w="780"/>
        <w:gridCol w:w="282"/>
        <w:gridCol w:w="282"/>
        <w:gridCol w:w="283"/>
        <w:gridCol w:w="109"/>
        <w:gridCol w:w="109"/>
        <w:gridCol w:w="109"/>
        <w:gridCol w:w="245"/>
        <w:gridCol w:w="750"/>
        <w:gridCol w:w="126"/>
        <w:gridCol w:w="109"/>
        <w:gridCol w:w="109"/>
        <w:gridCol w:w="109"/>
        <w:gridCol w:w="1003"/>
        <w:gridCol w:w="1003"/>
        <w:gridCol w:w="1005"/>
        <w:gridCol w:w="109"/>
        <w:gridCol w:w="109"/>
        <w:gridCol w:w="109"/>
        <w:gridCol w:w="686"/>
        <w:gridCol w:w="446"/>
        <w:gridCol w:w="510"/>
      </w:tblGrid>
      <w:tr>
        <w:trPr/>
        <w:tc>
          <w:tcPr>
            <w:tcW w:w="104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(in thousands, except for exercise prices and years)</w:t>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w:t>
              <w:br/>
              <w:t>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Weighted-Average Remaining Contractual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pPr>
            <w:r>
              <w:rPr>
                <w:rFonts w:ascii="Arial;sans-serif" w:hAnsi="Arial;sans-serif"/>
                <w:b/>
                <w:sz w:val="18"/>
              </w:rPr>
              <w:br/>
            </w:r>
            <w:r>
              <w:rPr>
                <w:rFonts w:ascii="Arial;sans-serif" w:hAnsi="Arial;sans-serif"/>
                <w:b/>
                <w:color w:val="000000"/>
                <w:sz w:val="18"/>
              </w:rPr>
              <w:t>Aggregate Intrinsic Value</w:t>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2025</w:t>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15,210</w:t>
            </w:r>
          </w:p>
        </w:tc>
      </w:tr>
      <w:tr>
        <w:trPr/>
        <w:tc>
          <w:tcPr>
            <w:tcW w:w="2603"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2" w:type="dxa"/>
            <w:gridSpan w:val="3"/>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4,418</w:t>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Forfeited/canceled</w:t>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and exercisable at June 30, 2026</w:t>
            </w:r>
          </w:p>
        </w:tc>
        <w:tc>
          <w:tcPr>
            <w:tcW w:w="84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24,879</w:t>
            </w:r>
          </w:p>
        </w:tc>
      </w:tr>
    </w:tbl>
    <w:p>
      <w:pPr>
        <w:pStyle w:val="TextBody"/>
        <w:bidi w:val="0"/>
        <w:spacing w:lineRule="auto" w:line="288" w:before="100" w:after="240"/>
        <w:ind w:left="0" w:right="0" w:firstLine="360"/>
        <w:jc w:val="left"/>
        <w:rPr>
          <w:rFonts w:ascii="Arial;sans-serif" w:hAnsi="Arial;sans-serif"/>
          <w:b/>
          <w:i/>
          <w:color w:val="000000"/>
          <w:sz w:val="20"/>
          <w:shd w:fill="FFFFFF" w:val="clear"/>
        </w:rPr>
      </w:pPr>
      <w:r>
        <w:rPr>
          <w:rFonts w:ascii="Arial;sans-serif" w:hAnsi="Arial;sans-serif"/>
          <w:b/>
          <w:i/>
          <w:color w:val="000000"/>
          <w:sz w:val="20"/>
          <w:shd w:fill="FFFFFF" w:val="clear"/>
        </w:rPr>
        <w:t>2018 Employee Stock Purchase Plan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the six months ended June 30, 2026, employees purchased 0.5 million shares of our common stock at a weighted average price of $16.35 per share, resulting in $8.7 million of cash proceeds. At June 30, 2026, there were $5.8 million of employee contributions to the 2018 ESPP included in accrued compensation.</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fair value of the 2018 ESPP purchase rights was estimated on the offering or modification dates using the following assumptions:</w:t>
      </w:r>
    </w:p>
    <w:tbl>
      <w:tblPr>
        <w:tblW w:w="6147" w:type="dxa"/>
        <w:jc w:val="left"/>
        <w:tblInd w:w="0" w:type="dxa"/>
        <w:tblLayout w:type="fixed"/>
        <w:tblCellMar>
          <w:top w:w="28" w:type="dxa"/>
          <w:left w:w="28" w:type="dxa"/>
          <w:bottom w:w="28" w:type="dxa"/>
          <w:right w:w="28" w:type="dxa"/>
        </w:tblCellMar>
      </w:tblPr>
      <w:tblGrid>
        <w:gridCol w:w="819"/>
        <w:gridCol w:w="721"/>
        <w:gridCol w:w="725"/>
        <w:gridCol w:w="510"/>
        <w:gridCol w:w="510"/>
        <w:gridCol w:w="510"/>
        <w:gridCol w:w="259"/>
        <w:gridCol w:w="259"/>
        <w:gridCol w:w="259"/>
        <w:gridCol w:w="461"/>
        <w:gridCol w:w="461"/>
        <w:gridCol w:w="653"/>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term (in years)</w:t>
            </w:r>
          </w:p>
        </w:tc>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0.5 — 2.0</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0.5 — 2.0</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34.5% — 39.2%</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30.6% — 38.2%</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3.4% — 3.6%</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3.9% — 4.2%</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00" w:after="240"/>
        <w:ind w:left="0" w:right="0" w:firstLine="360"/>
        <w:jc w:val="left"/>
        <w:rPr>
          <w:rFonts w:ascii="Arial;sans-serif" w:hAnsi="Arial;sans-serif"/>
          <w:b w:val="false"/>
          <w:color w:val="000000"/>
          <w:sz w:val="20"/>
        </w:rPr>
      </w:pPr>
      <w:r>
        <w:rPr>
          <w:rFonts w:ascii="Arial;sans-serif" w:hAnsi="Arial;sans-serif"/>
          <w:b w:val="false"/>
          <w:color w:val="000000"/>
          <w:sz w:val="20"/>
        </w:rPr>
        <w:t>Under the evergreen provision in our 2018 ESPP, in January 2026 we reserved an additional 1.8 million shares of our common stock. At June 30, 2026, there were 12.5 million shares reserved for issuance under the 2018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10. Income Taxes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three months ended June 30, 2026, the provision for income taxes included $1.2 million of income taxes in foreign jurisdictions in which we conduct business and $1.9 million of discrete items primarily related to withholding taxes on sales to customers.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six months ended June 30, 2026, the provision for income taxes included $2.8 million of income taxes in foreign jurisdictions in which we conduct business and $4.0 million of discrete items primarily related to withholding taxes on sales to customers.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three months ended June 30, 2025, the provision for income taxes included $3.0 million of income taxes in foreign jurisdictions in which we conduct business and $1.2 million of discrete items primarily related to withholding taxes on sales to customers.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the six months ended June 30, 2025, the provision for income taxes included $5.1 million of income taxes in foreign jurisdictions in which we conduct business and $2.7 million of discrete items primarily related to withholding taxes on sales to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11. Net Earnings (Loss) Per Share</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net earnings (loss) per share:</w:t>
      </w:r>
    </w:p>
    <w:tbl>
      <w:tblPr>
        <w:tblW w:w="10205" w:type="dxa"/>
        <w:jc w:val="left"/>
        <w:tblInd w:w="0" w:type="dxa"/>
        <w:tblLayout w:type="fixed"/>
        <w:tblCellMar>
          <w:top w:w="28" w:type="dxa"/>
          <w:left w:w="28" w:type="dxa"/>
          <w:bottom w:w="28" w:type="dxa"/>
          <w:right w:w="28" w:type="dxa"/>
        </w:tblCellMar>
      </w:tblPr>
      <w:tblGrid>
        <w:gridCol w:w="1898"/>
        <w:gridCol w:w="1491"/>
        <w:gridCol w:w="1499"/>
        <w:gridCol w:w="222"/>
        <w:gridCol w:w="681"/>
        <w:gridCol w:w="115"/>
        <w:gridCol w:w="115"/>
        <w:gridCol w:w="115"/>
        <w:gridCol w:w="115"/>
        <w:gridCol w:w="222"/>
        <w:gridCol w:w="836"/>
        <w:gridCol w:w="115"/>
        <w:gridCol w:w="109"/>
        <w:gridCol w:w="109"/>
        <w:gridCol w:w="109"/>
        <w:gridCol w:w="211"/>
        <w:gridCol w:w="646"/>
        <w:gridCol w:w="109"/>
        <w:gridCol w:w="109"/>
        <w:gridCol w:w="109"/>
        <w:gridCol w:w="109"/>
        <w:gridCol w:w="211"/>
        <w:gridCol w:w="791"/>
        <w:gridCol w:w="159"/>
      </w:tblGrid>
      <w:tr>
        <w:trPr/>
        <w:tc>
          <w:tcPr>
            <w:tcW w:w="1898"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per share data)</w:t>
            </w:r>
          </w:p>
        </w:tc>
        <w:tc>
          <w:tcPr>
            <w:tcW w:w="10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used to compute net earnings (loss) per share:</w:t>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110,742 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120,533 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impact of outstanding equity awards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113,768 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120,979 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120,533 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(loss) per share</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potentially dilutive securities have been excluded from the diluted per share calculations because they would have been antidilutive:</w:t>
      </w:r>
    </w:p>
    <w:tbl>
      <w:tblPr>
        <w:tblW w:w="9962" w:type="dxa"/>
        <w:jc w:val="left"/>
        <w:tblInd w:w="0" w:type="dxa"/>
        <w:tblLayout w:type="fixed"/>
        <w:tblCellMar>
          <w:top w:w="28" w:type="dxa"/>
          <w:left w:w="28" w:type="dxa"/>
          <w:bottom w:w="28" w:type="dxa"/>
          <w:right w:w="28" w:type="dxa"/>
        </w:tblCellMar>
      </w:tblPr>
      <w:tblGrid>
        <w:gridCol w:w="1381"/>
        <w:gridCol w:w="1213"/>
        <w:gridCol w:w="1216"/>
        <w:gridCol w:w="450"/>
        <w:gridCol w:w="291"/>
        <w:gridCol w:w="291"/>
        <w:gridCol w:w="291"/>
        <w:gridCol w:w="291"/>
        <w:gridCol w:w="291"/>
        <w:gridCol w:w="524"/>
        <w:gridCol w:w="291"/>
        <w:gridCol w:w="291"/>
        <w:gridCol w:w="109"/>
        <w:gridCol w:w="109"/>
        <w:gridCol w:w="109"/>
        <w:gridCol w:w="401"/>
        <w:gridCol w:w="259"/>
        <w:gridCol w:w="259"/>
        <w:gridCol w:w="259"/>
        <w:gridCol w:w="259"/>
        <w:gridCol w:w="259"/>
        <w:gridCol w:w="466"/>
        <w:gridCol w:w="285"/>
        <w:gridCol w:w="367"/>
      </w:tblGrid>
      <w:tr>
        <w:trPr/>
        <w:tc>
          <w:tcPr>
            <w:tcW w:w="1381"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RSUs</w:t>
            </w:r>
          </w:p>
        </w:tc>
        <w:tc>
          <w:tcPr>
            <w:tcW w:w="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5,878 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10,060 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5,878 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to be issued under the 2018 ESPP</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PSUs</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7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6,185 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12,230 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6,278 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The following discussion and analysis of our financial condition and results of operations should be read in conjunction with (1) our consolidated financial statements and related notes included elsewhere in this Quarterly Report on Form 10-Q, or this Form 10-Q, and (2) our consolidated financial statements, related notes and management's discussion and analysis of financial condition and results of operations in our Annual Report on Form 10-K for the year ended December 31, 2025, or the 10-K, filed with the Securities and Exchange Commission, or the SEC, on February 27, 2026. This Form 10-Q contains forward-looking statements within the meaning of Section 27A of the Securities Act of 1933, as amended, or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 Item 1A of the 10-K, in Part II, Item 1A of this Form 10-Q and in our other filings with the SEC.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We are the leading provider of exposure management solutions. Exposure management </w:t>
      </w:r>
      <w:r>
        <w:rPr>
          <w:rFonts w:ascii="sans-serif" w:hAnsi="sans-serif"/>
          <w:b w:val="false"/>
          <w:color w:val="000000"/>
          <w:sz w:val="22"/>
        </w:rPr>
        <w:t>i</w:t>
      </w:r>
      <w:r>
        <w:rPr>
          <w:rFonts w:ascii="Arial;sans-serif" w:hAnsi="Arial;sans-serif"/>
          <w:b w:val="false"/>
          <w:color w:val="000000"/>
          <w:sz w:val="20"/>
        </w:rPr>
        <w:t>s an increasingly critical category that extends foundational vulnerability management, capabilities to advance risk assessment and prioritization across the entire attack surface – from IT infrastructure and cloud environments to critical infrastructure and AI. We unify security visibility, insight and action across this attack surface, equipping modern organizations to quickly identify and close the cybersecurity gaps that erode business value, reputation and trust.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Tenable One, our AI-powered exposure management platform, gives enterprises a single, unified view of risk across all types of assets and attack pathways. The platform combines broad, industry-leading vulnerability coverage, spanning IT assets, cloud resources, containers, web apps, identity systems, third-party connectors and AI-related assets and workloads.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solutions are primarily sold on a subscription basis with a one-year term, but are increasingly being sold with longer contractual durations. Our subscription terms are generally not longer than three years. These subscriptions are typically invoiced in advance at the beginning of the term, however multi-year subscriptions are increasingly being invoiced annually in installments.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sell and market our products and services through our field sales force that works closely with our channel network of distributors, resellers and managed security service providers (MSSPs), in developing sales opportunities. We typically use a two-tiered channel model whereby we sell our enterprise platform offerings to our distributors, who in turn sell to our resellers, who then sell to end users, who we call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Financial Highlights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Below are our key financial results:</w:t>
      </w:r>
    </w:p>
    <w:tbl>
      <w:tblPr>
        <w:tblW w:w="9945" w:type="dxa"/>
        <w:jc w:val="left"/>
        <w:tblInd w:w="0" w:type="dxa"/>
        <w:tblLayout w:type="fixed"/>
        <w:tblCellMar>
          <w:top w:w="28" w:type="dxa"/>
          <w:left w:w="28" w:type="dxa"/>
          <w:bottom w:w="28" w:type="dxa"/>
          <w:right w:w="28" w:type="dxa"/>
        </w:tblCellMar>
      </w:tblPr>
      <w:tblGrid>
        <w:gridCol w:w="1527"/>
        <w:gridCol w:w="1340"/>
        <w:gridCol w:w="1348"/>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per share data)</w:t>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(loss) per share, basic and diluted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Recurring revenue, which includes revenue from subscription arrangements for software (both recognized ratably over the subscription term and upon delivery) and cloud-based solutions and maintenance associated with perpetual licenses, represented 95% of revenue in the three months ended June 30, 2026 and 96% of revenue in the three months ended June 30, 2025 and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Operating and Financial Metrics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To supplement our consolidated financial statements, which are prepared and presented in accordance with GAAP, we use and monitor the following operating and financial metrics, which include non-GAAP financial measures, to understand and evaluate our core operating and financial performance.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Customer Metrics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believe that our customer base provides a significant opportunity to expand sales of our enterprise platform offerings. We define an enterprise platform customer as a customer that has licensed Tenable One, Tenable Vulnerability Management, Tenable Cloud Security, Tenable Identity Exposure, Tenable OT Security or Tenable Security Center for an annual amount of $5,000 or greater. New enterprise platform customers represent new customer logos during the periods presented and do not include customer conversions from Tenable Nessus Expert to enterprise platforms. The following tables summarize key components of our customer base:</w:t>
      </w:r>
    </w:p>
    <w:tbl>
      <w:tblPr>
        <w:tblW w:w="8689" w:type="dxa"/>
        <w:jc w:val="left"/>
        <w:tblInd w:w="0" w:type="dxa"/>
        <w:tblLayout w:type="fixed"/>
        <w:tblCellMar>
          <w:top w:w="28" w:type="dxa"/>
          <w:left w:w="28" w:type="dxa"/>
          <w:bottom w:w="28" w:type="dxa"/>
          <w:right w:w="28" w:type="dxa"/>
        </w:tblCellMar>
      </w:tblPr>
      <w:tblGrid>
        <w:gridCol w:w="1976"/>
        <w:gridCol w:w="1739"/>
        <w:gridCol w:w="1744"/>
        <w:gridCol w:w="175"/>
        <w:gridCol w:w="175"/>
        <w:gridCol w:w="176"/>
        <w:gridCol w:w="173"/>
        <w:gridCol w:w="173"/>
        <w:gridCol w:w="173"/>
        <w:gridCol w:w="175"/>
        <w:gridCol w:w="175"/>
        <w:gridCol w:w="176"/>
        <w:gridCol w:w="173"/>
        <w:gridCol w:w="173"/>
        <w:gridCol w:w="173"/>
        <w:gridCol w:w="333"/>
        <w:gridCol w:w="333"/>
        <w:gridCol w:w="474"/>
      </w:tblGrid>
      <w:tr>
        <w:trPr/>
        <w:tc>
          <w:tcPr>
            <w:tcW w:w="1976"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 (%)</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Number of new enterprise platform customers added in period</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381</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367</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r>
    </w:tbl>
    <w:tbl>
      <w:tblPr>
        <w:tblW w:w="10205" w:type="dxa"/>
        <w:jc w:val="center"/>
        <w:tblInd w:w="0" w:type="dxa"/>
        <w:tblLayout w:type="fixed"/>
        <w:tblCellMar>
          <w:top w:w="28" w:type="dxa"/>
          <w:left w:w="28" w:type="dxa"/>
          <w:bottom w:w="28" w:type="dxa"/>
          <w:right w:w="28" w:type="dxa"/>
        </w:tblCellMar>
      </w:tblPr>
      <w:tblGrid>
        <w:gridCol w:w="2627"/>
        <w:gridCol w:w="2311"/>
        <w:gridCol w:w="2327"/>
        <w:gridCol w:w="194"/>
        <w:gridCol w:w="194"/>
        <w:gridCol w:w="198"/>
        <w:gridCol w:w="109"/>
        <w:gridCol w:w="109"/>
        <w:gridCol w:w="109"/>
        <w:gridCol w:w="194"/>
        <w:gridCol w:w="194"/>
        <w:gridCol w:w="198"/>
        <w:gridCol w:w="109"/>
        <w:gridCol w:w="109"/>
        <w:gridCol w:w="109"/>
        <w:gridCol w:w="325"/>
        <w:gridCol w:w="325"/>
        <w:gridCol w:w="464"/>
      </w:tblGrid>
      <w:tr>
        <w:trPr/>
        <w:tc>
          <w:tcPr>
            <w:tcW w:w="2627"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r>
      <w:tr>
        <w:trPr/>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 (%)</w:t>
            </w:r>
          </w:p>
        </w:tc>
      </w:tr>
      <w:tr>
        <w:trPr/>
        <w:tc>
          <w:tcPr>
            <w:tcW w:w="7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Number of customers with $100,000 and greater in annual contract value at end of period</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r>
    </w:tbl>
    <w:p>
      <w:pPr>
        <w:pStyle w:val="TextBody"/>
        <w:bidi w:val="0"/>
        <w:spacing w:lineRule="auto" w:line="288" w:before="100" w:after="240"/>
        <w:ind w:left="0" w:right="0" w:firstLine="360"/>
        <w:jc w:val="left"/>
        <w:rPr>
          <w:rFonts w:ascii="Arial;sans-serif" w:hAnsi="Arial;sans-serif"/>
          <w:b/>
          <w:i/>
          <w:color w:val="000000"/>
          <w:sz w:val="20"/>
        </w:rPr>
      </w:pPr>
      <w:r>
        <w:rPr>
          <w:rFonts w:ascii="Arial;sans-serif" w:hAnsi="Arial;sans-serif"/>
          <w:b/>
          <w:i/>
          <w:color w:val="000000"/>
          <w:sz w:val="20"/>
        </w:rPr>
        <w:t>Dollar-Based Net Expansion Rate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dollar-based net expansion rate reflects both our customer retention and ability to drive additional sales to our existing customers. Our dollar-based net expansion rate has historically fluctuated and is expected to continue to fluctuate on a quarterly basis as a result of a number of factors, including existing customers' satisfaction with our solutions, existing customer retention, the pricing of our solutions, the availability of competing solutions and the pricing thereof, and the timing of customer renewals. In addition, our sales pipeline opportunities vary from quarter to quarter between new customers and expansion from existing customers, and we do not prioritize one over the other to maximize the dollar-based net expansion rate.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dollar-based net expansion rate is evaluated on a last twelve months, or LTM, basis, and is calculated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Denominator: To calculate our dollar-based net expansion rate as of the end of a reporting period, we first determine the annual recurring revenue, or ARR, from all active subscriptions (both revenue recognized ratably over the subscription term and upon delivery) and maintenance from perpetual licenses as of the last day of the same reporting period in the prior year. This represents recurring payments that we expect to receive in the next 12-month period from the cohort of customers that existed on the last day of the same reporting period in the prior year.</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Numerator: We measure the ARR for that same cohort of customers representing all subscriptions and maintenance from perpetual licenses based on customer orders as of the end of the reporting period.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calculate dollar-based net expansion rate by dividing the numerator by the denominator.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our dollar-based net expansion rate:</w:t>
      </w:r>
    </w:p>
    <w:tbl>
      <w:tblPr>
        <w:tblW w:w="4799" w:type="dxa"/>
        <w:jc w:val="left"/>
        <w:tblInd w:w="0" w:type="dxa"/>
        <w:tblLayout w:type="fixed"/>
        <w:tblCellMar>
          <w:top w:w="28" w:type="dxa"/>
          <w:left w:w="28" w:type="dxa"/>
          <w:bottom w:w="28" w:type="dxa"/>
          <w:right w:w="28" w:type="dxa"/>
        </w:tblCellMar>
      </w:tblPr>
      <w:tblGrid>
        <w:gridCol w:w="1038"/>
        <w:gridCol w:w="911"/>
        <w:gridCol w:w="916"/>
        <w:gridCol w:w="240"/>
        <w:gridCol w:w="241"/>
        <w:gridCol w:w="300"/>
        <w:gridCol w:w="109"/>
        <w:gridCol w:w="109"/>
        <w:gridCol w:w="109"/>
        <w:gridCol w:w="240"/>
        <w:gridCol w:w="241"/>
        <w:gridCol w:w="345"/>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Dollar-based net expansion rate</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Components of Our Results of Operations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 xml:space="preserve">Revenue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generate revenue from subscription arrangements for our software and cloud-based solutions, perpetual licenses, maintenance associated with perpetual licenses and professional services.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typically experience seasonality in customer agreement volumes, entering into a significantly higher percentage of new and renewal agreements in the third and fourth quarters of the year. The increase in the third quarter is primarily driven by U.S. government and related agencies, and the increase in the fourth quarter reflects typical large enterprise buying patterns in the software industry. Although the ratable nature of our subscription revenue lessens the financial impact, these historical trends may be impacted by macroeconomic conditions and U.S. policy decisions, which may lengthen purchasing and approval phases of our sales cycle.</w:t>
      </w:r>
    </w:p>
    <w:p>
      <w:pPr>
        <w:pStyle w:val="TextBody"/>
        <w:bidi w:val="0"/>
        <w:spacing w:lineRule="auto" w:line="288" w:before="0" w:after="240"/>
        <w:ind w:left="0" w:right="0" w:firstLine="360"/>
        <w:jc w:val="left"/>
        <w:rPr/>
      </w:pPr>
      <w:r>
        <w:rPr>
          <w:rFonts w:ascii="Arial;sans-serif" w:hAnsi="Arial;sans-serif"/>
          <w:b/>
          <w:i/>
          <w:color w:val="000000"/>
          <w:sz w:val="20"/>
        </w:rPr>
        <w:t>Cost of Revenue, Gross Profit and Gross Margin</w:t>
      </w:r>
      <w:r>
        <w:rPr>
          <w:color w:val="00000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Cost of revenue includes personnel costs related to our technical support group that provides assistance to customers, including salaries, benefits, bonuses, payroll taxes, stock-based compensation and any ordinary course severance. Cost of revenue also includes cloud infrastructure costs, the costs related to professional services and training, depreciation, amortization of acquired and developed technology, hardware costs and allocated overhead costs, which consist of information technology, facilities and insurance.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expect our gross profit, or revenue less cost of revenue, to increase in absolute dollars but our gross margin, or gross profit as a percentage of revenue, may fluctuate from period to period, particularly as it relates to cloud infrastructure costs, as we expect revenue from our cloud-based subscriptions to increase as a percentage of revenue.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 xml:space="preserve">Operating Expenses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operating expenses consist of sales and marketing, research and development, general and administrative and restructuring expenses. Personnel costs are the most significant component of operating expenses and consist of salaries, benefits, bonuses, payroll taxes, stock-based compensation and ordinary course severance. Operating expenses also include depreciation and amortization, allocated overhead costs, including IT and facilities costs, as well as acquisition-related expenses.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Sales and marketing expense consists of personnel costs, sales commissions, marketing programs, travel and entertainment, expenses for conferences, meetings and events, allocated overhead costs and acquisition-related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Research and development expense consists of personnel costs, software used to develop our products, travel and entertainment, consulting and professional fees for third-party development resources, allocated overhead and acquisition-related expenses. Our research and development expense supports our efforts to continue to add capabilities to our existing products and enable the continued detection of new network vulnerabilities.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General and administrative expense consists of personnel costs for our executive, finance, legal, human resources and administrative departments. Additional expenses include travel and entertainment, professional fees, insurance, allocated overhead and acquisition-related expenses.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Restructuring expenses consist of non-ordinary course severance, employee related benefits and other charges to reorganize business operations.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expect our operating expenses to increase in absolute dollars and decrease as a percentage of revenue, although our actual expense may fluctuate from period to period due to the timing and extent of expenses.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Interest Income, Interest Expense and Other Income (Expense), Net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Interest income consists of income earned on cash and cash equivalents and short-term investments. Interest expense consists primarily of interest expense in connection with our Term Loan, unused commitment fees on our Revolving Credit Facility, and letter of credit fees. Other income (expense), net consists primarily of foreign currency remeasurement and transaction gains and losses and any realized and unrealized gains and losses, including impairment losses and gains related to our investments in privately held securities.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Provision for Income Taxes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Provision for income taxes consists of income taxes in all jurisdictions in which we conduct business and the related withholding taxes on sales with customers. We have recorded deferred tax assets for which a valuation allowance has been provided, including net operating loss carryforwards and tax credits. We expect to maintain this valuation allowance for the foreseeable future as it is more likely than not that some or all of those deferred tax assets may not be realized based on our history of losses. The valuation allowance is subject to change based on our ability to generate future taxable income. We will continue to evaluate the realization of deferred tax assets to determine changes to valuation allowance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tables set forth our consolidated results of operations for the periods presented: </w:t>
      </w:r>
    </w:p>
    <w:tbl>
      <w:tblPr>
        <w:tblW w:w="8865" w:type="dxa"/>
        <w:jc w:val="left"/>
        <w:tblInd w:w="0" w:type="dxa"/>
        <w:tblLayout w:type="fixed"/>
        <w:tblCellMar>
          <w:top w:w="28" w:type="dxa"/>
          <w:left w:w="28" w:type="dxa"/>
          <w:bottom w:w="28" w:type="dxa"/>
          <w:right w:w="28" w:type="dxa"/>
        </w:tblCellMar>
      </w:tblPr>
      <w:tblGrid>
        <w:gridCol w:w="1138"/>
        <w:gridCol w:w="998"/>
        <w:gridCol w:w="99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13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Cost of revenue</w:t>
            </w:r>
            <w:r>
              <w:rPr>
                <w:rFonts w:ascii="Arial;sans-serif" w:hAnsi="Arial;sans-serif"/>
                <w:b w:val="false"/>
                <w:color w:val="000000"/>
                <w:sz w:val="13"/>
              </w:rPr>
              <w:t>(1)</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379,538 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Sales and marketing</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Research and development</w:t>
            </w:r>
            <w:r>
              <w:rPr>
                <w:rFonts w:ascii="Arial;sans-serif" w:hAnsi="Arial;sans-serif"/>
                <w:b w:val="false"/>
                <w:color w:val="000000"/>
                <w:sz w:val="13"/>
              </w:rPr>
              <w:t>(1)</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112,760 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General and administrative</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404,697 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(25,159)</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(14,150)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(29,803)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(37,641)</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0"/>
        <w:jc w:val="left"/>
        <w:rPr/>
      </w:pPr>
      <w:r>
        <w:rPr>
          <w:rFonts w:ascii="Arial;sans-serif" w:hAnsi="Arial;sans-serif"/>
          <w:b w:val="false"/>
          <w:color w:val="000000"/>
          <w:sz w:val="13"/>
          <w:shd w:fill="FFFFFF" w:val="clear"/>
        </w:rPr>
        <w:t>(1)</w:t>
      </w:r>
      <w:r>
        <w:rPr>
          <w:color w:val="000000"/>
          <w:shd w:fill="FFFFFF" w:val="clear"/>
        </w:rPr>
        <w:t>    </w:t>
      </w:r>
      <w:r>
        <w:rPr>
          <w:rFonts w:ascii="Arial;sans-serif" w:hAnsi="Arial;sans-serif"/>
          <w:b w:val="false"/>
          <w:color w:val="000000"/>
          <w:sz w:val="18"/>
          <w:shd w:fill="FFFFFF" w:val="clear"/>
        </w:rPr>
        <w:t>Includes stock-based compensation expense as follows:</w:t>
      </w:r>
    </w:p>
    <w:tbl>
      <w:tblPr>
        <w:tblW w:w="10134" w:type="dxa"/>
        <w:jc w:val="left"/>
        <w:tblInd w:w="0" w:type="dxa"/>
        <w:tblLayout w:type="fixed"/>
        <w:tblCellMar>
          <w:top w:w="28" w:type="dxa"/>
          <w:left w:w="28" w:type="dxa"/>
          <w:bottom w:w="28" w:type="dxa"/>
          <w:right w:w="28" w:type="dxa"/>
        </w:tblCellMar>
      </w:tblPr>
      <w:tblGrid>
        <w:gridCol w:w="1361"/>
        <w:gridCol w:w="1193"/>
        <w:gridCol w:w="1196"/>
        <w:gridCol w:w="467"/>
        <w:gridCol w:w="345"/>
        <w:gridCol w:w="346"/>
        <w:gridCol w:w="241"/>
        <w:gridCol w:w="241"/>
        <w:gridCol w:w="241"/>
        <w:gridCol w:w="467"/>
        <w:gridCol w:w="345"/>
        <w:gridCol w:w="346"/>
        <w:gridCol w:w="109"/>
        <w:gridCol w:w="109"/>
        <w:gridCol w:w="109"/>
        <w:gridCol w:w="419"/>
        <w:gridCol w:w="345"/>
        <w:gridCol w:w="346"/>
        <w:gridCol w:w="216"/>
        <w:gridCol w:w="216"/>
        <w:gridCol w:w="216"/>
        <w:gridCol w:w="419"/>
        <w:gridCol w:w="347"/>
        <w:gridCol w:w="494"/>
      </w:tblGrid>
      <w:tr>
        <w:trPr/>
        <w:tc>
          <w:tcPr>
            <w:tcW w:w="136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3,565</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6,840</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6,775</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17,868</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35,341</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34,448</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13,986</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27,015</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28,267</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General and administrative</w:t>
            </w:r>
            <w:r>
              <w:rPr>
                <w:rFonts w:ascii="Arial;sans-serif" w:hAnsi="Arial;sans-serif"/>
                <w:b w:val="false"/>
                <w:color w:val="000000"/>
                <w:sz w:val="13"/>
              </w:rPr>
              <w:t>(2)</w:t>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10,930</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21,007</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32,939</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46,349</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90,203</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102,429</w:t>
            </w:r>
          </w:p>
        </w:tc>
      </w:tr>
    </w:tbl>
    <w:p>
      <w:pPr>
        <w:pStyle w:val="TextBody"/>
        <w:bidi w:val="0"/>
        <w:spacing w:lineRule="auto" w:line="288" w:before="0" w:after="6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jc w:val="left"/>
        <w:rPr/>
      </w:pPr>
      <w:r>
        <w:rPr>
          <w:rFonts w:ascii="Arial;sans-serif" w:hAnsi="Arial;sans-serif"/>
          <w:b w:val="false"/>
          <w:color w:val="000000"/>
          <w:sz w:val="13"/>
          <w:shd w:fill="FFFFFF" w:val="clear"/>
        </w:rPr>
        <w:t>(2)</w:t>
      </w:r>
      <w:r>
        <w:rPr>
          <w:color w:val="000000"/>
          <w:shd w:fill="FFFFFF" w:val="clear"/>
        </w:rPr>
        <w:t>    </w:t>
      </w:r>
      <w:r>
        <w:rPr>
          <w:rFonts w:ascii="Arial;sans-serif" w:hAnsi="Arial;sans-serif"/>
          <w:b w:val="false"/>
          <w:color w:val="000000"/>
          <w:sz w:val="18"/>
        </w:rPr>
        <w:t>Stock-based compensation in the six months ended June 30, 2025 includes $14.6 million of expense related to the accelerated vesting of equity awards for our former Chairman and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Comparison of the Three Months Ended June 30, 2026 and 2025</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increase in revenue:</w:t>
      </w:r>
    </w:p>
    <w:tbl>
      <w:tblPr>
        <w:tblW w:w="9085" w:type="dxa"/>
        <w:jc w:val="left"/>
        <w:tblInd w:w="0" w:type="dxa"/>
        <w:tblLayout w:type="fixed"/>
        <w:tblCellMar>
          <w:top w:w="28" w:type="dxa"/>
          <w:left w:w="28" w:type="dxa"/>
          <w:bottom w:w="28" w:type="dxa"/>
          <w:right w:w="28" w:type="dxa"/>
        </w:tblCellMar>
      </w:tblPr>
      <w:tblGrid>
        <w:gridCol w:w="1419"/>
        <w:gridCol w:w="1246"/>
        <w:gridCol w:w="1250"/>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16"/>
        <w:gridCol w:w="219"/>
        <w:gridCol w:w="331"/>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Perpetual license and maintenance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services and other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268,508 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increase in revenue included an increase of $23.3 million from existing customers as of July 1, 2025, partially offset by a decrease of $2.1 million in revenue from new customers. U.S. revenue increased $7.3 million, or 6%. International revenue increased $13.9 million, or 12%.</w:t>
      </w:r>
    </w:p>
    <w:p>
      <w:pPr>
        <w:pStyle w:val="TextBody"/>
        <w:bidi w:val="0"/>
        <w:spacing w:lineRule="auto" w:line="288" w:before="0" w:after="60"/>
        <w:ind w:left="0" w:right="0" w:firstLine="360"/>
        <w:jc w:val="left"/>
        <w:rPr>
          <w:rFonts w:ascii="Arial;sans-serif" w:hAnsi="Arial;sans-serif"/>
          <w:b/>
          <w:i/>
          <w:color w:val="000000"/>
          <w:sz w:val="20"/>
        </w:rPr>
      </w:pPr>
      <w:r>
        <w:rPr>
          <w:rFonts w:ascii="Arial;sans-serif" w:hAnsi="Arial;sans-serif"/>
          <w:b/>
          <w:i/>
          <w:color w:val="000000"/>
          <w:sz w:val="20"/>
        </w:rPr>
        <w:t>Cost of Revenue, Gross Profit and Gross Margin</w:t>
      </w:r>
    </w:p>
    <w:tbl>
      <w:tblPr>
        <w:tblW w:w="7114" w:type="dxa"/>
        <w:jc w:val="left"/>
        <w:tblInd w:w="0" w:type="dxa"/>
        <w:tblLayout w:type="fixed"/>
        <w:tblCellMar>
          <w:top w:w="28" w:type="dxa"/>
          <w:left w:w="28" w:type="dxa"/>
          <w:bottom w:w="28" w:type="dxa"/>
          <w:right w:w="28" w:type="dxa"/>
        </w:tblCellMar>
      </w:tblPr>
      <w:tblGrid>
        <w:gridCol w:w="712"/>
        <w:gridCol w:w="625"/>
        <w:gridCol w:w="627"/>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188"/>
        <w:gridCol w:w="188"/>
        <w:gridCol w:w="33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60,333 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54,434 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208,175 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increase in cost of revenue was primarily due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$3.2 million increase in third-party cloud infrastructure costs;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$1.4 million increase in personnel costs;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$1.0 million increase in professional services.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0" w:after="60"/>
        <w:ind w:left="0" w:right="0" w:firstLine="360"/>
        <w:jc w:val="left"/>
        <w:rPr>
          <w:rFonts w:ascii="Arial;sans-serif" w:hAnsi="Arial;sans-serif"/>
          <w:b w:val="false"/>
          <w:i/>
          <w:color w:val="000000"/>
          <w:sz w:val="20"/>
        </w:rPr>
      </w:pPr>
      <w:r>
        <w:rPr>
          <w:rFonts w:ascii="Arial;sans-serif" w:hAnsi="Arial;sans-serif"/>
          <w:b w:val="false"/>
          <w:i/>
          <w:color w:val="000000"/>
          <w:sz w:val="20"/>
        </w:rPr>
        <w:t>Sales and Marketing</w:t>
      </w:r>
    </w:p>
    <w:tbl>
      <w:tblPr>
        <w:tblW w:w="6984" w:type="dxa"/>
        <w:jc w:val="left"/>
        <w:tblInd w:w="0" w:type="dxa"/>
        <w:tblLayout w:type="fixed"/>
        <w:tblCellMar>
          <w:top w:w="28" w:type="dxa"/>
          <w:left w:w="28" w:type="dxa"/>
          <w:bottom w:w="28" w:type="dxa"/>
          <w:right w:w="28" w:type="dxa"/>
        </w:tblCellMar>
      </w:tblPr>
      <w:tblGrid>
        <w:gridCol w:w="712"/>
        <w:gridCol w:w="625"/>
        <w:gridCol w:w="627"/>
        <w:gridCol w:w="211"/>
        <w:gridCol w:w="856"/>
        <w:gridCol w:w="109"/>
        <w:gridCol w:w="109"/>
        <w:gridCol w:w="109"/>
        <w:gridCol w:w="109"/>
        <w:gridCol w:w="211"/>
        <w:gridCol w:w="856"/>
        <w:gridCol w:w="109"/>
        <w:gridCol w:w="109"/>
        <w:gridCol w:w="109"/>
        <w:gridCol w:w="109"/>
        <w:gridCol w:w="211"/>
        <w:gridCol w:w="706"/>
        <w:gridCol w:w="109"/>
        <w:gridCol w:w="109"/>
        <w:gridCol w:w="109"/>
        <w:gridCol w:w="109"/>
        <w:gridCol w:w="164"/>
        <w:gridCol w:w="166"/>
        <w:gridCol w:w="33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decrease in sales and marketing expense was primarily due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$2.2 million decrease in demand generation programs, including advertising, sponsorships, and brand awareness efforts; partially offset by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$1.1 million increase in sales commissions.</w:t>
      </w:r>
    </w:p>
    <w:p>
      <w:pPr>
        <w:pStyle w:val="TextBody"/>
        <w:bidi w:val="0"/>
        <w:spacing w:before="0" w:after="60"/>
        <w:ind w:left="0" w:right="0" w:firstLine="360"/>
        <w:jc w:val="left"/>
        <w:rPr/>
      </w:pPr>
      <w:r>
        <w:rPr/>
      </w:r>
    </w:p>
    <w:p>
      <w:pPr>
        <w:pStyle w:val="TextBody"/>
        <w:bidi w:val="0"/>
        <w:spacing w:lineRule="auto" w:line="288" w:before="0" w:after="60"/>
        <w:ind w:left="0" w:right="0" w:firstLine="360"/>
        <w:jc w:val="left"/>
        <w:rPr>
          <w:rFonts w:ascii="Arial;sans-serif" w:hAnsi="Arial;sans-serif"/>
          <w:b w:val="false"/>
          <w:i/>
          <w:color w:val="000000"/>
          <w:sz w:val="20"/>
        </w:rPr>
      </w:pPr>
      <w:r>
        <w:rPr>
          <w:rFonts w:ascii="Arial;sans-serif" w:hAnsi="Arial;sans-serif"/>
          <w:b w:val="false"/>
          <w:i/>
          <w:color w:val="000000"/>
          <w:sz w:val="20"/>
        </w:rPr>
        <w:t>Research and Development</w:t>
      </w:r>
    </w:p>
    <w:tbl>
      <w:tblPr>
        <w:tblW w:w="7450" w:type="dxa"/>
        <w:jc w:val="left"/>
        <w:tblInd w:w="0" w:type="dxa"/>
        <w:tblLayout w:type="fixed"/>
        <w:tblCellMar>
          <w:top w:w="28" w:type="dxa"/>
          <w:left w:w="28" w:type="dxa"/>
          <w:bottom w:w="28" w:type="dxa"/>
          <w:right w:w="28" w:type="dxa"/>
        </w:tblCellMar>
      </w:tblPr>
      <w:tblGrid>
        <w:gridCol w:w="903"/>
        <w:gridCol w:w="792"/>
        <w:gridCol w:w="795"/>
        <w:gridCol w:w="224"/>
        <w:gridCol w:w="798"/>
        <w:gridCol w:w="115"/>
        <w:gridCol w:w="115"/>
        <w:gridCol w:w="115"/>
        <w:gridCol w:w="115"/>
        <w:gridCol w:w="224"/>
        <w:gridCol w:w="798"/>
        <w:gridCol w:w="115"/>
        <w:gridCol w:w="109"/>
        <w:gridCol w:w="109"/>
        <w:gridCol w:w="109"/>
        <w:gridCol w:w="211"/>
        <w:gridCol w:w="706"/>
        <w:gridCol w:w="109"/>
        <w:gridCol w:w="109"/>
        <w:gridCol w:w="109"/>
        <w:gridCol w:w="109"/>
        <w:gridCol w:w="164"/>
        <w:gridCol w:w="166"/>
        <w:gridCol w:w="331"/>
      </w:tblGrid>
      <w:tr>
        <w:trPr/>
        <w:tc>
          <w:tcPr>
            <w:tcW w:w="90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56,999 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59,236 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decrease in research and development expense was primarily due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a $2.1 million increase in refundable research and development tax credits; and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$0.9 million decrease in personnel costs, including a $1.3 million decrease in stock-based compensation and an unfavorable foreign currency impact of $3.1 million; partially offset by</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$0.6 million increase in third-party cloud infrastructure costs.</w:t>
      </w:r>
    </w:p>
    <w:p>
      <w:pPr>
        <w:pStyle w:val="TextBody"/>
        <w:bidi w:val="0"/>
        <w:spacing w:lineRule="auto" w:line="288" w:before="0" w:after="60"/>
        <w:ind w:left="0" w:right="0" w:firstLine="360"/>
        <w:jc w:val="left"/>
        <w:rPr>
          <w:rFonts w:ascii="Arial;sans-serif" w:hAnsi="Arial;sans-serif"/>
          <w:b w:val="false"/>
          <w:i/>
          <w:color w:val="000000"/>
          <w:sz w:val="20"/>
        </w:rPr>
      </w:pPr>
      <w:r>
        <w:rPr>
          <w:rFonts w:ascii="Arial;sans-serif" w:hAnsi="Arial;sans-serif"/>
          <w:b w:val="false"/>
          <w:i/>
          <w:color w:val="000000"/>
          <w:sz w:val="20"/>
        </w:rPr>
        <w:t>General and Administrative</w:t>
      </w:r>
    </w:p>
    <w:tbl>
      <w:tblPr>
        <w:tblW w:w="7404" w:type="dxa"/>
        <w:jc w:val="left"/>
        <w:tblInd w:w="0" w:type="dxa"/>
        <w:tblLayout w:type="fixed"/>
        <w:tblCellMar>
          <w:top w:w="28" w:type="dxa"/>
          <w:left w:w="28" w:type="dxa"/>
          <w:bottom w:w="28" w:type="dxa"/>
          <w:right w:w="28" w:type="dxa"/>
        </w:tblCellMar>
      </w:tblPr>
      <w:tblGrid>
        <w:gridCol w:w="886"/>
        <w:gridCol w:w="778"/>
        <w:gridCol w:w="780"/>
        <w:gridCol w:w="224"/>
        <w:gridCol w:w="798"/>
        <w:gridCol w:w="115"/>
        <w:gridCol w:w="115"/>
        <w:gridCol w:w="115"/>
        <w:gridCol w:w="115"/>
        <w:gridCol w:w="224"/>
        <w:gridCol w:w="798"/>
        <w:gridCol w:w="115"/>
        <w:gridCol w:w="109"/>
        <w:gridCol w:w="109"/>
        <w:gridCol w:w="109"/>
        <w:gridCol w:w="211"/>
        <w:gridCol w:w="706"/>
        <w:gridCol w:w="109"/>
        <w:gridCol w:w="109"/>
        <w:gridCol w:w="109"/>
        <w:gridCol w:w="109"/>
        <w:gridCol w:w="164"/>
        <w:gridCol w:w="166"/>
        <w:gridCol w:w="331"/>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32,288 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33,982 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The decrease in general and administrative expense was primarily due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$1.3 million decrease in acquisition-related expenses;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$0.6 million decrease in professional services.</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Restructuring</w:t>
      </w:r>
    </w:p>
    <w:tbl>
      <w:tblPr>
        <w:tblW w:w="6853" w:type="dxa"/>
        <w:jc w:val="left"/>
        <w:tblInd w:w="0" w:type="dxa"/>
        <w:tblLayout w:type="fixed"/>
        <w:tblCellMar>
          <w:top w:w="28" w:type="dxa"/>
          <w:left w:w="28" w:type="dxa"/>
          <w:bottom w:w="28" w:type="dxa"/>
          <w:right w:w="28" w:type="dxa"/>
        </w:tblCellMar>
      </w:tblPr>
      <w:tblGrid>
        <w:gridCol w:w="712"/>
        <w:gridCol w:w="625"/>
        <w:gridCol w:w="627"/>
        <w:gridCol w:w="298"/>
        <w:gridCol w:w="681"/>
        <w:gridCol w:w="154"/>
        <w:gridCol w:w="154"/>
        <w:gridCol w:w="154"/>
        <w:gridCol w:w="154"/>
        <w:gridCol w:w="298"/>
        <w:gridCol w:w="575"/>
        <w:gridCol w:w="154"/>
        <w:gridCol w:w="109"/>
        <w:gridCol w:w="109"/>
        <w:gridCol w:w="109"/>
        <w:gridCol w:w="211"/>
        <w:gridCol w:w="481"/>
        <w:gridCol w:w="109"/>
        <w:gridCol w:w="109"/>
        <w:gridCol w:w="109"/>
        <w:gridCol w:w="109"/>
        <w:gridCol w:w="240"/>
        <w:gridCol w:w="241"/>
        <w:gridCol w:w="33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00" w:after="240"/>
        <w:ind w:left="0" w:right="0" w:firstLine="360"/>
        <w:jc w:val="left"/>
        <w:rPr>
          <w:rFonts w:ascii="Arial;sans-serif" w:hAnsi="Arial;sans-serif"/>
          <w:b w:val="false"/>
          <w:color w:val="000000"/>
          <w:sz w:val="20"/>
        </w:rPr>
      </w:pPr>
      <w:r>
        <w:rPr>
          <w:rFonts w:ascii="Arial;sans-serif" w:hAnsi="Arial;sans-serif"/>
          <w:b w:val="false"/>
          <w:color w:val="000000"/>
          <w:sz w:val="20"/>
        </w:rPr>
        <w:t>Restructuring in the three months ended June 30, 2026 included non-ordinary course severance and employee related benefits.</w:t>
      </w:r>
    </w:p>
    <w:p>
      <w:pPr>
        <w:pStyle w:val="TextBody"/>
        <w:bidi w:val="0"/>
        <w:spacing w:lineRule="auto" w:line="288" w:before="100" w:after="240"/>
        <w:ind w:left="0" w:right="0" w:firstLine="360"/>
        <w:jc w:val="left"/>
        <w:rPr>
          <w:rFonts w:ascii="Arial;sans-serif" w:hAnsi="Arial;sans-serif"/>
          <w:b/>
          <w:i/>
          <w:color w:val="000000"/>
          <w:sz w:val="20"/>
        </w:rPr>
      </w:pPr>
      <w:r>
        <w:rPr>
          <w:rFonts w:ascii="Arial;sans-serif" w:hAnsi="Arial;sans-serif"/>
          <w:b/>
          <w:i/>
          <w:color w:val="000000"/>
          <w:sz w:val="20"/>
        </w:rPr>
        <w:t>Interest Income, Interest Expense and Other Income (Expense), Net</w:t>
      </w:r>
    </w:p>
    <w:tbl>
      <w:tblPr>
        <w:tblW w:w="7932" w:type="dxa"/>
        <w:jc w:val="left"/>
        <w:tblInd w:w="0" w:type="dxa"/>
        <w:tblLayout w:type="fixed"/>
        <w:tblCellMar>
          <w:top w:w="28" w:type="dxa"/>
          <w:left w:w="28" w:type="dxa"/>
          <w:bottom w:w="28" w:type="dxa"/>
          <w:right w:w="28" w:type="dxa"/>
        </w:tblCellMar>
      </w:tblPr>
      <w:tblGrid>
        <w:gridCol w:w="941"/>
        <w:gridCol w:w="826"/>
        <w:gridCol w:w="828"/>
        <w:gridCol w:w="245"/>
        <w:gridCol w:w="750"/>
        <w:gridCol w:w="126"/>
        <w:gridCol w:w="126"/>
        <w:gridCol w:w="126"/>
        <w:gridCol w:w="126"/>
        <w:gridCol w:w="245"/>
        <w:gridCol w:w="750"/>
        <w:gridCol w:w="126"/>
        <w:gridCol w:w="109"/>
        <w:gridCol w:w="109"/>
        <w:gridCol w:w="109"/>
        <w:gridCol w:w="211"/>
        <w:gridCol w:w="706"/>
        <w:gridCol w:w="109"/>
        <w:gridCol w:w="109"/>
        <w:gridCol w:w="109"/>
        <w:gridCol w:w="109"/>
        <w:gridCol w:w="353"/>
        <w:gridCol w:w="353"/>
        <w:gridCol w:w="331"/>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(5,332)</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$1.8 million decrease in interest income was due to a decrease in short-term investments and reduced rates of return. Interest expense decreased $0.7 million due to a decrease in the interest rate on our Term Loan. The $1.3 million decrease in Other income (expense), net was primarily due to increased foreign exchange losses.</w:t>
      </w:r>
    </w:p>
    <w:p>
      <w:pPr>
        <w:pStyle w:val="TextBody"/>
        <w:bidi w:val="0"/>
        <w:spacing w:lineRule="auto" w:line="288" w:before="100" w:after="240"/>
        <w:ind w:left="0" w:right="0" w:firstLine="360"/>
        <w:jc w:val="left"/>
        <w:rPr>
          <w:rFonts w:ascii="Arial;sans-serif" w:hAnsi="Arial;sans-serif"/>
          <w:b/>
          <w:i/>
          <w:color w:val="000000"/>
          <w:sz w:val="20"/>
        </w:rPr>
      </w:pPr>
      <w:r>
        <w:rPr>
          <w:rFonts w:ascii="Arial;sans-serif" w:hAnsi="Arial;sans-serif"/>
          <w:b/>
          <w:i/>
          <w:color w:val="000000"/>
          <w:sz w:val="20"/>
        </w:rPr>
        <w:t>Provision for Income Taxes</w:t>
      </w:r>
    </w:p>
    <w:tbl>
      <w:tblPr>
        <w:tblW w:w="7511" w:type="dxa"/>
        <w:jc w:val="left"/>
        <w:tblInd w:w="0" w:type="dxa"/>
        <w:tblLayout w:type="fixed"/>
        <w:tblCellMar>
          <w:top w:w="28" w:type="dxa"/>
          <w:left w:w="28" w:type="dxa"/>
          <w:bottom w:w="28" w:type="dxa"/>
          <w:right w:w="28" w:type="dxa"/>
        </w:tblCellMar>
      </w:tblPr>
      <w:tblGrid>
        <w:gridCol w:w="886"/>
        <w:gridCol w:w="778"/>
        <w:gridCol w:w="780"/>
        <w:gridCol w:w="245"/>
        <w:gridCol w:w="750"/>
        <w:gridCol w:w="126"/>
        <w:gridCol w:w="126"/>
        <w:gridCol w:w="126"/>
        <w:gridCol w:w="126"/>
        <w:gridCol w:w="245"/>
        <w:gridCol w:w="750"/>
        <w:gridCol w:w="126"/>
        <w:gridCol w:w="109"/>
        <w:gridCol w:w="109"/>
        <w:gridCol w:w="109"/>
        <w:gridCol w:w="211"/>
        <w:gridCol w:w="706"/>
        <w:gridCol w:w="109"/>
        <w:gridCol w:w="109"/>
        <w:gridCol w:w="109"/>
        <w:gridCol w:w="109"/>
        <w:gridCol w:w="218"/>
        <w:gridCol w:w="218"/>
        <w:gridCol w:w="331"/>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In the three months ended June 30, 2026, the provision for income taxes included: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$1.9 million of discrete items primarily related to withholding taxes on sales to customers;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$1.2 million of income taxes in foreign jurisdictions in which we conduct business.</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In the three months ended June 30, 2025, the provision for income taxes included: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$3.0 million of income taxes in foreign jurisdictions in which we conduct business;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$1.2 million of discrete items primarily related to withholding taxes on sales to customers.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Comparison of the Six Months Ended June 30, 2026 and 2025</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increase in revenue:</w:t>
      </w:r>
    </w:p>
    <w:tbl>
      <w:tblPr>
        <w:tblW w:w="9086" w:type="dxa"/>
        <w:jc w:val="left"/>
        <w:tblInd w:w="0" w:type="dxa"/>
        <w:tblLayout w:type="fixed"/>
        <w:tblCellMar>
          <w:top w:w="28" w:type="dxa"/>
          <w:left w:w="28" w:type="dxa"/>
          <w:bottom w:w="28" w:type="dxa"/>
          <w:right w:w="28" w:type="dxa"/>
        </w:tblCellMar>
      </w:tblPr>
      <w:tblGrid>
        <w:gridCol w:w="1419"/>
        <w:gridCol w:w="1246"/>
        <w:gridCol w:w="1250"/>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18"/>
        <w:gridCol w:w="218"/>
        <w:gridCol w:w="331"/>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Perpetual license and maintenance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services and other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530,566 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60" w:after="240"/>
        <w:ind w:left="0" w:right="0" w:firstLine="360"/>
        <w:jc w:val="left"/>
        <w:rPr>
          <w:rFonts w:ascii="Arial;sans-serif" w:hAnsi="Arial;sans-serif"/>
          <w:b w:val="false"/>
          <w:color w:val="000000"/>
          <w:sz w:val="20"/>
        </w:rPr>
      </w:pPr>
      <w:r>
        <w:rPr>
          <w:rFonts w:ascii="Arial;sans-serif" w:hAnsi="Arial;sans-serif"/>
          <w:b w:val="false"/>
          <w:color w:val="000000"/>
          <w:sz w:val="20"/>
        </w:rPr>
        <w:t>The increase in revenue included an increase of $48.3 million from existing customers as of July 1, 2025, partially offset by a decrease of $4.2 million in revenue from new customers. U.S. revenue increased $16.8 million, or 7%. International revenue increased $27.3 million, or 12%.</w:t>
      </w:r>
    </w:p>
    <w:p>
      <w:pPr>
        <w:pStyle w:val="TextBody"/>
        <w:bidi w:val="0"/>
        <w:spacing w:lineRule="auto" w:line="288" w:before="60" w:after="60"/>
        <w:ind w:left="0" w:right="0" w:firstLine="360"/>
        <w:jc w:val="left"/>
        <w:rPr>
          <w:rFonts w:ascii="Arial;sans-serif" w:hAnsi="Arial;sans-serif"/>
          <w:b/>
          <w:i/>
          <w:color w:val="000000"/>
          <w:sz w:val="20"/>
        </w:rPr>
      </w:pPr>
      <w:r>
        <w:rPr>
          <w:rFonts w:ascii="Arial;sans-serif" w:hAnsi="Arial;sans-serif"/>
          <w:b/>
          <w:i/>
          <w:color w:val="000000"/>
          <w:sz w:val="20"/>
        </w:rPr>
        <w:t>Cost of Revenue, Gross Profit and Gross Margin</w:t>
      </w:r>
    </w:p>
    <w:tbl>
      <w:tblPr>
        <w:tblW w:w="7324" w:type="dxa"/>
        <w:jc w:val="left"/>
        <w:tblInd w:w="0" w:type="dxa"/>
        <w:tblLayout w:type="fixed"/>
        <w:tblCellMar>
          <w:top w:w="28" w:type="dxa"/>
          <w:left w:w="28" w:type="dxa"/>
          <w:bottom w:w="28" w:type="dxa"/>
          <w:right w:w="28" w:type="dxa"/>
        </w:tblCellMar>
      </w:tblPr>
      <w:tblGrid>
        <w:gridCol w:w="712"/>
        <w:gridCol w:w="625"/>
        <w:gridCol w:w="627"/>
        <w:gridCol w:w="211"/>
        <w:gridCol w:w="856"/>
        <w:gridCol w:w="286"/>
        <w:gridCol w:w="109"/>
        <w:gridCol w:w="109"/>
        <w:gridCol w:w="109"/>
        <w:gridCol w:w="211"/>
        <w:gridCol w:w="856"/>
        <w:gridCol w:w="286"/>
        <w:gridCol w:w="109"/>
        <w:gridCol w:w="109"/>
        <w:gridCol w:w="109"/>
        <w:gridCol w:w="211"/>
        <w:gridCol w:w="751"/>
        <w:gridCol w:w="109"/>
        <w:gridCol w:w="109"/>
        <w:gridCol w:w="109"/>
        <w:gridCol w:w="109"/>
        <w:gridCol w:w="135"/>
        <w:gridCol w:w="136"/>
        <w:gridCol w:w="33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117,002 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106,894 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413,564 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379,538 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increase in cost of revenue was primarily due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$4.1 million increase in third-party cloud infrastructure costs;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$2.6 million increase in personnel costs;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$1.8 million increase in professional services;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$1.3 million increase in hardware costs.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0" w:after="60"/>
        <w:ind w:left="0" w:right="0" w:firstLine="360"/>
        <w:jc w:val="left"/>
        <w:rPr>
          <w:rFonts w:ascii="Arial;sans-serif" w:hAnsi="Arial;sans-serif"/>
          <w:b w:val="false"/>
          <w:i/>
          <w:color w:val="000000"/>
          <w:sz w:val="20"/>
        </w:rPr>
      </w:pPr>
      <w:r>
        <w:rPr>
          <w:rFonts w:ascii="Arial;sans-serif" w:hAnsi="Arial;sans-serif"/>
          <w:b w:val="false"/>
          <w:i/>
          <w:color w:val="000000"/>
          <w:sz w:val="20"/>
        </w:rPr>
        <w:t>Sales and Marketing</w:t>
      </w:r>
    </w:p>
    <w:tbl>
      <w:tblPr>
        <w:tblW w:w="6865" w:type="dxa"/>
        <w:jc w:val="left"/>
        <w:tblInd w:w="0" w:type="dxa"/>
        <w:tblLayout w:type="fixed"/>
        <w:tblCellMar>
          <w:top w:w="28" w:type="dxa"/>
          <w:left w:w="28" w:type="dxa"/>
          <w:bottom w:w="28" w:type="dxa"/>
          <w:right w:w="28" w:type="dxa"/>
        </w:tblCellMar>
      </w:tblPr>
      <w:tblGrid>
        <w:gridCol w:w="712"/>
        <w:gridCol w:w="625"/>
        <w:gridCol w:w="627"/>
        <w:gridCol w:w="211"/>
        <w:gridCol w:w="856"/>
        <w:gridCol w:w="109"/>
        <w:gridCol w:w="109"/>
        <w:gridCol w:w="109"/>
        <w:gridCol w:w="109"/>
        <w:gridCol w:w="211"/>
        <w:gridCol w:w="856"/>
        <w:gridCol w:w="109"/>
        <w:gridCol w:w="109"/>
        <w:gridCol w:w="109"/>
        <w:gridCol w:w="109"/>
        <w:gridCol w:w="211"/>
        <w:gridCol w:w="646"/>
        <w:gridCol w:w="109"/>
        <w:gridCol w:w="109"/>
        <w:gridCol w:w="109"/>
        <w:gridCol w:w="109"/>
        <w:gridCol w:w="135"/>
        <w:gridCol w:w="136"/>
        <w:gridCol w:w="33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increase in sales and marketing expense was primarily due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a $2.4 million increase in personnel costs, including a $0.9 million increase in stock-based compensation; and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$2.4 million increase in sales commissions; partially offset by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$1.7 million decrease in expenses for demand generation programs, including advertising, sponsorships, and brand awareness efforts;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$1.3 million decrease in acquisition-related expenses.</w:t>
      </w:r>
    </w:p>
    <w:p>
      <w:pPr>
        <w:pStyle w:val="TextBody"/>
        <w:bidi w:val="0"/>
        <w:spacing w:lineRule="auto" w:line="288" w:before="0" w:after="60"/>
        <w:ind w:left="0" w:right="0" w:firstLine="360"/>
        <w:jc w:val="left"/>
        <w:rPr>
          <w:rFonts w:ascii="Arial;sans-serif" w:hAnsi="Arial;sans-serif"/>
          <w:b w:val="false"/>
          <w:i/>
          <w:color w:val="000000"/>
          <w:sz w:val="20"/>
        </w:rPr>
      </w:pPr>
      <w:r>
        <w:rPr>
          <w:rFonts w:ascii="Arial;sans-serif" w:hAnsi="Arial;sans-serif"/>
          <w:b w:val="false"/>
          <w:i/>
          <w:color w:val="000000"/>
          <w:sz w:val="20"/>
        </w:rPr>
        <w:t>Research and Development</w:t>
      </w:r>
    </w:p>
    <w:tbl>
      <w:tblPr>
        <w:tblW w:w="7361" w:type="dxa"/>
        <w:jc w:val="left"/>
        <w:tblInd w:w="0" w:type="dxa"/>
        <w:tblLayout w:type="fixed"/>
        <w:tblCellMar>
          <w:top w:w="28" w:type="dxa"/>
          <w:left w:w="28" w:type="dxa"/>
          <w:bottom w:w="28" w:type="dxa"/>
          <w:right w:w="28" w:type="dxa"/>
        </w:tblCellMar>
      </w:tblPr>
      <w:tblGrid>
        <w:gridCol w:w="903"/>
        <w:gridCol w:w="792"/>
        <w:gridCol w:w="795"/>
        <w:gridCol w:w="211"/>
        <w:gridCol w:w="856"/>
        <w:gridCol w:w="109"/>
        <w:gridCol w:w="109"/>
        <w:gridCol w:w="109"/>
        <w:gridCol w:w="109"/>
        <w:gridCol w:w="211"/>
        <w:gridCol w:w="856"/>
        <w:gridCol w:w="109"/>
        <w:gridCol w:w="109"/>
        <w:gridCol w:w="109"/>
        <w:gridCol w:w="109"/>
        <w:gridCol w:w="211"/>
        <w:gridCol w:w="481"/>
        <w:gridCol w:w="109"/>
        <w:gridCol w:w="109"/>
        <w:gridCol w:w="109"/>
        <w:gridCol w:w="109"/>
        <w:gridCol w:w="203"/>
        <w:gridCol w:w="203"/>
        <w:gridCol w:w="331"/>
      </w:tblGrid>
      <w:tr>
        <w:trPr/>
        <w:tc>
          <w:tcPr>
            <w:tcW w:w="90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increase in research and development expense was primarily due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$1.7 million increase in personnel costs, including an unfavorable foreign currency impact of $5.7 million and a $1.3 million decrease in stock-based compensation;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a $1.5 million increase in allocated overhead;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$0.7 million increase in third-party cloud infrastructure costs; 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$0.5 million increase in depreciation and amortization expense; partially offset by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$2.5 million increase in refundable R&amp;D tax credits;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$1.8 million decrease in acquisition-related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60"/>
        <w:ind w:left="0" w:right="0" w:firstLine="360"/>
        <w:jc w:val="left"/>
        <w:rPr>
          <w:rFonts w:ascii="Arial;sans-serif" w:hAnsi="Arial;sans-serif"/>
          <w:b w:val="false"/>
          <w:i/>
          <w:color w:val="000000"/>
          <w:sz w:val="20"/>
        </w:rPr>
      </w:pPr>
      <w:r>
        <w:rPr>
          <w:rFonts w:ascii="Arial;sans-serif" w:hAnsi="Arial;sans-serif"/>
          <w:b w:val="false"/>
          <w:i/>
          <w:color w:val="000000"/>
          <w:sz w:val="20"/>
        </w:rPr>
        <w:t>General and Administrative</w:t>
      </w:r>
    </w:p>
    <w:tbl>
      <w:tblPr>
        <w:tblW w:w="7465" w:type="dxa"/>
        <w:jc w:val="left"/>
        <w:tblInd w:w="0" w:type="dxa"/>
        <w:tblLayout w:type="fixed"/>
        <w:tblCellMar>
          <w:top w:w="28" w:type="dxa"/>
          <w:left w:w="28" w:type="dxa"/>
          <w:bottom w:w="28" w:type="dxa"/>
          <w:right w:w="28" w:type="dxa"/>
        </w:tblCellMar>
      </w:tblPr>
      <w:tblGrid>
        <w:gridCol w:w="886"/>
        <w:gridCol w:w="778"/>
        <w:gridCol w:w="780"/>
        <w:gridCol w:w="211"/>
        <w:gridCol w:w="751"/>
        <w:gridCol w:w="109"/>
        <w:gridCol w:w="109"/>
        <w:gridCol w:w="109"/>
        <w:gridCol w:w="109"/>
        <w:gridCol w:w="211"/>
        <w:gridCol w:w="751"/>
        <w:gridCol w:w="109"/>
        <w:gridCol w:w="109"/>
        <w:gridCol w:w="109"/>
        <w:gridCol w:w="109"/>
        <w:gridCol w:w="211"/>
        <w:gridCol w:w="811"/>
        <w:gridCol w:w="109"/>
        <w:gridCol w:w="109"/>
        <w:gridCol w:w="109"/>
        <w:gridCol w:w="109"/>
        <w:gridCol w:w="218"/>
        <w:gridCol w:w="218"/>
        <w:gridCol w:w="331"/>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The decrease in general and administrative expense was primarily due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a $12.8 million decrease in personnel costs primarily related to the accelerated vesting of equity awards for our former Chairman and Chief Executive Officer in the six months ended June 30, 2025;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$3.6 million decrease in acquisition-related expenses;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$1.8 million decrease in professional services.</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Restructuring</w:t>
      </w:r>
    </w:p>
    <w:tbl>
      <w:tblPr>
        <w:tblW w:w="6791" w:type="dxa"/>
        <w:jc w:val="left"/>
        <w:tblInd w:w="0" w:type="dxa"/>
        <w:tblLayout w:type="fixed"/>
        <w:tblCellMar>
          <w:top w:w="28" w:type="dxa"/>
          <w:left w:w="28" w:type="dxa"/>
          <w:bottom w:w="28" w:type="dxa"/>
          <w:right w:w="28" w:type="dxa"/>
        </w:tblCellMar>
      </w:tblPr>
      <w:tblGrid>
        <w:gridCol w:w="712"/>
        <w:gridCol w:w="625"/>
        <w:gridCol w:w="627"/>
        <w:gridCol w:w="250"/>
        <w:gridCol w:w="768"/>
        <w:gridCol w:w="129"/>
        <w:gridCol w:w="129"/>
        <w:gridCol w:w="129"/>
        <w:gridCol w:w="129"/>
        <w:gridCol w:w="250"/>
        <w:gridCol w:w="482"/>
        <w:gridCol w:w="129"/>
        <w:gridCol w:w="109"/>
        <w:gridCol w:w="109"/>
        <w:gridCol w:w="109"/>
        <w:gridCol w:w="211"/>
        <w:gridCol w:w="646"/>
        <w:gridCol w:w="109"/>
        <w:gridCol w:w="109"/>
        <w:gridCol w:w="109"/>
        <w:gridCol w:w="109"/>
        <w:gridCol w:w="240"/>
        <w:gridCol w:w="241"/>
        <w:gridCol w:w="33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Restructuring in the six months ended June 30, 2026 included non-ordinary course severance and employee related benefits.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Interest Income, Interest Expense and Other (Expense) Income, Net</w:t>
      </w:r>
    </w:p>
    <w:tbl>
      <w:tblPr>
        <w:tblW w:w="7541" w:type="dxa"/>
        <w:jc w:val="left"/>
        <w:tblInd w:w="0" w:type="dxa"/>
        <w:tblLayout w:type="fixed"/>
        <w:tblCellMar>
          <w:top w:w="28" w:type="dxa"/>
          <w:left w:w="28" w:type="dxa"/>
          <w:bottom w:w="28" w:type="dxa"/>
          <w:right w:w="28" w:type="dxa"/>
        </w:tblCellMar>
      </w:tblPr>
      <w:tblGrid>
        <w:gridCol w:w="941"/>
        <w:gridCol w:w="826"/>
        <w:gridCol w:w="828"/>
        <w:gridCol w:w="224"/>
        <w:gridCol w:w="686"/>
        <w:gridCol w:w="115"/>
        <w:gridCol w:w="115"/>
        <w:gridCol w:w="115"/>
        <w:gridCol w:w="115"/>
        <w:gridCol w:w="224"/>
        <w:gridCol w:w="686"/>
        <w:gridCol w:w="115"/>
        <w:gridCol w:w="109"/>
        <w:gridCol w:w="109"/>
        <w:gridCol w:w="109"/>
        <w:gridCol w:w="211"/>
        <w:gridCol w:w="706"/>
        <w:gridCol w:w="109"/>
        <w:gridCol w:w="109"/>
        <w:gridCol w:w="109"/>
        <w:gridCol w:w="109"/>
        <w:gridCol w:w="269"/>
        <w:gridCol w:w="271"/>
        <w:gridCol w:w="331"/>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(12,848)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(14,150)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$3.7 million decrease in interest income was due to a decrease in short-term investments and reduced rates of return. Interest expense decreased $1.3 million due to a decrease in the interest rate on our Term Loan. Other income (expense), net decreased $2.1 million primarily due to an increase in foreign exchange losses.</w:t>
      </w:r>
    </w:p>
    <w:tbl>
      <w:tblPr>
        <w:tblW w:w="7286" w:type="dxa"/>
        <w:jc w:val="left"/>
        <w:tblInd w:w="0" w:type="dxa"/>
        <w:tblLayout w:type="fixed"/>
        <w:tblCellMar>
          <w:top w:w="28" w:type="dxa"/>
          <w:left w:w="28" w:type="dxa"/>
          <w:bottom w:w="28" w:type="dxa"/>
          <w:right w:w="28" w:type="dxa"/>
        </w:tblCellMar>
      </w:tblPr>
      <w:tblGrid>
        <w:gridCol w:w="886"/>
        <w:gridCol w:w="778"/>
        <w:gridCol w:w="780"/>
        <w:gridCol w:w="224"/>
        <w:gridCol w:w="686"/>
        <w:gridCol w:w="115"/>
        <w:gridCol w:w="115"/>
        <w:gridCol w:w="115"/>
        <w:gridCol w:w="115"/>
        <w:gridCol w:w="224"/>
        <w:gridCol w:w="686"/>
        <w:gridCol w:w="115"/>
        <w:gridCol w:w="109"/>
        <w:gridCol w:w="109"/>
        <w:gridCol w:w="109"/>
        <w:gridCol w:w="211"/>
        <w:gridCol w:w="706"/>
        <w:gridCol w:w="109"/>
        <w:gridCol w:w="109"/>
        <w:gridCol w:w="109"/>
        <w:gridCol w:w="109"/>
        <w:gridCol w:w="218"/>
        <w:gridCol w:w="218"/>
        <w:gridCol w:w="331"/>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In the six months ended June 30, 2026, the provision for income taxes included: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$4.0 million of discrete items primarily related to withholding taxes on sales to customers;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 xml:space="preserve">$2.8 million of income taxes in foreign jurisdictions in which we conduct business. </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In the six months ended June 30, 2025, the provision for income taxes included: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$5.1 million of income taxes in foreign jurisdictions in which we conduct business;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$2.7 million of discrete items primarily related to withholding taxes on sales to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June 30, 2026, we had $125.4 million of cash and cash equivalents, which consisted of bank deposits and money market funds, and $172.9 million of short-term investments, which consisted of commercial paper, asset backed securities, U.S. Treasury and agency obligations and corporate and Yankee bonds.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historically generated significant operating losses, as reflected by our accumulated deficit of $892.2 million at June 30, 2026.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typically invoice our customers in advance, however multi-year subscriptions are increasingly being invoiced annually in installments. Deferred revenue consists primarily of the unearned portion of billed fees for our subscriptions and perpetual licenses, which is subsequently recognized as revenue in accordance with our revenue recognition policy. At June 30, 2026, we had deferred revenue of $849.4 million, of which $670.1 million was recorded as a current liability and is expected to be recognized as revenue in the next 12 months, provided all other revenue recognition criteria are met.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principal uses of cash in recent periods have been funding our operations, expansion of our sales and marketing and research and development activities, investments in infrastructure, acquiring complementary businesses and technology, and repurchasing shares of our common stock. We expect to enter into arrangements to acquire or invest in other complementary businesses, services and technologies, including intellectual property rights, in the future.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believe that our existing cash and cash equivalents and short-term investments will be sufficient to fund our operating and capital needs for at least the next 12 months and for the foreseeable future. Our future capital requirements will depend on many factors, including our revenue growth rate, subscription renewal activity, the timing and extent of spending to support further infrastructure and research and development efforts, the timing and extent of additional capital expenditures to invest in new and existing office spaces, the expansion of sales and marketing and international operating activities, any acquisitions of complementary businesses and technologies, the timing of our introduction of new product capabilities and enhancements of our platform and the continuing market acceptance of our platform. It may be necessary to seek additional equity or debt financing to fund our operating and capital needs. In the event that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authorized the repurchase of up to $100 million of our common stock in November 2023 and subsequently increased the authorization by $200 million in October 2024, $250 million in July 2025 and $150 million in January 2026.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During the three months ended June 30, 2026, we purchased 5.2 million shares for $100.0 million, and during the six months ended June 30, 2026, we purchased 11.4 million shares for $230.0 million. Since the inception of the share repurchase program and through June 30, 2026, we have purchased a total of 21.9 million shares for $592.4 million.</w:t>
      </w:r>
    </w:p>
    <w:p>
      <w:pPr>
        <w:pStyle w:val="TextBody"/>
        <w:bidi w:val="0"/>
        <w:spacing w:lineRule="auto" w:line="288" w:before="0" w:after="240"/>
        <w:ind w:left="0" w:right="0" w:firstLine="360"/>
        <w:jc w:val="left"/>
        <w:rPr/>
      </w:pPr>
      <w:r>
        <w:rPr>
          <w:rFonts w:ascii="Arial;sans-serif" w:hAnsi="Arial;sans-serif"/>
          <w:b/>
          <w:i/>
          <w:color w:val="000000"/>
          <w:sz w:val="20"/>
        </w:rPr>
        <w:t>Term Loan and Revolving Credit Facility</w:t>
      </w:r>
      <w:r>
        <w:rPr>
          <w:color w:val="00000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July 2021, we entered into a credit agreement, or the Credit Agreement, which is comprised of a $375.0 million Term Loan and a $50.0 million Revolving Credit Facility, with a $15.0 million letter of credit sublimit. The Term Loan bears interest at a rate of 2.75% per annum over SOFR, subject to a 0.50% floor, plus a credit spread adjustment depending on the interest period.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From January to June 2026, interest rates on our Term Loan were between 6.48% and 6.58%. The Term Loan is being amortized at 1% per annum in equal quarterly installments until the final payment of $350.6 million on the July 7, 2028 maturity date. We may be subject to mandatory Term Loan prepayments related to the excess cash provisions in the Credit Agreement if our first lien net leverage ratio (as defined in the Credit Agreement) exceeds 3.5. At June 30, 2026, our first lien net leverage ratio was 0.77.</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Revolving Credit Facility, which was in place at June 30, 2026, expired on July 7, 2026, and we did not elect to enter into a new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360"/>
        <w:jc w:val="left"/>
        <w:rPr/>
      </w:pPr>
      <w:r>
        <w:rPr>
          <w:rFonts w:ascii="Arial;sans-serif" w:hAnsi="Arial;sans-serif"/>
          <w:b/>
          <w:i/>
          <w:color w:val="000000"/>
          <w:sz w:val="20"/>
        </w:rPr>
        <w:t>Cash Flows</w:t>
      </w:r>
      <w:r>
        <w:rPr>
          <w:color w:val="000000"/>
        </w:rPr>
        <w:t xml:space="preserve">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our cash flows for the periods presented:</w:t>
      </w:r>
    </w:p>
    <w:tbl>
      <w:tblPr>
        <w:tblW w:w="10119" w:type="dxa"/>
        <w:jc w:val="left"/>
        <w:tblInd w:w="0" w:type="dxa"/>
        <w:tblLayout w:type="fixed"/>
        <w:tblCellMar>
          <w:top w:w="28" w:type="dxa"/>
          <w:left w:w="28" w:type="dxa"/>
          <w:bottom w:w="28" w:type="dxa"/>
          <w:right w:w="28" w:type="dxa"/>
        </w:tblCellMar>
      </w:tblPr>
      <w:tblGrid>
        <w:gridCol w:w="2659"/>
        <w:gridCol w:w="2335"/>
        <w:gridCol w:w="2341"/>
        <w:gridCol w:w="211"/>
        <w:gridCol w:w="856"/>
        <w:gridCol w:w="109"/>
        <w:gridCol w:w="109"/>
        <w:gridCol w:w="109"/>
        <w:gridCol w:w="109"/>
        <w:gridCol w:w="211"/>
        <w:gridCol w:w="916"/>
        <w:gridCol w:w="154"/>
      </w:tblGrid>
      <w:tr>
        <w:trPr/>
        <w:tc>
          <w:tcPr>
            <w:tcW w:w="2659"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 and 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(153,622)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Operating Activities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largest source of cash provided by operating activities is cash collections from sales of our products and services, as we typically invoice our customers in advance. Our primary uses of cash are employee compensation costs, third-party cloud infrastructure and other software subscription costs, demand generation expenditures and general corporate costs.</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Investing Activities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Net cash provided by investing activities increased by $199.4 million, primarily due to a $196.2 million decrease in cash paid for acquisitions.</w:t>
      </w:r>
    </w:p>
    <w:p>
      <w:pPr>
        <w:pStyle w:val="TextBody"/>
        <w:bidi w:val="0"/>
        <w:spacing w:lineRule="auto" w:line="288" w:before="0" w:after="240"/>
        <w:ind w:left="0" w:right="0" w:firstLine="360"/>
        <w:jc w:val="left"/>
        <w:rPr/>
      </w:pPr>
      <w:r>
        <w:rPr>
          <w:rFonts w:ascii="Arial;sans-serif" w:hAnsi="Arial;sans-serif"/>
          <w:b w:val="false"/>
          <w:i/>
          <w:color w:val="000000"/>
          <w:sz w:val="20"/>
        </w:rPr>
        <w:t>Financing Activities</w:t>
      </w:r>
      <w:r>
        <w:rPr>
          <w:color w:val="00000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Net cash used in financing activities increased by $108.5 million, primarily due to a $105.2 million increase in repurchases of our common stock under our repurchase program.</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have certain contractual obligations for future payments. See Note 6 to our consolidated financial statements for our required operating lease payments and Note 8 to our consolidated financial statements for our required payments to Microsoft and AWS for cloud services.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June 30, 2026, there were no other material changes in our contractual obligations and commitments from those disclosed in our 10-K.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financial statements are prepared in accordance with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There have been no material changes to our critical accounting policies and estimates as described in our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are exposed to market risks in the ordinary course of our business, including interest rate and foreign currency exchange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360"/>
        <w:jc w:val="left"/>
        <w:rPr/>
      </w:pPr>
      <w:r>
        <w:rPr>
          <w:rFonts w:ascii="Arial;sans-serif" w:hAnsi="Arial;sans-serif"/>
          <w:b/>
          <w:i/>
          <w:color w:val="000000"/>
          <w:sz w:val="20"/>
        </w:rPr>
        <w:t>Interest Rate Risk</w:t>
      </w:r>
      <w:r>
        <w:rPr>
          <w:color w:val="00000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interest rate risk is described in Part II, Item 7A, "Quantitative and Qualitative Disclosures About Market Risk" in our Annual Report on Form 10-K for the year ended December 31, 2025. At June 30, 2026, we had $125.4 million of cash and cash equivalents, which consisted of cash deposits and money market funds and $172.9 million of short-term investments, which consisted of commercial paper, asset backed securities, U.S. treasury and agency securities and corporate and Yankee bonds. The primary objectives of our investment activities are the preservation of capital, the fulfillment of liquidity needs and the fiduciary control of cash and investments. We do not enter into investments for trading or speculative purposes. Interest-earning instruments carry a degree of interest rate risk; however, a hypothetical 10% change in interest rates during any of the periods presented would not have had a material impact on our financial statements.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July 2021, we entered into the Credit Agreement comprised of a $375.0 million Term Loan and a $50.0 million Revolving Credit Facility. From January to June 2026, interest rates on our Term Loan were between 6.48% and 6.58%. A one percentage point increase in the rate would not have a material impact on our financial statements.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Foreign Currency Exchange Risk</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foreign currency exchange rate risk is described in Part II, Item 7A, "Quantitative and Qualitative Disclosures About Market Risk" in our Annual Report on Form 10-K for the year ended December 31, 2025. At June 30, 2026, there have been no material changes to our foreign currency exchange rate risk as described in our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Evaluation of Disclosure Controls and Procedures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management, with the participation of our Co-Chief Executive Officer, Stephen Vintz, and our Chief Financial Officer, Matthew Brown, has evaluated the effectiveness of our disclosure controls and procedures (as defined in Rules 13a-15(e) and 15d-15(e) under the Exchange Act), as of the end of the period covered by this Form 10-Q. Based on such evaluation, our Co-Chief Executive Officer and Chief Financial Officer have concluded that at June 30, 2026, our disclosure controls and procedures were effective to provide reasonable assurance that the information required to be disclosed by us in this Form 10-Q was (a) reported within the time periods specified by SEC rules and regulations, and (b) communicated to our management, including our Co-Chief Executive Officer and Chief Financial Officer, to allow timely decisions regarding any required disclosure.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Changes in Internal Control Over Financial Reporting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identified in management’s evaluation pursuant to Rules 13a-15(d) or 15d-15(d) of the Exchange Act during the period covered by this Form 10-Q that materially affected, or are reasonably likely to materially affect, our internal control over financial reporting.</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Inherent Limitations on Effectiveness of Internal Controls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possible controls and procedures relative to their costs. Our management, including our Co-Chief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Except for the risk factors disclosed below, there have been no material changes to the risk factors disclosed in Part I, Item 1A. "Risk Factors" of our Form 10-K for the year ended December 31, 2025 filed with the United States Securities and Exchange Commission ("SEC") on February 27, 2026. Our business is subject to risks and events that, if they occur, could adversely affect our financial condition and results of operations and trading price of our securities. In addition to the other information set forth in this Form 10-Q, you should carefully consider the factors described in Part I, Item 1A. “Risk Factors” of our Form 10-K for the year ended December 31, 2025. We may disclose additional changes to risk factors or disclose additional factors from time to time in our future filings with the SEC. Additional risks and uncertainties not presently known to us or that we currently deem immaterial also may impair our business operations.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Our brand, reputation and ability to attract, retain and serve our customers are dependent in part upon the reliability and accuracy of our data, solutions, infrastructure and those of third parties upon which we rely. If our information technology systems or data, or those of third parties upon which we rely, are or were compromised or disrupted, or if our solutions fail to detect vulnerabilities or incorrectly detect vulnerabilities, or if they contain undetected errors or defects, we could experience adverse consequences.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the ordinary course of our business, we collect, store, use, transmit, disclose or otherwise process proprietary, confidential, and sensitive information, including personal data, intellectual property, and trade secrets.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sell cybersecurity products and, as a result, may be at increased risk of being a target of cyberattacks designed to penetrate our platform or internal systems, to compromise our data, alter or modify our source code, or to otherwise impede the performance of our products. Threats to information systems and data come from a variety of sources. In addition to computer “hackers,” threat actors, personnel (such as through theft or misuse, or other insider threat listed below), "hacktivists," organized criminal threat actors, sophisticated nation-states and nation-state-supported actors now engage and are expected to continue to engage in cyber-attacks. Nation-state actors and nation-state-supported actors may engage in such attacks for geopolitical reasons and in conjunction with military conflicts and defense activities, around the world. During times of war and other major conflicts, we, third parties upon which we may rely, and our customers may be vulnerable to a heightened risk of these threats, including retaliatory cyber-attacks that could materially disrupt our systems and operations, supply chain, and ability to produce, sell and distribute our goods and services. We, our customers, and the third parties upon which we rely are subject to a variety of evolving threats, which are prevalent, continue to rise, and are increasingly difficult to detect. These threats include but are not limited to: social-engineering attacks (including through deep fakes, which may be increasingly more difficult to identify as fake, and phishing attacks); credential harvesting; malicious code (such as viruses, worms, and, increasingly, code injection in open source software); malware (including as a result of advanced persistent threat intrusions); denial-of-service attacks, credential stuffing; insider threats (including due to personnel misconduct, error or malicious activity); ransomware attacks; supply-chain attacks; software bugs; server malfunctions; software or hardware failures; loss of data or other information technology assets; adware; telecommunications failures; attacks enhanced or facilitated by artificial intelligence and other similar threats. Advances in artificial intelligence, including models capable of rapidly identifying and exploiting software vulnerabilities, may further increase the speed and effectiveness of cyberattacks. As a result, vulnerabilities or flaws in our products, systems or those of third parties upon which we rely may be discovered more quickly, reducing the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available for detection and remediation and increasing the likelihood or severity of security incidents. Ransomware attacks, including those from organized criminal threat actors, nation-states and nation-state supported actors, are becoming increasingly prevalent and severe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prudent to make extortion payments, but we may be unable to do so if, for example, applicable laws prohibit such payments.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Additionally, we are incorporated into the supply chain of a large number of companies worldwide and, as a result, if our solutions are compromised, a significant number or, in some instances, all of our customers and their data could be simultaneously affected. The potential liability and associated consequences we could suffer as a result of such a large-scale event could be catastrophic and result in irreparable harm.</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Remote work and use of remote devices has increased risks to our information technology systems and data, as more of our personnel utilize network connections, computers and devices outside of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identified during due diligence of such acquired or integrated entities, and it may be difficult to integrate other companies into our information technology environment and security program.</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rely on third-party service providers and technologies to operate critical business systems, including processing confidential and sensitive information, including, without limitation, cloud-based infrastructure, data center facilities, encryption and authentication technology, employee email and other functions. We also rely on third-party service providers to provide other products, services, or otherwise, to operate our business and elements of our infrastructure, including endpoints. Our ability to monitor these third parties' information security practices is limited, and these third parties may not have adequate information security measures in place. Additionally, software errors or vulnerabilities in these third-party technologies could result in significant disruptions to our information technology systems, leading to downtime, data loss, or compromised data integrity. Our use of generative AI technologies may increase the risks associated with open source software and other third-party components, including where such technologies retrieve or recommend malicious or vulnerable code from public repositories or other third-party sources that may be used without appropriate review.</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our third-party service providers or partners experience a security incident or other interruption or cause an extended outage or disruption to our systems, we could experience adverse consequences. It is possible that our customers and potential customers would hold us accountable for any security incident affecting our third-party service providers’ or partners' infrastructure or other interruption caused by our third-party service providers or partners that impacts our infrastructure. We may incur significant liability from those customers and from other third parties with respect to any such incident. Because our agreements with certain third-party service providers, such as AWS and Snowflake, limit their liability for damages, we may not be able to recover a material portion of our liabilities to our customers and third parties arising from issues with such third-party service providers, such as AWS and Snowflake, in the event of an incident affecting the third parties’ systems. Moreover, while we may be entitled to damages from third-party service providers if they fail to satisfy their privacy or security-related obligations to us or if they cause a disruption in our infrastructure, any award may be insufficient to cover our damages, or we may be unable to recover such reward. In addition, supply-chain attacks have increased in frequency and severity and there have been high-profile incidents of third-party service providers causing widespread disruptions in their customers' infrastructures due to errors in their SaaS offerings. We cannot guarantee that third parties’ infrastructure in our supply chain or our third-party partners’ supply chains have not been compromised or that errors by our third-party service providers won’t cause disruptions in our infrastructure.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experienced, and may in the future experience, disruptions, outages, other performance problems and security threats due to a variety of factors, including infrastructure changes, deliberate or unintentional human actions (including by third parties), software defects and configuration errors, capacity constraints, fraud or security incidents. We take steps designed to detect, mitigate and remediate vulnerabilities and defects and configuration errors in our information technology systems (such as our hardware and software, including that of third parties upon which we rely) and in our software applications, products and services. We may not, however, be able to detect and remediate all such vulnerabilities, defects or configuration errors on a timely basis. For example, we have identified certain vulnerabilities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information systems and software applications, and we take steps designed to mitigate the risks associated with known vulnerabilities. Despite our efforts, there can be no assurance that these vulnerability, defect and configuration error mitigation measures will be completely effective. Further, we may experience delays in developing and deploying remedial measures and patches designed to address any such identified vulnerabilities, defects or configuration errors. Additionally, as part of our business operations, employees and authorized personnel, or insiders, access our systems, applications, and data, including through the use of mobile devices, including personally-owned devices. Our business may be adversely affected if insiders cause cybersecurity incidents such as data breaches, intellectual property theft, ransom demands, or operational disruptions. We take steps designed to detect and mitigate insider threats, however, despite our efforts, there can be no assurance that these efforts will be completely effective and we have expended significant resources to prevent, detect and investigate such threats. Additionally, our ability to implement and enforce security measures on employee-owned mobile devices is more limited, which increases the risk of cybersecurity threats.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Any of these or similar threats could cause a security incident or other interruption that can result in unauthorized, unlawful, or accidental acquisition, modification, destruction, loss, alteration, encryption, disclosure of, or access to our proprietary, confidential, and sensitive information or our information technology systems, or those of the third parties upon whom we rely. For example, we have been the target of unsuccessful phishing attempts in the past and we expect such attempts will continue in the future. A security incident or other interruption could disrupt our ability (and that of third parties upon whom we rely) to provide our solutions. In some instances, we or our third-party service providers may not be able to identify the cause or causes of these security incidents or performance problems within an acceptable period of time. If our solutions are unavailable or if our customers are unable to access features of our solutions within a reasonable amount of time or at all, our business could be adversely affected. In addition, if we or any of the third-party providers we use were to experience or cause a significant or prolonged outage or security incident, our business could be adversely affected. We may expend significant resources or modify our business activities to try to protect against or recover from security incidents. Certain data privacy and security obligations may require us to implement and maintain specific security measures, industry-standard or reasonable security measures to protect our information technology systems and proprietary, confidential, and sensitive information, including personal data.</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Data protection requirements may also require us or we may voluntarily choose to notify relevant stakeholders of security incidents, including affected individuals, partners, collaborators, customers, regulators, law enforcement agencies and others, or take other actions, such as providing credit monitoring and identity theft protection services. Such disclosures and related actions can be costly, and the disclosures or failure to comply with such applicable requirements could lead to adverse consequences.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Additionally, even if we have issued or otherwise made patches or information for vulnerabilities in our software applications, products or services, our customers may be unwilling or unable to deploy such patches and use such information effectively and in a timely manner. Vulnerabilities could be exploited and result in a security incident.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we, our customers, or a third party upon which we rely, experience or cause a security incident or other interruption, or are perceived to have experienced or caused a security incident or other interruption, we may experience material adverse consequences, such as government enforcement actions (for example, investigations, fines, penalties, audits, and inspections); additional reporting obligations and/or oversight; restrictions on processing information (including personal data); litigation (including class claims); indemnification obligations; negative publicity; reputational harm; monetary fund diversions; interruptions of our operations (including availability of data); financial loss (including by issuing credits to our customers); diversion of management attention; and other similar harm. Security incidents or other disruptions and attendant material consequences may cause customers to stop using our solutions (including by not renewing their purchases of our solutions), deter new customers from using our solutions, and negatively impact our ability to grow and operate our business.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There can be no assurance that any limitations or exclusions of liabilities in our contracts would be enforceable or adequate or would otherwise protect us from liabilities or damages if we fail to comply with data protection requirements related to information security or security incidents. We cannot be sure that our insurance coverage will be adequate or otherwise protect us from or adequately mitigate liabilities or damages with respect to claims, costs, expenses, litigation, fines, penalties, business loss, data loss, regulatory actions or other impacts arising out of security incidents.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addition, we face unique risks as a SaaS company that sells products and services that involve protecting the information systems of our customers. If our solutions fail to detect vulnerabilities in our customers’ cybersecurity infrastructure, including for remote devices, or if our solutions fail to identify new and increasingly complex methods of cyberattacks, our business may suffer and our customers' businesses may be damaged, including by interrupting their networking traffic or operational technology environments. Furthermore, a security incident could heighten the impact of these material adverse consequences because of the nature of our business and expectations of our customers. There is no guarantee that our solutions will detect all vulnerabilities or threats in our customers' systems, especially in light of the rapidly changing security landscape to which we must respond. As cyber threats increasingly leverage artificial intelligence and other advanced techniques, customer expectations for rapid identification, prioritization and remediation of vulnerabilities continue to increase. If our solutions fail to keep pace with these evolving threats or do not effectively help customers address them, our reputation, competitive position and customer relationships could be adversely affected. Additionally, our solutions may falsely detect vulnerabilities or threats that do not actually exist. For example, our solutions rely on information provided by an active community of users who contribute information about new exploits, attacks and vulnerabilities. If the information from these third parties is inaccurate, the potential for false indications of vulnerabilities or threats increases. These false positives, while typical in the industry, may impair the perceived reliability of our offerings. Additionally, our business depends upon the appropriate and successful implementation of our product by our customers. If our customers fail to use our solutions according to our specifications, our customers may suffer a security incident on their own systems or other adverse consequences. Even if such an incident is unrelated to our security practices, it could result in our incurring significant economic and operational costs in investigating, remediating, and implementing additional measures to further protect our customers from their own vulnerabilities.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reliability and continuous availability of our solutions is critical to our success. We have experienced errors or defects in the past in connection with the release of new solutions and product upgrades, and we expect that these errors or defects will be found from time to time in the future in new or enhanced solutions after commercial release. For example, on December 31, 2024, we identified Nessus agents versions 10.8.0 and 10.8.1 going offline under certain conditions which impacted the availability of our Vulnerability Management and Security Center solutions for certain customers. Upon discovery of the incident, we developed and released a version 10.8.2 of our Nessus agent on January 2, 2025, which enabled affected customers to resolve the issue. Although the financial impacts of this incident have not been significant, similar incidents in the future could result in costs associated with service-level credits and loss of customer trust, which could have a material adverse effect on our business and financial performance. In addition, we use third parties to assist in the development of our products and these third parties could be a source of errors or defects. Some defects may cause our solutions to be vulnerable to attacks, cause them to fail to detect vulnerabilities, or temporarily interrupt customers’ networking traffic or operational technology environments, any of which may damage our customers’ business and could hurt our reputation.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a result of any of the risks associated with our SaaS business, we may experience material adverse consequences. We may also be subject to liability claims for damages related to errors or defects in our solutions.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We have incorporated and expect to continue to incorporate and further expand our use of AI technologies, including generative AI, into certain of our products and services. These technologies are subject to new and developing regulatory frameworks and may create operational, financial, regulatory, and reputational risks based on development practices or reliance on AI outputs that are inaccurate or flawed. These technologies may not achieve market acceptance and may pose other adverse consequences to our business, some of which we may not know or be able to quantify at this time.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incorporated and expect to continue to incorporate and further expand our use of AI features in certain of our products and services, including ExposureAI, Tenable AI Assistant and Hexa AI within Tenable One. The use of AI technologies, including generative AI processes, at scale is relatively new, and may lead to challenges, concerns and risks, including various privacy and security risks that are significant or that we may not be able to predict, especially if our use of these technologies in our products and services becomes more important to our operations over time. The technologies underpinning these features are in the early stages of commercial use and exist in an emerging regulatory environment with heightened regulatory scrutiny, which presents regulatory, litigation, ethical, safety, reputational, operational and financial risks. AI in our products and services may be complex to deploy successfully due to operational issues inherent to the nature of such technologies, including the availability, development, maintenance and operation of deep learning datasets and third-party dependencies.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Datasets used in AI training, development, and operations may be insufficient, of poor quality, not fit for purpose, contain sensitive information, or reflect unwanted bias. If we do not have adequate rights to utilize the data or other materials and content that our AI technologies depend on, we may face legal consequences for violating applicable laws, third-party intellectual property, privacy or other rights, or contracts to which we are a party. The use of certain types or sources of data for AI training or development may require consent from data subjects, customers, or other data owners or custodians. We may not have insight into, or control over, the provenance of certain data that our AI technologies ingest. As laws evolve, we may be obligated to obtain certain consents for AI development that we had not previously sought and seeking any type of consent may be costly, impractical, and hinder competitive development or deployment of AI technologies. Customers are increasingly concerned about how their data may interact with AI technologies and may require us to make stronger assurances or contractual commitments to refrain or limit the use of customer data with AI technologies. This may adversely impact our ability to develop or improve AI technologies, which rely on a large volume of diverse and relevant data, including customer data, to produce more accurate, reliable, and predictable outputs.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Uncertainty in the legal regulatory regime relating to AI and emerging ethical issues surrounding the use of AI may require significant resources to modify and maintain business practices to comply with U.S. and non-U.S. laws, the nature of which cannot be determined at this time. Existing laws and regulations may apply to us or our suppliers, vendors, partners and customers in new ways, and new laws and regulations may be instituted. Many U.S. and international governmental bodies and regulators have proposed, enacted or are in the process of developing, new regulations related to the use of AI and machine learning technologies, including the EU AI Act, Colorado AI Act, California Bot Disclosure Law, and Utah AI Policy Act, as well as regulations on certain high-risk automated decisions, such as those in the employment context. For example, the EU AI Act, which applies beyond the European Union’s borders and establishes obligations for AI providers and those deploying AI systems, sets out a risk-based framework that subjects certain AI technologies to numerous compliance obligations, such as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higher. Certain of our activities subject us to the EU AI Act and other U.S. and non-U.S. laws governing AI or data processed in connection with AI. We expect other jurisdictions may adopt similar or potentially more restrictive laws, which may render the use of such technologies challenging. The final form of these may impose obligations related to our development, offering (including import and export thereof) and use of AI technologies and expose us to increased risk of regulatory enforcement and litigation. We may have to amend our business practices, contractual arrangements, products and/or services to comply with such obligations. In addition to formal legislation, governmental authorities may take enforcement or administrative actions that restrict the use of specific AI technologies. For example, federal agencies have designated Anthropic as a supply chain risk, a designation Anthropic has challenged in ongoing federal litigation and whose ultimate scope and enforceability remains uncertain. This or similar enforcement or administrative actions or changes in export controls, trade sanctions or other regulatory restrictions impacting AI technologies and frontier models could result in prohibitions on the use of Anthropic's and/or other frontier AI models in our solutions. Such actions could force us to decouple or replace integrated technologies on short notice, resulting in significant engineering costs, service disruptions, and the loss of critical product functionality.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customers deploy AI technologies in their environments where the AI technologies may encounter sensitive information (including confidential, competitive, proprietary, or personal data) or our customers may input sensitive information into our AI-powered offerings, regardless of any prohibitions in our terms of service. Any sensitive information that our AI technologies ingest could be leaked or disclosed to others. Additionally, many of our AI technologies are powered by third-party AI providers, which may heighten the risk of inadvertent or unwanted disclosure of sensitive information, including if sensitive information is used to train the third party's AI model. Additionally, where an AI model ingests personal data and makes connections using such data, those technologies may reveal other personal or sensitive information generated by the model. This could create legal or contractual liability for us in light of the model's ability to output sensitive information.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AI technology features may also generate output that is misleading, insecure, inaccurate, harmful or otherwise flawed. Agentic AI solutions may compound those risks by taking or implementing actions or outputs, which themselves may be based on flawed outputs, that further increase the risk of misleading, insecure, inaccurate, harmful or otherwise flawed outcomes. This risk extends to our enterprise operations, as employee use of third-party agentic AI solutions, such as browser plug-ins or other automated applications, could result in actions being taken without adequate human review or monitoring. Such unauthorized automated actions could, for example, lead to the inadvertent disclosure or modification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of corporate data or other sensitive information, flawed communications to customers or partners, or the creation of unintended legal or financial obligations on behalf of the company. Our customers or others may rely on or use such misleading, insecure, harmful or otherwise flawed content to their detriment, which may harm our brand, reputation, business or customers, cause competitive harm or expose us to legal liability. For example, AI algorithms use machine learning and predictive analytics which may be insufficient or of poor quality and reflect inherent biases and could lead to flawed, biased, and inaccurate results. Deficient or inaccurate recommendations, forecasts, or analyses that generative AI applications assist in producing could lead to customer rejection or skepticism of our products, affect our reputation or brand, and negatively affect our financial results. Further, unauthorized use or misuse of AI by our employees or others may result in disclosure of confidential company and customer data, reputational harm, privacy law violations and legal liability. Our use of generative AI may also lead to novel and urgent cybersecurity risks, including those related to personal data, which may adversely affect our operations and reputation, and these risks likely are compounded by our use of agentic AI.</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While AI features are presently increasing in popularity, we have no assurance that our AI technologies will continue to be accepted and sought by customers. The development of generative and agentic AI technologies is complex, and there are technical challenges associated with achieving the desired level of accuracy, efficiency, and reliability. The algorithms and models utilized in generative or agentic AI systems may have limitations, including biases, errors, or inability to handle certain data types or scenarios. Furthermore, there is a risk of system failures, disruptions, or vulnerabilities that could compromise the integrity, security or privacy of the generated content. These limitations or failures could result in reputational damage, legal liabilities, or loss of customer confidence, which, in turn, could result in lower than anticipated demand from customers to adapt our AI features. We have, and will continue, to dedicate significant resources to developing and deploying generative, agentic, or other AI features in our products and services, without assurances that we will, or will continue to, see customer demand and market conditions to support those investments.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rely, and likely will continue to rely, on third parties to support our use of AI in our products and services. Our ability to offer AI-powered products and services may be adversely impacted if any of our third-party AI providers, or other AI-related third-party vendors, develops or deploys AI tools that are unlawful, unreliable, unsecure, or unavailable. If we cannot use third-party AI, or that use is restricted, our business may be less efficient or we may be at a competitive disadvantage, which could adversely affect our business, financial condition, customer loyalty, and reputation.</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We rely on third parties to maintain and operate certain elements of our network infrastructure.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utilize data centers located in North America, Europe and Asia to operate and maintain certain elements of our own network infrastructure. Some elements of this complex system are operated by third parties that we do not control and that could require significant time to replace. We expect this dependence on third parties to continue. For example, Tenable One is hosted on AWS which provides us with computing and storage capacity. Interruptions in our systems or the third-party systems on which we rely, particularly AWS, whether due to system failures, computer viruses or cyber threats, physical or electronic break-ins or other factors, could affect the security or availability of our solutions, network infrastructure and website. In addition, outages or operational failures at major cloud infrastructure providers, including data center failures, regional service disruptions, service degradation, or provider configuration errors, or disruptions caused by geopolitical instability, military conflict or other regional hostilities, such as escalating tensions involving Iran or across the broader Middle East, could materially impair the availability and performance of our solutions, particularly where we rely on limited regional infrastructure or do not have localized backup or failover capacity. For example, recent disruptions affecting AWS data centers in the UAE and Bahrain in connection with escalating regional hostilities involving Iran highlighted the risk that disruptions affecting a single facility could compromise business continuity for customers in that region and result in downtime, delayed customer access, reputational harm and financial loss. </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existing data center facilities and third-party hosting providers have no obligations to renew their agreements with us on commercially reasonable terms or at all, and certain of the agreements governing these relationships may be terminated by either party with notice or access to hosting services may be restricted by the provider at any time, with no or limited notice. For example, our agreement with AWS allows AWS to terminate the agreement with two years' written notice and allows AWS, under certain circumstances, to temporarily restrict access to hosting services provided by AWS without prior notice. Although we expect that we could receive similar services from other third parties, if any of our arrangements with third parties, including AWS, are terminated, we could experience interruptions on our platform and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ability to make our platform available to customers, as well as downtime, delays and additional expenses in arranging alternative cloud infrastructure services.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A portion of our revenue is generated from subscriptions and perpetual licenses sold to domestic governmental entities, foreign governmental entities and other heavily regulated organizations, which are subject to a number of challenges and risks.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 portion of our revenue is generated from subscriptions and perpetual licenses sold to governmental entities in the United States. Additionally, many of our current and prospective customers, such as those in the financial services, energy, insurance and healthcare industries, are highly regulated and may be required to comply with more stringent regulations in connection with subscribing to and implementing our enterprise platform. Selling licenses to these entities can be highly competitive, expensive and time-consuming, often requiring significant upfront time and expense without any assurance that we will successfully complete a sale. Governmental demand and payment for our enterprise platform may also be impacted by public sector budgetary cycles, funding authorizations and budget shortfalls, the operational stability of government agencies, and the prioritization of cybersecurity and digital infrastructure initiatives. Funding reductions or delays, including those resulting from a U.S. government shutdown, reductions or eliminations of agency operating budgets or deprioritization of cybersecurity digital infrastructure related initiatives would adversely affect public sector demand for our enterprise platform. For example, the U.S. presidential administration's priorities and actions to reduce government spending, including, but not limited to, those previously driven by the Department of Government Efficiency, may impact the availability of funding for U.S. government customers as a result of the elimination of departments and personnel. These actions may lead to elongated sales cycles and procurement decisions and could result in fewer contract opportunities or reduced funding for existing initiatives, all of which would adversely affect our business and financial performance. In addition, governmental entities have the authority to terminate contracts at any time for the convenience of the government, which creates risk regarding revenue anticipated under our existing government contracts.</w:t>
      </w:r>
    </w:p>
    <w:p>
      <w:pPr>
        <w:pStyle w:val="TextBody"/>
        <w:bidi w:val="0"/>
        <w:spacing w:lineRule="auto" w:line="288" w:before="0" w:after="240"/>
        <w:ind w:left="0" w:right="0" w:firstLine="360"/>
        <w:jc w:val="left"/>
        <w:rPr/>
      </w:pPr>
      <w:r>
        <w:rPr>
          <w:rFonts w:ascii="Arial;sans-serif" w:hAnsi="Arial;sans-serif"/>
          <w:b w:val="false"/>
          <w:color w:val="000000"/>
          <w:sz w:val="20"/>
          <w:shd w:fill="FFFFFF" w:val="clear"/>
        </w:rPr>
        <w:t xml:space="preserve">Further, governmental and highly regulated entities often require contract terms that differ from our standard customer arrangements, including terms that can lead to those customers obtaining broader rights in our solutions than would be expected under a standard commercial contract and terms that can allow for early termination. The U.S. government will be able to terminate any of its contracts with us either for its convenience or if we default by failing to perform in accordance with the contract schedule and terms. Termination for convenience provisions would generally enable us to recover only our costs incurred or committed, settlement expenses, and profit on the work completed prior to termination. Termination for default provisions do not permit these recoveries and would make us liable for excess costs incurred by the U.S. government in procuring undelivered items from another source. Contracts with governmental and highly regulated entities may also include preferential pricing terms. In the United States, federal government agencies may promulgate regulations, and the President may issue executive orders, requiring federal contractors to adhere to different or additional requirements after a contract is signed. If we do not meet applicable requirements of law or contract, we could be subject to significant liability from our customers or regulators. Even if we do meet these requirements, the additional costs associated with providing our enterprise platform to government and highly regulated customers could harm our operating results. Moreover, changes in the underlying statutory and regulatory conditions that affect these types of customers could harm our ability to efficiently provide them access to our enterprise platform and to grow or maintain our customer base. In addition, engaging in sales activities to foreign governments introduces additional compliance risks, including risks specific to anti-bribery regulations, including the U.S. Foreign Corrupt Practices Act of 1977, as amended, or the FCPA, the U.K. Bribery Act 2010 and other similar statutory requirements prohibiting bribery and corruption in the jurisdictions in which we operate. Further, in some jurisdictions we may be required to </w:t>
      </w:r>
      <w:r>
        <w:rPr>
          <w:rFonts w:ascii="Arial;sans-serif" w:hAnsi="Arial;sans-serif"/>
          <w:b w:val="false"/>
          <w:color w:val="000000"/>
          <w:sz w:val="20"/>
        </w:rPr>
        <w:t xml:space="preserve">obtain government certifications, which may be costly to maintain and, if we lost such certifications in the future or if such certification requirements changed, would restrict our ability to sell to government entities until we have attained such certifications. Furthermore, our ability to maintain or expand our business with government customers depends on our continued ability to comply with rapidly evolving restrictions on the use of and rights to certain artificial intelligence models, features, or output, such as those which may evolve from draft acquisition regulations and supplements clauses, such as Proposed GSAR Clause 552.239-700; proposed updates to NIST frameworks; and/or supply chain security designations, such as recent federal actions identifying specific third-party AI providers and models as supply chain risks. Any future adverse regulatory designation against our third-party AI providers could require us to rapidly re-engineer our solutions at significant cost, disrupt existing government contracts, or disqualify us from future solicitations. Future changes to acquisition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and NIST frameworks could require us to alter what rights we grant in the use of our products, what intellectual property rights we grant customers, how we track code generation, and how humans are in the loop for code review and approval.</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Some of our revenue is derived from contracts with U.S. government entities, as well as subcontracts with higher-tier contractors and customers who receive government funding. As a result, we are subject to federal contracting regulations, including the Federal Acquisition Regulation, or the FAR. Under the FAR, certain types of contracts require pricing that is based on estimated direct and indirect costs, which are subject to change.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connection with our U.S. government contracts, we may be subject to government audits and review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government contracts for a specified period of time. Any such termination, adjustment, sanction, debarment or suspension could have an adverse effect on our business.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Moreover, as a U.S. government contractor, we maintain plans to ensure compliance with applicable legal and contractual requirements related to nondiscrimination. Consequently, we may be subject to executive orders and regulatory changes affecting various aspects of our operations. Any required elimination or modification of such plans in response to new or changes to existing executive orders or legal or contractual requirements could pose challenges in hiring or retaining employees and may lead to other adverse operational impacts. Failure to comply with these requirements could expose us to administrative, civil, or criminal liabilities, including fines, penalties, repayments or suspension or debarment from eligibility for future U.S. government contracts. Further, as a U.S. government contractor, we are subject to an increased risk of investigations, criminal prosecution, civil fraud claims, whistleblower lawsuits and other legal actions and liabilities as compared to solely private sector commercial companies.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the course of providing our solutions and professional services to governmental entities, our employees and those of our channel partners may be exposed to sensitive government information. Any failure by us or our channel partners to safeguard and maintain the confidentiality of such information could subject us to liability and reputational harm, which could materially and adversely affect our results of operations and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        Unregistered Sales of Equity Securities and Issuer Purchases of Equity Securities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Unregistered Sales of Equity Securities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 xml:space="preserve">Use of Proceeds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Issuer Purchases of Equity Securities</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A summary of stock repurchases during the three months ended June 30, 2026 is presented below:</w:t>
      </w:r>
    </w:p>
    <w:tbl>
      <w:tblPr>
        <w:tblW w:w="10205" w:type="dxa"/>
        <w:jc w:val="left"/>
        <w:tblInd w:w="0" w:type="dxa"/>
        <w:tblLayout w:type="fixed"/>
        <w:tblCellMar>
          <w:top w:w="28" w:type="dxa"/>
          <w:left w:w="28" w:type="dxa"/>
          <w:bottom w:w="28" w:type="dxa"/>
          <w:right w:w="28" w:type="dxa"/>
        </w:tblCellMar>
      </w:tblPr>
      <w:tblGrid>
        <w:gridCol w:w="628"/>
        <w:gridCol w:w="552"/>
        <w:gridCol w:w="555"/>
        <w:gridCol w:w="109"/>
        <w:gridCol w:w="109"/>
        <w:gridCol w:w="109"/>
        <w:gridCol w:w="392"/>
        <w:gridCol w:w="392"/>
        <w:gridCol w:w="394"/>
        <w:gridCol w:w="109"/>
        <w:gridCol w:w="109"/>
        <w:gridCol w:w="109"/>
        <w:gridCol w:w="295"/>
        <w:gridCol w:w="862"/>
        <w:gridCol w:w="152"/>
        <w:gridCol w:w="109"/>
        <w:gridCol w:w="109"/>
        <w:gridCol w:w="109"/>
        <w:gridCol w:w="738"/>
        <w:gridCol w:w="738"/>
        <w:gridCol w:w="740"/>
        <w:gridCol w:w="109"/>
        <w:gridCol w:w="109"/>
        <w:gridCol w:w="109"/>
        <w:gridCol w:w="433"/>
        <w:gridCol w:w="1699"/>
        <w:gridCol w:w="327"/>
      </w:tblGrid>
      <w:tr>
        <w:trPr/>
        <w:tc>
          <w:tcPr>
            <w:tcW w:w="6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for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Price Paid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 as Part of Publicly Announced Plan</w:t>
            </w:r>
            <w:r>
              <w:rPr>
                <w:rFonts w:ascii="Arial;sans-serif" w:hAnsi="Arial;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Approximate Dollar Value of Shares that May Yet Be Purchased Under Plan</w:t>
            </w:r>
            <w:r>
              <w:rPr>
                <w:rFonts w:ascii="Arial;sans-serif" w:hAnsi="Arial;sans-serif"/>
                <w:b/>
                <w:color w:val="000000"/>
                <w:sz w:val="12"/>
              </w:rPr>
              <w:t>(1)</w:t>
            </w:r>
          </w:p>
        </w:tc>
      </w:tr>
      <w:tr>
        <w:trPr/>
        <w:tc>
          <w:tcPr>
            <w:tcW w:w="1735"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purchased April 1, 2026 to April 30, 2026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4,487 </w:t>
            </w:r>
          </w:p>
        </w:tc>
        <w:tc>
          <w:tcPr>
            <w:tcW w:w="39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18.71 </w:t>
            </w:r>
          </w:p>
        </w:tc>
        <w:tc>
          <w:tcPr>
            <w:tcW w:w="152"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4,487 </w:t>
            </w:r>
          </w:p>
        </w:tc>
        <w:tc>
          <w:tcPr>
            <w:tcW w:w="740"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99"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123,659 </w:t>
            </w:r>
          </w:p>
        </w:tc>
        <w:tc>
          <w:tcPr>
            <w:tcW w:w="327"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purchased May 1, 2026 to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107,621 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purchased June 1, 2026 to June 30, 2026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107,621 </w:t>
            </w:r>
          </w:p>
        </w:tc>
        <w:tc>
          <w:tcPr>
            <w:tcW w:w="32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5,248 </w:t>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pPr>
      <w:r>
        <w:rPr>
          <w:rFonts w:ascii="Arial;sans-serif" w:hAnsi="Arial;sans-serif"/>
          <w:b w:val="false"/>
          <w:color w:val="000000"/>
          <w:sz w:val="13"/>
        </w:rPr>
        <w:t>(1)</w:t>
      </w:r>
      <w:r>
        <w:rPr>
          <w:color w:val="000000"/>
        </w:rPr>
        <w:t>    </w:t>
      </w:r>
      <w:r>
        <w:rPr>
          <w:rFonts w:ascii="Arial;sans-serif" w:hAnsi="Arial;sans-serif"/>
          <w:b w:val="false"/>
          <w:color w:val="000000"/>
          <w:sz w:val="20"/>
        </w:rPr>
        <w:t>Our Board of Directors authorized the repurchase of up to $100 million of our common stock in November 2023 and increased the repurchase authorization by $200 million in October 2024, $250 million in July 2025 and $150 million in January 2026, bringing the total authorized amount to $700 million. Repurchases under the share repurchase program may be made in the open market, in privately negotiated transactions, or in such other manner as determined by us, including through repurchase plans complying with the rules and regulations of the Securities and Exchange Commission. The authorization has no expiration date.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Items 3 and 4 are not applicable and have been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Rule 10b5-1 Plan Elections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Raymond Vicks, Jr., a member of our Board of Directors, entered into a prearranged stock trading plan on May 4, 2026 to sell 1,818 shares of our common stock in August 2026. All of the shares of common stock that may be sold are to be issued upon the vesting of restricted stock units.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This trading plan was entered into during an open insider trading window and is intended to satisfy the affirmative defense of Rule 10b5-1(c) under the Exchange Act and our policies regarding insider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is a list of Exhibits filed as part of this Quarterly Report on Form 10-Q:</w:t>
      </w:r>
    </w:p>
    <w:tbl>
      <w:tblPr>
        <w:tblW w:w="10205" w:type="dxa"/>
        <w:jc w:val="left"/>
        <w:tblInd w:w="0" w:type="dxa"/>
        <w:tblLayout w:type="fixed"/>
        <w:tblCellMar>
          <w:top w:w="28" w:type="dxa"/>
          <w:left w:w="28" w:type="dxa"/>
          <w:bottom w:w="28" w:type="dxa"/>
          <w:right w:w="28" w:type="dxa"/>
        </w:tblCellMar>
      </w:tblPr>
      <w:tblGrid>
        <w:gridCol w:w="344"/>
        <w:gridCol w:w="302"/>
        <w:gridCol w:w="305"/>
        <w:gridCol w:w="109"/>
        <w:gridCol w:w="109"/>
        <w:gridCol w:w="109"/>
        <w:gridCol w:w="1826"/>
        <w:gridCol w:w="1621"/>
        <w:gridCol w:w="1636"/>
        <w:gridCol w:w="109"/>
        <w:gridCol w:w="109"/>
        <w:gridCol w:w="109"/>
        <w:gridCol w:w="1064"/>
        <w:gridCol w:w="1007"/>
        <w:gridCol w:w="1446"/>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Location</w:t>
            </w:r>
          </w:p>
        </w:tc>
      </w:tr>
      <w:tr>
        <w:trPr/>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20"/>
                  <w:u w:val="single"/>
                </w:rPr>
                <w:t>Amended and Restated Certificate of Incorporation of Tenable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Previously filed as Exhibit 3.1 to the Company's Current Report on Form 8-K (File No. 001-38600) on July 30, 2018</w:t>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Second Amended and Restated Bylaws of Tenable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Previously filed as Exhibit 3.1 to the Company's Current Report on Form 8-K (File No. 001-38600) on November 15, 2023</w:t>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Common Stock Certificate of Tenable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Previously filed as Exhibit 4.1 to the Company's Registration Statement on Form S-1 (File No. 333-226002) on July 16, 2018</w:t>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hibit311.htm">
              <w:r>
                <w:rPr>
                  <w:rStyle w:val="InternetLink"/>
                  <w:rFonts w:ascii="Arial;sans-serif" w:hAnsi="Arial;sans-serif"/>
                  <w:b w:val="false"/>
                  <w:color w:val="0000FF"/>
                  <w:sz w:val="20"/>
                  <w:u w:val="single"/>
                </w:rPr>
                <w:t>Certification of the Principal Executive Officer pursuant to Rules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herewith</w:t>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hibit312.htm">
              <w:r>
                <w:rPr>
                  <w:rStyle w:val="InternetLink"/>
                  <w:rFonts w:ascii="Arial;sans-serif" w:hAnsi="Arial;sans-serif"/>
                  <w:b w:val="false"/>
                  <w:color w:val="0000FF"/>
                  <w:sz w:val="20"/>
                  <w:u w:val="single"/>
                </w:rPr>
                <w:t>Certification of the Principal Financial Officer pursuant to Rules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herewith</w:t>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hibit321.htm">
              <w:r>
                <w:rPr>
                  <w:rStyle w:val="InternetLink"/>
                  <w:rFonts w:ascii="Arial;sans-serif" w:hAnsi="Arial;sans-serif"/>
                  <w:b w:val="false"/>
                  <w:color w:val="0000FF"/>
                  <w:sz w:val="20"/>
                  <w:u w:val="single"/>
                </w:rPr>
                <w:t>Certification of the Principal Executive Officer and the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Furnished herewith</w:t>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with applicable taxonomy extension information contained in Exhibits 101.SCH, 101.CAL, 101.DEF, 101.LAB and 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________________</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c8ef724952144c5901a16e084b27ff5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5749" w:type="dxa"/>
        <w:jc w:val="left"/>
        <w:tblInd w:w="0" w:type="dxa"/>
        <w:tblLayout w:type="fixed"/>
        <w:tblCellMar>
          <w:top w:w="28" w:type="dxa"/>
          <w:left w:w="28" w:type="dxa"/>
          <w:bottom w:w="28" w:type="dxa"/>
          <w:right w:w="28" w:type="dxa"/>
        </w:tblCellMar>
      </w:tblPr>
      <w:tblGrid>
        <w:gridCol w:w="211"/>
        <w:gridCol w:w="186"/>
        <w:gridCol w:w="188"/>
        <w:gridCol w:w="474"/>
        <w:gridCol w:w="474"/>
        <w:gridCol w:w="476"/>
        <w:gridCol w:w="412"/>
        <w:gridCol w:w="412"/>
        <w:gridCol w:w="412"/>
        <w:gridCol w:w="727"/>
        <w:gridCol w:w="727"/>
        <w:gridCol w:w="1050"/>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TENABLE HOLDINGS,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4, 2026</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Matthew Brown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Matthew Brown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ind w:left="0" w:right="0" w:firstLine="360"/>
        <w:jc w:val="right"/>
        <w:rPr>
          <w:rFonts w:ascii="Arial;sans-serif" w:hAnsi="Arial;sans-serif"/>
          <w:b/>
          <w:color w:val="000000"/>
          <w:sz w:val="20"/>
        </w:rPr>
      </w:pPr>
      <w:r>
        <w:rPr>
          <w:rFonts w:ascii="Arial;sans-serif" w:hAnsi="Arial;sans-serif"/>
          <w:b/>
          <w:color w:val="000000"/>
          <w:sz w:val="20"/>
        </w:rPr>
        <w:t>Exhibit 31.1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EXCHANGE ACT RULES 13a-14(a) AND 15d-14(a)</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AS ADOPTED PURSUANT TO SECTION 302 OF THE SARBANES-OXLEY ACT OF 2002</w:t>
      </w:r>
    </w:p>
    <w:p>
      <w:pPr>
        <w:pStyle w:val="TextBody"/>
        <w:bidi w:val="0"/>
        <w:spacing w:before="0" w:after="60"/>
        <w:jc w:val="center"/>
        <w:rPr/>
      </w:pPr>
      <w:r>
        <w:rPr/>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I, Stephen A. Vintz, certify that:</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883"/>
        <w:gridCol w:w="544"/>
        <w:gridCol w:w="544"/>
        <w:gridCol w:w="544"/>
        <w:gridCol w:w="544"/>
        <w:gridCol w:w="544"/>
        <w:gridCol w:w="2305"/>
        <w:gridCol w:w="1502"/>
        <w:gridCol w:w="21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 have reviewed this Quarterly Report on Form 10-Q of Tenable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t>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w:t>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w:t>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w:t>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t>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w:t>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tbl>
      <w:tblPr>
        <w:tblW w:w="5008" w:type="dxa"/>
        <w:jc w:val="center"/>
        <w:tblInd w:w="0" w:type="dxa"/>
        <w:tblLayout w:type="fixed"/>
        <w:tblCellMar>
          <w:top w:w="28" w:type="dxa"/>
          <w:left w:w="28" w:type="dxa"/>
          <w:bottom w:w="28" w:type="dxa"/>
          <w:right w:w="28" w:type="dxa"/>
        </w:tblCellMar>
      </w:tblPr>
      <w:tblGrid>
        <w:gridCol w:w="211"/>
        <w:gridCol w:w="186"/>
        <w:gridCol w:w="188"/>
        <w:gridCol w:w="474"/>
        <w:gridCol w:w="474"/>
        <w:gridCol w:w="476"/>
        <w:gridCol w:w="134"/>
        <w:gridCol w:w="134"/>
        <w:gridCol w:w="136"/>
        <w:gridCol w:w="760"/>
        <w:gridCol w:w="760"/>
        <w:gridCol w:w="1075"/>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Stephen A. Vintz</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A. Vintz</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120"/>
                        <w:ind w:left="0" w:right="0" w:firstLine="36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EXCHANGE ACT RULES 13a-14(a) AND 15d-14(a)</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AS ADOPTED PURSUANT TO SECTION 302 OF THE SARBANES-OXLEY ACT OF 2002</w:t>
      </w:r>
    </w:p>
    <w:p>
      <w:pPr>
        <w:pStyle w:val="TextBody"/>
        <w:bidi w:val="0"/>
        <w:spacing w:before="0" w:after="60"/>
        <w:jc w:val="left"/>
        <w:rPr/>
      </w:pPr>
      <w:r>
        <w:rPr/>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I, Matthew Brown, certify that:</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883"/>
        <w:gridCol w:w="544"/>
        <w:gridCol w:w="544"/>
        <w:gridCol w:w="544"/>
        <w:gridCol w:w="544"/>
        <w:gridCol w:w="544"/>
        <w:gridCol w:w="2305"/>
        <w:gridCol w:w="1502"/>
        <w:gridCol w:w="21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 have reviewed this Quarterly Report on Form 10-Q of Tenable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t>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w:t>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w:t>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w:t>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t>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w:t>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tbl>
      <w:tblPr>
        <w:tblW w:w="4918" w:type="dxa"/>
        <w:jc w:val="center"/>
        <w:tblInd w:w="0" w:type="dxa"/>
        <w:tblLayout w:type="fixed"/>
        <w:tblCellMar>
          <w:top w:w="28" w:type="dxa"/>
          <w:left w:w="28" w:type="dxa"/>
          <w:bottom w:w="28" w:type="dxa"/>
          <w:right w:w="28" w:type="dxa"/>
        </w:tblCellMar>
      </w:tblPr>
      <w:tblGrid>
        <w:gridCol w:w="211"/>
        <w:gridCol w:w="186"/>
        <w:gridCol w:w="188"/>
        <w:gridCol w:w="474"/>
        <w:gridCol w:w="474"/>
        <w:gridCol w:w="476"/>
        <w:gridCol w:w="134"/>
        <w:gridCol w:w="134"/>
        <w:gridCol w:w="136"/>
        <w:gridCol w:w="732"/>
        <w:gridCol w:w="732"/>
        <w:gridCol w:w="1041"/>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Matthew Brown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Matthew Brown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60"/>
        <w:ind w:left="0" w:right="0" w:firstLine="36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ind w:left="0" w:right="0" w:firstLine="360"/>
        <w:jc w:val="center"/>
        <w:rPr>
          <w:rFonts w:ascii="Arial;sans-serif" w:hAnsi="Arial;sans-serif"/>
          <w:b/>
          <w:color w:val="000000"/>
          <w:sz w:val="20"/>
        </w:rPr>
      </w:pPr>
      <w:r>
        <w:rPr>
          <w:rFonts w:ascii="Arial;sans-serif" w:hAnsi="Arial;sans-serif"/>
          <w:b/>
          <w:color w:val="000000"/>
          <w:sz w:val="20"/>
        </w:rPr>
        <w:t>CERTIFICATIONS OF PRINCIPAL EXECUTIVE OFFICER AND PRINCIPAL FINANCIAL OFFICER</w:t>
      </w:r>
    </w:p>
    <w:p>
      <w:pPr>
        <w:pStyle w:val="TextBody"/>
        <w:bidi w:val="0"/>
        <w:spacing w:lineRule="auto" w:line="288" w:before="0" w:after="60"/>
        <w:ind w:left="0" w:right="0" w:firstLine="360"/>
        <w:jc w:val="center"/>
        <w:rPr>
          <w:rFonts w:ascii="Arial;sans-serif" w:hAnsi="Arial;sans-serif"/>
          <w:b/>
          <w:color w:val="000000"/>
          <w:sz w:val="20"/>
        </w:rPr>
      </w:pPr>
      <w:r>
        <w:rPr>
          <w:rFonts w:ascii="Arial;sans-serif" w:hAnsi="Arial;sans-serif"/>
          <w:b/>
          <w:color w:val="000000"/>
          <w:sz w:val="20"/>
        </w:rPr>
        <w:t>PURSUANT TO</w:t>
      </w:r>
    </w:p>
    <w:p>
      <w:pPr>
        <w:pStyle w:val="TextBody"/>
        <w:bidi w:val="0"/>
        <w:spacing w:lineRule="auto" w:line="288" w:before="0" w:after="60"/>
        <w:ind w:left="0" w:right="0" w:firstLine="36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60"/>
        <w:ind w:left="0" w:right="0" w:firstLine="36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60"/>
        <w:ind w:left="0" w:right="0" w:firstLine="36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60"/>
        <w:ind w:left="0" w:right="0" w:firstLine="360"/>
        <w:jc w:val="center"/>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Pursuant to the requirement set forth in Rule 13a-14(b) of the Securities Exchange Act of 1934, as amended (the "Exchange Act"), and 18 U.S.C. Section 1350, as adopted pursuant to Section 906 of the Sarbanes-Oxley Act of 2002, each of the undersigned hereby certifies that, to the best of his knowledge: </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 xml:space="preserve">1.The Quarterly Report on Form 10-Q of Tenable Holdings, Inc. for the fiscal quarter ended June 30, 2026 (the "Quarterly Report") fully complies with the requirements of Section 13(a) or 15(d) of the Exchange Act; and </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Quarterly Report fairly presents, in all material respects, the financial condition and results of operations of Tenable Holdings, Inc.</w:t>
      </w:r>
    </w:p>
    <w:tbl>
      <w:tblPr>
        <w:tblW w:w="5008" w:type="dxa"/>
        <w:jc w:val="center"/>
        <w:tblInd w:w="0" w:type="dxa"/>
        <w:tblLayout w:type="fixed"/>
        <w:tblCellMar>
          <w:top w:w="28" w:type="dxa"/>
          <w:left w:w="28" w:type="dxa"/>
          <w:bottom w:w="28" w:type="dxa"/>
          <w:right w:w="28" w:type="dxa"/>
        </w:tblCellMar>
      </w:tblPr>
      <w:tblGrid>
        <w:gridCol w:w="211"/>
        <w:gridCol w:w="186"/>
        <w:gridCol w:w="188"/>
        <w:gridCol w:w="474"/>
        <w:gridCol w:w="474"/>
        <w:gridCol w:w="476"/>
        <w:gridCol w:w="134"/>
        <w:gridCol w:w="134"/>
        <w:gridCol w:w="136"/>
        <w:gridCol w:w="760"/>
        <w:gridCol w:w="760"/>
        <w:gridCol w:w="1075"/>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Stephen A. Vintz</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A. Vintz</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Matthew Brown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Matthew Brown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spacing w:before="0" w:after="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6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60"/>
                        <w:ind w:left="0" w:right="0" w:firstLine="3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60280/000119312518231446/d562353dex31.htm" TargetMode="External"/><Relationship Id="rId3" Type="http://schemas.openxmlformats.org/officeDocument/2006/relationships/hyperlink" Target="https://www.sec.gov/Archives/edgar/data/1660280/000166028023000147/ex31.htm" TargetMode="External"/><Relationship Id="rId4" Type="http://schemas.openxmlformats.org/officeDocument/2006/relationships/hyperlink" Target="https://www.sec.gov/Archives/edgar/data/1660280/000119312518218215/d548092dex4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19355</Words>
  <Characters>108899</Characters>
  <CharactersWithSpaces>126732</CharactersWithSpaces>
  <Paragraphs>2885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