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5035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3555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Howe Niloofar Razi</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Tenable Holdings,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TENB</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80" w:type="dxa"/>
            <w:vAlign w:val="bottom"/>
            <w:tcBorders>
              <w:bottom w:val="single" w:sz="8" w:color="0000EE"/>
            </w:tcBorders>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7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0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05/13/2026</w:t>
            </w:r>
          </w:p>
        </w:tc>
        <w:tc>
          <w:tcPr>
            <w:tcW w:w="19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9"/>
              </w:rPr>
              <w:t>C/O TENABLE HOLDINGS, INC.</w:t>
            </w:r>
          </w:p>
        </w:tc>
        <w:tc>
          <w:tcPr>
            <w:tcW w:w="120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19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6100 MERRIWEATHER DRIVE</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COLUMBIA</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21044</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4"/>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05/13/2026</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9"/>
              </w:rPr>
              <w:t>6,062</w:t>
            </w: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29,839</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6,062</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05/13/2026</w:t>
            </w:r>
          </w:p>
        </w:tc>
        <w:tc>
          <w:tcPr>
            <w:tcW w:w="112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5"/>
                <w:szCs w:val="5"/>
                <w:color w:val="auto"/>
              </w:rPr>
            </w:pPr>
          </w:p>
        </w:tc>
        <w:tc>
          <w:tcPr>
            <w:tcW w:w="4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6,062</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right"/>
              <w:ind w:right="61"/>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9,718</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05/13/2026</w:t>
            </w:r>
          </w:p>
        </w:tc>
        <w:tc>
          <w:tcPr>
            <w:tcW w:w="112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9,718</w:t>
            </w:r>
          </w:p>
        </w:tc>
        <w:tc>
          <w:tcPr>
            <w:tcW w:w="4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9,718</w:t>
            </w:r>
          </w:p>
        </w:tc>
        <w:tc>
          <w:tcPr>
            <w:tcW w:w="30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-2190750</wp:posOffset>
            </wp:positionV>
            <wp:extent cx="29210" cy="2195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583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Issuer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underlying the RSUs vested as of May 13, 2026.</w:t>
      </w:r>
    </w:p>
    <w:p>
      <w:pPr>
        <w:spacing w:after="0" w:line="43" w:lineRule="exact"/>
        <w:rPr>
          <w:rFonts w:ascii="Times New Roman" w:cs="Times New Roman" w:eastAsia="Times New Roman" w:hAnsi="Times New Roman"/>
          <w:sz w:val="13"/>
          <w:szCs w:val="13"/>
          <w:color w:val="008000"/>
        </w:rPr>
      </w:pPr>
    </w:p>
    <w:p>
      <w:pPr>
        <w:ind w:left="40" w:right="54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underlying the RSUs vest on the earlier of May 13, 2027 or the Issuer's next annual shareholder meeting, subject to the Reporting Person's continuous service with the Issuer as of the applicable vesting date, and subject to accelerated vesting in specified circumstances.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Bartholomew,</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05/15/2026</w:t>
            </w:r>
          </w:p>
        </w:tc>
        <w:tc>
          <w:tcPr>
            <w:tcW w:w="0" w:type="dxa"/>
            <w:vAlign w:val="bottom"/>
          </w:tcPr>
          <w:p>
            <w:pPr>
              <w:spacing w:after="0"/>
              <w:rPr>
                <w:sz w:val="1"/>
                <w:szCs w:val="1"/>
                <w:color w:val="auto"/>
              </w:rPr>
            </w:pPr>
          </w:p>
        </w:tc>
      </w:tr>
      <w:tr>
        <w:trPr>
          <w:trHeight w:val="88"/>
        </w:trPr>
        <w:tc>
          <w:tcPr>
            <w:tcW w:w="1120" w:type="dxa"/>
            <w:vAlign w:val="bottom"/>
            <w:tcBorders>
              <w:top w:val="single" w:sz="8" w:color="auto"/>
              <w:bottom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Attorney-in-Fact</w:t>
            </w:r>
          </w:p>
        </w:tc>
        <w:tc>
          <w:tcPr>
            <w:tcW w:w="460" w:type="dxa"/>
            <w:vAlign w:val="bottom"/>
            <w:tcBorders>
              <w:top w:val="single" w:sz="8" w:color="auto"/>
              <w:bottom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120" w:type="dxa"/>
            <w:vAlign w:val="bottom"/>
            <w:tcBorders>
              <w:bottom w:val="single" w:sz="8" w:color="auto"/>
            </w:tcBorders>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3923" TargetMode="External"/><Relationship Id="rId14" Type="http://schemas.openxmlformats.org/officeDocument/2006/relationships/hyperlink" Target="http://www.sec.gov/cgi-bin/browse-edgar?action=getcompany&amp;CIK=00016602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2026-05-15T16:20:24Z</dcterms:created>
  <dcterms:modified xsi:type="dcterms:W3CDTF">2026-05-15T16:20:24Z</dcterms:modified>
</cp:coreProperties>
</file>