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60" w:lineRule="exact"/>
        <w:rPr>
          <w:sz w:val="24"/>
          <w:szCs w:val="24"/>
          <w:color w:val="auto"/>
        </w:rPr>
      </w:pPr>
    </w:p>
    <w:p>
      <w:pPr>
        <w:jc w:val="center"/>
        <w:ind w:right="-399"/>
        <w:spacing w:after="0"/>
        <w:rPr>
          <w:sz w:val="20"/>
          <w:szCs w:val="20"/>
          <w:color w:val="auto"/>
        </w:rPr>
      </w:pPr>
      <w:r>
        <w:rPr>
          <w:rFonts w:ascii="Arial" w:cs="Arial" w:eastAsia="Arial" w:hAnsi="Arial"/>
          <w:sz w:val="14"/>
          <w:szCs w:val="14"/>
          <w:color w:val="231F20"/>
        </w:rPr>
        <w:t>Washington, D.C. 20549</w:t>
      </w:r>
    </w:p>
    <w:p>
      <w:pPr>
        <w:ind w:left="46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22"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231F20"/>
        </w:rPr>
        <w:t>FORM 10-K</w:t>
      </w:r>
    </w:p>
    <w:p>
      <w:pPr>
        <w:spacing w:after="0" w:line="37" w:lineRule="exact"/>
        <w:rPr>
          <w:sz w:val="24"/>
          <w:szCs w:val="24"/>
          <w:color w:val="auto"/>
        </w:rPr>
      </w:pPr>
    </w:p>
    <w:p>
      <w:pPr>
        <w:ind w:left="46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20"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19"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or</w:t>
      </w:r>
    </w:p>
    <w:p>
      <w:pPr>
        <w:spacing w:after="0" w:line="118"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1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 001-38600</w:t>
      </w:r>
    </w:p>
    <w:p>
      <w:pPr>
        <w:ind w:left="46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66"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231F20"/>
        </w:rPr>
        <w:t>TENABLE HOLDINGS, INC.</w:t>
      </w:r>
    </w:p>
    <w:p>
      <w:pPr>
        <w:spacing w:after="0" w:line="76" w:lineRule="exact"/>
        <w:rPr>
          <w:sz w:val="24"/>
          <w:szCs w:val="24"/>
          <w:color w:val="auto"/>
        </w:rPr>
      </w:pPr>
    </w:p>
    <w:p>
      <w:pPr>
        <w:jc w:val="center"/>
        <w:ind w:right="-399"/>
        <w:spacing w:after="0"/>
        <w:rPr>
          <w:sz w:val="20"/>
          <w:szCs w:val="20"/>
          <w:color w:val="auto"/>
        </w:rPr>
      </w:pPr>
      <w:r>
        <w:rPr>
          <w:rFonts w:ascii="Arial" w:cs="Arial" w:eastAsia="Arial" w:hAnsi="Arial"/>
          <w:sz w:val="13"/>
          <w:szCs w:val="13"/>
          <w:b w:val="1"/>
          <w:bCs w:val="1"/>
          <w:color w:val="231F20"/>
        </w:rPr>
        <w:t>(Exact name of registrant as specified in its charter)</w:t>
      </w:r>
    </w:p>
    <w:p>
      <w:pPr>
        <w:spacing w:after="0" w:line="18" w:lineRule="exact"/>
        <w:rPr>
          <w:sz w:val="24"/>
          <w:szCs w:val="24"/>
          <w:color w:val="auto"/>
        </w:rPr>
      </w:pPr>
    </w:p>
    <w:p>
      <w:pPr>
        <w:ind w:left="4640"/>
        <w:spacing w:after="0"/>
        <w:rPr>
          <w:sz w:val="20"/>
          <w:szCs w:val="20"/>
          <w:color w:val="auto"/>
        </w:rPr>
      </w:pPr>
      <w:r>
        <w:rPr>
          <w:rFonts w:ascii="Arial" w:cs="Arial" w:eastAsia="Arial" w:hAnsi="Arial"/>
          <w:sz w:val="11"/>
          <w:szCs w:val="11"/>
          <w:b w:val="1"/>
          <w:bCs w:val="1"/>
          <w:color w:val="auto"/>
        </w:rPr>
        <w:t>______________________________________</w:t>
      </w:r>
    </w:p>
    <w:p>
      <w:pPr>
        <w:sectPr>
          <w:pgSz w:w="11900" w:h="16838" w:orient="portrait"/>
          <w:cols w:equalWidth="0" w:num="1">
            <w:col w:w="11180"/>
          </w:cols>
          <w:pgMar w:left="320" w:top="1405" w:right="399" w:bottom="1440" w:gutter="0" w:footer="0" w:header="0"/>
        </w:sectPr>
      </w:pPr>
    </w:p>
    <w:p>
      <w:pPr>
        <w:spacing w:after="0" w:line="107" w:lineRule="exact"/>
        <w:rPr>
          <w:sz w:val="24"/>
          <w:szCs w:val="24"/>
          <w:color w:val="auto"/>
        </w:rPr>
      </w:pPr>
    </w:p>
    <w:p>
      <w:pPr>
        <w:ind w:left="20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47-5580846</w:t>
      </w:r>
    </w:p>
    <w:p>
      <w:pPr>
        <w:spacing w:after="0" w:line="46" w:lineRule="exact"/>
        <w:rPr>
          <w:sz w:val="24"/>
          <w:szCs w:val="24"/>
          <w:color w:val="auto"/>
        </w:rPr>
      </w:pPr>
    </w:p>
    <w:p>
      <w:pPr>
        <w:sectPr>
          <w:pgSz w:w="11900" w:h="16838" w:orient="portrait"/>
          <w:cols w:equalWidth="0" w:num="2">
            <w:col w:w="7800" w:space="720"/>
            <w:col w:w="2660"/>
          </w:cols>
          <w:pgMar w:left="320" w:top="1405" w:right="39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45" w:lineRule="exact"/>
        <w:rPr>
          <w:sz w:val="24"/>
          <w:szCs w:val="24"/>
          <w:color w:val="auto"/>
        </w:rPr>
      </w:pPr>
    </w:p>
    <w:p>
      <w:pPr>
        <w:sectPr>
          <w:pgSz w:w="11900" w:h="16838" w:orient="portrait"/>
          <w:cols w:equalWidth="0" w:num="2">
            <w:col w:w="6920" w:space="720"/>
            <w:col w:w="3540"/>
          </w:cols>
          <w:pgMar w:left="320" w:top="1405" w:right="399" w:bottom="1440" w:gutter="0" w:footer="0" w:header="0"/>
          <w:type w:val="continuous"/>
        </w:sectPr>
      </w:pPr>
    </w:p>
    <w:p>
      <w:pPr>
        <w:ind w:left="4000"/>
        <w:spacing w:after="0"/>
        <w:rPr>
          <w:sz w:val="20"/>
          <w:szCs w:val="20"/>
          <w:color w:val="auto"/>
        </w:rPr>
      </w:pPr>
      <w:r>
        <w:rPr>
          <w:rFonts w:ascii="Arial" w:cs="Arial" w:eastAsia="Arial" w:hAnsi="Arial"/>
          <w:sz w:val="14"/>
          <w:szCs w:val="14"/>
          <w:b w:val="1"/>
          <w:bCs w:val="1"/>
          <w:color w:val="auto"/>
        </w:rPr>
        <w:t>6100 Merriweather Drive, Columbia, Maryland, 21044</w:t>
      </w:r>
    </w:p>
    <w:p>
      <w:pPr>
        <w:spacing w:after="0" w:line="19"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 w:lineRule="exact"/>
        <w:rPr>
          <w:sz w:val="24"/>
          <w:szCs w:val="24"/>
          <w:color w:val="auto"/>
        </w:rPr>
      </w:pPr>
    </w:p>
    <w:p>
      <w:pPr>
        <w:ind w:left="5300"/>
        <w:spacing w:after="0"/>
        <w:rPr>
          <w:sz w:val="20"/>
          <w:szCs w:val="20"/>
          <w:color w:val="auto"/>
        </w:rPr>
      </w:pPr>
      <w:r>
        <w:rPr>
          <w:rFonts w:ascii="Arial" w:cs="Arial" w:eastAsia="Arial" w:hAnsi="Arial"/>
          <w:sz w:val="14"/>
          <w:szCs w:val="14"/>
          <w:b w:val="1"/>
          <w:bCs w:val="1"/>
          <w:color w:val="auto"/>
        </w:rPr>
        <w:t>(410) 872-0555</w:t>
      </w:r>
    </w:p>
    <w:p>
      <w:pPr>
        <w:ind w:left="4100"/>
        <w:spacing w:after="0" w:line="231" w:lineRule="auto"/>
        <w:rPr>
          <w:sz w:val="20"/>
          <w:szCs w:val="20"/>
          <w:color w:val="auto"/>
        </w:rPr>
      </w:pPr>
      <w:r>
        <w:rPr>
          <w:rFonts w:ascii="Arial" w:cs="Arial" w:eastAsia="Arial" w:hAnsi="Arial"/>
          <w:sz w:val="14"/>
          <w:szCs w:val="14"/>
          <w:color w:val="auto"/>
        </w:rPr>
        <w:t>(Registrant’s telephone number, including area code)</w:t>
      </w:r>
    </w:p>
    <w:p>
      <w:pPr>
        <w:ind w:left="46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38"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180"/>
          </w:cols>
          <w:pgMar w:left="320" w:top="1405" w:right="399" w:bottom="1440" w:gutter="0" w:footer="0" w:header="0"/>
          <w:type w:val="continuous"/>
        </w:sectPr>
      </w:pPr>
    </w:p>
    <w:p>
      <w:pPr>
        <w:spacing w:after="0" w:line="11"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5" w:lineRule="exact"/>
        <w:rPr>
          <w:sz w:val="24"/>
          <w:szCs w:val="24"/>
          <w:color w:val="auto"/>
        </w:rPr>
      </w:pPr>
    </w:p>
    <w:p>
      <w:pPr>
        <w:sectPr>
          <w:pgSz w:w="11900" w:h="16838" w:orient="portrait"/>
          <w:cols w:equalWidth="0" w:num="3">
            <w:col w:w="4280" w:space="720"/>
            <w:col w:w="1840" w:space="720"/>
            <w:col w:w="3620"/>
          </w:cols>
          <w:pgMar w:left="320" w:top="1405" w:right="399" w:bottom="1440" w:gutter="0" w:footer="0" w:header="0"/>
          <w:type w:val="continuous"/>
        </w:sectPr>
      </w:pPr>
    </w:p>
    <w:p>
      <w:pPr>
        <w:ind w:left="10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28" w:lineRule="exact"/>
        <w:rPr>
          <w:sz w:val="24"/>
          <w:szCs w:val="24"/>
          <w:color w:val="auto"/>
        </w:rPr>
      </w:pPr>
    </w:p>
    <w:p>
      <w:pPr>
        <w:sectPr>
          <w:pgSz w:w="11900" w:h="16838" w:orient="portrait"/>
          <w:cols w:equalWidth="0" w:num="3">
            <w:col w:w="4700" w:space="720"/>
            <w:col w:w="1820" w:space="720"/>
            <w:col w:w="3220"/>
          </w:cols>
          <w:pgMar w:left="320" w:top="1405" w:right="39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12" w:lineRule="exact"/>
        <w:rPr>
          <w:sz w:val="24"/>
          <w:szCs w:val="24"/>
          <w:color w:val="auto"/>
        </w:rPr>
      </w:pPr>
    </w:p>
    <w:p>
      <w:pPr>
        <w:ind w:right="2820"/>
        <w:spacing w:after="0" w:line="22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46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8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420"/>
              <w:spacing w:after="0"/>
              <w:rPr>
                <w:sz w:val="20"/>
                <w:szCs w:val="20"/>
                <w:color w:val="auto"/>
              </w:rPr>
            </w:pPr>
            <w:r>
              <w:rPr>
                <w:rFonts w:ascii="Arial" w:cs="Arial" w:eastAsia="Arial" w:hAnsi="Arial"/>
                <w:sz w:val="14"/>
                <w:szCs w:val="14"/>
                <w:color w:val="auto"/>
              </w:rPr>
              <w:t>Accelerated filer</w:t>
            </w:r>
          </w:p>
        </w:tc>
        <w:tc>
          <w:tcPr>
            <w:tcW w:w="174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31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8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420"/>
              <w:spacing w:after="0"/>
              <w:rPr>
                <w:sz w:val="20"/>
                <w:szCs w:val="20"/>
                <w:color w:val="auto"/>
              </w:rPr>
            </w:pPr>
            <w:r>
              <w:rPr>
                <w:rFonts w:ascii="Arial" w:cs="Arial" w:eastAsia="Arial" w:hAnsi="Arial"/>
                <w:sz w:val="14"/>
                <w:szCs w:val="14"/>
                <w:color w:val="auto"/>
              </w:rPr>
              <w:t>Smaller reporting company</w:t>
            </w:r>
          </w:p>
        </w:tc>
        <w:tc>
          <w:tcPr>
            <w:tcW w:w="174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31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740" w:type="dxa"/>
            <w:vAlign w:val="bottom"/>
          </w:tcPr>
          <w:p>
            <w:pPr>
              <w:ind w:left="420"/>
              <w:spacing w:after="0"/>
              <w:rPr>
                <w:sz w:val="20"/>
                <w:szCs w:val="20"/>
                <w:color w:val="auto"/>
              </w:rPr>
            </w:pPr>
            <w:r>
              <w:rPr>
                <w:rFonts w:ascii="Arial" w:cs="Arial" w:eastAsia="Arial" w:hAnsi="Arial"/>
                <w:sz w:val="14"/>
                <w:szCs w:val="14"/>
                <w:color w:val="auto"/>
              </w:rPr>
              <w:t>Emerging growth company</w:t>
            </w:r>
          </w:p>
        </w:tc>
        <w:tc>
          <w:tcPr>
            <w:tcW w:w="174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4" w:lineRule="exact"/>
        <w:rPr>
          <w:sz w:val="24"/>
          <w:szCs w:val="24"/>
          <w:color w:val="auto"/>
        </w:rPr>
      </w:pPr>
    </w:p>
    <w:p>
      <w:pPr>
        <w:jc w:val="both"/>
        <w:ind w:left="20" w:right="220"/>
        <w:spacing w:after="0" w:line="22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2" w:lineRule="exact"/>
        <w:rPr>
          <w:sz w:val="24"/>
          <w:szCs w:val="24"/>
          <w:color w:val="auto"/>
        </w:rPr>
      </w:pPr>
    </w:p>
    <w:p>
      <w:pPr>
        <w:ind w:right="3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2020, the aggregate market value of the common stock of the registrant held by non-affiliates was approximately $2.1 billion.</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as of February 16, 2021 was 104,036,276.</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240" w:firstLine="324"/>
        <w:spacing w:after="0" w:line="258" w:lineRule="auto"/>
        <w:rPr>
          <w:sz w:val="20"/>
          <w:szCs w:val="20"/>
          <w:color w:val="auto"/>
        </w:rPr>
      </w:pPr>
      <w:r>
        <w:rPr>
          <w:rFonts w:ascii="Arial" w:cs="Arial" w:eastAsia="Arial" w:hAnsi="Arial"/>
          <w:sz w:val="14"/>
          <w:szCs w:val="14"/>
          <w:color w:val="auto"/>
        </w:rPr>
        <w:t>Portions of the registrant's definitive Proxy Statement relating to the 2021 Annual Meeting of Stockholders are incorporated herein by reference in Part III of this Annual Report on Form 10-K. The Proxy Statement will be filed with the Securities and Exchange Commission within 120 days after the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5"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80" w:type="dxa"/>
            <w:vAlign w:val="bottom"/>
          </w:tcPr>
          <w:p>
            <w:pPr>
              <w:spacing w:after="0"/>
              <w:rPr>
                <w:sz w:val="20"/>
                <w:szCs w:val="20"/>
                <w:color w:val="auto"/>
              </w:rPr>
            </w:pPr>
          </w:p>
        </w:tc>
        <w:tc>
          <w:tcPr>
            <w:tcW w:w="9420" w:type="dxa"/>
            <w:vAlign w:val="bottom"/>
          </w:tcPr>
          <w:p>
            <w:pPr>
              <w:ind w:left="3740"/>
              <w:spacing w:after="0"/>
              <w:rPr>
                <w:sz w:val="20"/>
                <w:szCs w:val="20"/>
                <w:color w:val="auto"/>
              </w:rPr>
            </w:pPr>
            <w:r>
              <w:rPr>
                <w:rFonts w:ascii="Arial" w:cs="Arial" w:eastAsia="Arial" w:hAnsi="Arial"/>
                <w:sz w:val="18"/>
                <w:szCs w:val="18"/>
                <w:b w:val="1"/>
                <w:bCs w:val="1"/>
                <w:color w:val="auto"/>
              </w:rPr>
              <w:t>TENABLE HOLDINGS, INC.</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9420" w:type="dxa"/>
            <w:vAlign w:val="bottom"/>
          </w:tcPr>
          <w:p>
            <w:pPr>
              <w:ind w:left="39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50"/>
        </w:trPr>
        <w:tc>
          <w:tcPr>
            <w:tcW w:w="880" w:type="dxa"/>
            <w:vAlign w:val="bottom"/>
            <w:vMerge w:val="continue"/>
          </w:tcPr>
          <w:p>
            <w:pPr>
              <w:spacing w:after="0"/>
              <w:rPr>
                <w:sz w:val="21"/>
                <w:szCs w:val="21"/>
                <w:color w:val="auto"/>
              </w:rPr>
            </w:pPr>
          </w:p>
        </w:tc>
        <w:tc>
          <w:tcPr>
            <w:tcW w:w="9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tcPr>
          <w:p>
            <w:pPr>
              <w:ind w:left="1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tcPr>
          <w:p>
            <w:pPr>
              <w:ind w:left="16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Risk Factors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1B.</w:t>
            </w:r>
          </w:p>
        </w:tc>
        <w:tc>
          <w:tcPr>
            <w:tcW w:w="9420" w:type="dxa"/>
            <w:vAlign w:val="bottom"/>
          </w:tcPr>
          <w:p>
            <w:pPr>
              <w:ind w:left="1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Unresolved Staff Comments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tcPr>
          <w:p>
            <w:pPr>
              <w:ind w:left="16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Properties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tcPr>
          <w:p>
            <w:pPr>
              <w:ind w:left="16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Legal Proceedings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tcPr>
          <w:p>
            <w:pPr>
              <w:ind w:left="16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Mine Safety Disclosures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499"/>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tcPr>
          <w:p>
            <w:pPr>
              <w:ind w:left="1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420" w:type="dxa"/>
            <w:vAlign w:val="bottom"/>
          </w:tcPr>
          <w:p>
            <w:pPr>
              <w:ind w:left="1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Selected Financial Data</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tcPr>
          <w:p>
            <w:pPr>
              <w:ind w:left="1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Management's Discussion and Analysis of Financial Condition and Results of Operations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9420" w:type="dxa"/>
            <w:vAlign w:val="bottom"/>
          </w:tcPr>
          <w:p>
            <w:pPr>
              <w:ind w:left="16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Quantitative and Qualitative Disclosures about Market Risk</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9420" w:type="dxa"/>
            <w:vAlign w:val="bottom"/>
          </w:tcPr>
          <w:p>
            <w:pPr>
              <w:ind w:left="16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Financial Statements and Supplementary Data</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61</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9420" w:type="dxa"/>
            <w:vAlign w:val="bottom"/>
          </w:tcPr>
          <w:p>
            <w:pPr>
              <w:ind w:left="16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Changes in and Disagreements with Accountants on Accounting and Financial Disclosure</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91</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9A.</w:t>
            </w:r>
          </w:p>
        </w:tc>
        <w:tc>
          <w:tcPr>
            <w:tcW w:w="9420" w:type="dxa"/>
            <w:vAlign w:val="bottom"/>
          </w:tcPr>
          <w:p>
            <w:pPr>
              <w:ind w:left="16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Controls and Procedures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91</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9B.</w:t>
            </w:r>
          </w:p>
        </w:tc>
        <w:tc>
          <w:tcPr>
            <w:tcW w:w="9420" w:type="dxa"/>
            <w:vAlign w:val="bottom"/>
          </w:tcPr>
          <w:p>
            <w:pPr>
              <w:ind w:left="16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Other Information</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92</w:t>
              </w:r>
            </w:hyperlink>
          </w:p>
        </w:tc>
        <w:tc>
          <w:tcPr>
            <w:tcW w:w="0" w:type="dxa"/>
            <w:vAlign w:val="bottom"/>
          </w:tcPr>
          <w:p>
            <w:pPr>
              <w:spacing w:after="0"/>
              <w:rPr>
                <w:sz w:val="1"/>
                <w:szCs w:val="1"/>
                <w:color w:val="auto"/>
              </w:rPr>
            </w:pPr>
          </w:p>
        </w:tc>
      </w:tr>
      <w:tr>
        <w:trPr>
          <w:trHeight w:val="500"/>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tcPr>
          <w:p>
            <w:pPr>
              <w:ind w:left="1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Directors, Executive Officers and Corporate Governance</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93</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11.</w:t>
            </w:r>
          </w:p>
        </w:tc>
        <w:tc>
          <w:tcPr>
            <w:tcW w:w="9420" w:type="dxa"/>
            <w:vAlign w:val="bottom"/>
          </w:tcPr>
          <w:p>
            <w:pPr>
              <w:ind w:left="1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Executive Compensation</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93</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12.</w:t>
            </w:r>
          </w:p>
        </w:tc>
        <w:tc>
          <w:tcPr>
            <w:tcW w:w="9420" w:type="dxa"/>
            <w:vAlign w:val="bottom"/>
          </w:tcPr>
          <w:p>
            <w:pPr>
              <w:ind w:left="1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Security Ownership of Certain Beneficial Owners and Management and Related Stockholder Matters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93</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13.</w:t>
            </w:r>
          </w:p>
        </w:tc>
        <w:tc>
          <w:tcPr>
            <w:tcW w:w="9420" w:type="dxa"/>
            <w:vAlign w:val="bottom"/>
          </w:tcPr>
          <w:p>
            <w:pPr>
              <w:ind w:left="1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Certain Relationships and Related Transactions and Director Independence</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93</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14.</w:t>
            </w:r>
          </w:p>
        </w:tc>
        <w:tc>
          <w:tcPr>
            <w:tcW w:w="9420" w:type="dxa"/>
            <w:vAlign w:val="bottom"/>
          </w:tcPr>
          <w:p>
            <w:pPr>
              <w:ind w:left="16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Principal Accountant Fees and Services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93</w:t>
              </w:r>
            </w:hyperlink>
          </w:p>
        </w:tc>
        <w:tc>
          <w:tcPr>
            <w:tcW w:w="0" w:type="dxa"/>
            <w:vAlign w:val="bottom"/>
          </w:tcPr>
          <w:p>
            <w:pPr>
              <w:spacing w:after="0"/>
              <w:rPr>
                <w:sz w:val="1"/>
                <w:szCs w:val="1"/>
                <w:color w:val="auto"/>
              </w:rPr>
            </w:pPr>
          </w:p>
        </w:tc>
      </w:tr>
      <w:tr>
        <w:trPr>
          <w:trHeight w:val="500"/>
        </w:trPr>
        <w:tc>
          <w:tcPr>
            <w:tcW w:w="8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tcPr>
          <w:p>
            <w:pPr>
              <w:ind w:left="16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Exhibits, Financial Statement Schedules</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94</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16.</w:t>
            </w:r>
          </w:p>
        </w:tc>
        <w:tc>
          <w:tcPr>
            <w:tcW w:w="9420" w:type="dxa"/>
            <w:vAlign w:val="bottom"/>
          </w:tcPr>
          <w:p>
            <w:pPr>
              <w:ind w:left="16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Form 10-K Summary</w:t>
              </w:r>
            </w:hyperlink>
          </w:p>
        </w:tc>
        <w:tc>
          <w:tcPr>
            <w:tcW w:w="900" w:type="dxa"/>
            <w:vAlign w:val="bottom"/>
            <w:gridSpan w:val="3"/>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96</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9420" w:type="dxa"/>
            <w:vAlign w:val="bottom"/>
          </w:tcPr>
          <w:p>
            <w:pPr>
              <w:ind w:left="16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Signatures</w:t>
              </w:r>
            </w:hyperlink>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50" w:lineRule="exact"/>
        <w:rPr>
          <w:sz w:val="20"/>
          <w:szCs w:val="20"/>
          <w:color w:val="auto"/>
        </w:rPr>
      </w:pPr>
    </w:p>
    <w:p>
      <w:pPr>
        <w:ind w:left="660" w:right="1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 of the global economic uncertainty and financial market conditions caused by the COVID-19 pandemic on our business, results of operations and financial condition, including on our sales and our revenue growth rate;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6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technological change, release new products and product features and effectively enhance, innovate and scale our enterprise platform and solutions;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achieve profitability;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and potential acquisitions and integration of complementary businesses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problems with the security, integrity, reliability, compatibility and quality of our platform and solutions;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capital requirements and stock performance;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further expand our overall headcount;</w:t>
      </w:r>
    </w:p>
    <w:p>
      <w:pPr>
        <w:spacing w:after="0" w:line="63"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 the impact of securities analysts’ reports on these prices.</w:t>
      </w:r>
    </w:p>
    <w:p>
      <w:pPr>
        <w:spacing w:after="0" w:line="22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Such risks and uncertainties may be amplified by the COVID-19 pandemic and its potential impact on our business and the global economy.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We are a leading provider of Cyber Exposure solutions. Cyber Exposure is a discipline for managing, measuring and comparing cybersecurity risk in the digital era.</w:t>
      </w:r>
    </w:p>
    <w:p>
      <w:pPr>
        <w:spacing w:after="0" w:line="19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Digital transformation is driving radical change and is powering the economy and our social infrastructure. A digital-first economy is only sustainable if it is built with a solid cybersecurity foundation. As organizations modernize their IT infrastructures and adopt cloud or hybrid cloud architectures that are no longer housed in the confines of their corporate networks, they have less visibility and control over the security of these assets. Organizations are also increasingly implementing modern solutions, such as Internet of Things, or IoT, devices, web applications and application containers, to enable the rapid development and deployment of new products, services and business models, as well as to drive operational efficiencies. Further, safety-critical Operational Technology, or OT, such as Industrial Control Systems, are now network-connected and must be secured from cybersecurity threats.</w:t>
      </w:r>
    </w:p>
    <w:p>
      <w:pPr>
        <w:spacing w:after="0" w:line="207"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While other functions in an organization, such as finance and operations, have a system to help them manage and measure risk, cybersecurity risk has not historically been adequately measured or understood. Our enterprise platform provides a unified view into the organization’s state of security, enables security teams to prioritize and focus their remediation efforts, and translates vulnerability data into actionable business metrics and insights that boards of directors and executives can understand and use to make strategic decisions. We believe our Cyber Exposure solutions are transforming how cybersecurity risk is managed and measured and will help organizations more rapidly embrace digital transformation.</w:t>
      </w:r>
    </w:p>
    <w:p>
      <w:pPr>
        <w:spacing w:after="0" w:line="20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Our platform offerings provide broad visibility into security issues such as vulnerabilities, misconfigurations, internal and regulatory compliance violations and other indicators of the state of an organization’s security across IT infrastructure and applications, cloud environments and Industrial IoT and OT environments. We also provide deep analytics to help organizations score, trend and compare their cyber exposure over time, and communicate cyber risk in business terms to make better strategic decisions. Our platform offerings integrate and analyze data from our native collectors alongside IT asset, vulnerability and threat data from third-party systems and applications to prioritize security issues for remediation and focus an organization’s resources based on risk and business criticality.</w:t>
      </w:r>
    </w:p>
    <w:p>
      <w:pPr>
        <w:spacing w:after="0" w:line="208"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In 2020, 2019 and 2018 our total revenue was $440.2 million, $ 354.6 million and $ 267.4 million, respectively, representing year-over-year growth rates of 24% from 2019 to 2020 and 33% from 2018 to 2019. Our net loss was $42.7 million, $99.0 million and $73.5 million in 2020, 2019 and 2018, respectively. Our cash flows from operating activities were $64.2 million, $(10.7) million and $(2.6) million in 2020, 2019 and 2018, respectively.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Platform Offerings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to empower every organization to understand and reduce their cybersecurity risk.</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Enterprise Platform Offerings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enterprise platform enables organizations to answer foundational and strategic questions such as: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are we exposed?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should we prioritize based on risk?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we reducing our exposure over time?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How do we compare to our peers?</w:t>
      </w:r>
    </w:p>
    <w:p>
      <w:pPr>
        <w:spacing w:after="0" w:line="225"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Our enterprise platform offerings include Tenable.io, which is our cloud-delivered software as a service, or SaaS, offering, and Tenable.sc, which is our on-premises offering, both of which provide organizations with a risk-based view of traditional and modern attack surfaces. These applications are designed with views, workflows and dashboards to deliver a complete and continuous view of all assets, both known and previously unknown, and any associated vulnerabilities,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internal and regulatory compliance violations, misconfigurations and other cybersecurity issues, prioritize these issues for remediation based on risk assessment and predictive analytics, and provide insightful remediation guidance.</w:t>
      </w:r>
    </w:p>
    <w:p>
      <w:pPr>
        <w:spacing w:after="0" w:line="19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enterprise platform offerings also include Tenable.ot, which is our on-premises solution that provides threat detection and mitigation, asset tracking, vulnerability management, and configuration control capabilities to protect OT environments, including industrial networks. Tenable.ot is sold as a stand-alone solution and integrates with Tenable.io and Tenable.sc.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enterprise platform offerings deliver the following capabilities:</w:t>
      </w:r>
    </w:p>
    <w:p>
      <w:pPr>
        <w:spacing w:after="0" w:line="99" w:lineRule="exact"/>
        <w:rPr>
          <w:sz w:val="20"/>
          <w:szCs w:val="20"/>
          <w:color w:val="auto"/>
        </w:rPr>
      </w:pPr>
    </w:p>
    <w:p>
      <w:pPr>
        <w:ind w:left="660" w:right="44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Live asset discovery. </w:t>
      </w:r>
      <w:r>
        <w:rPr>
          <w:rFonts w:ascii="Arial" w:cs="Arial" w:eastAsia="Arial" w:hAnsi="Arial"/>
          <w:sz w:val="18"/>
          <w:szCs w:val="18"/>
          <w:color w:val="auto"/>
        </w:rPr>
        <w:t>We can automatically discover a broad range of traditional and modern IT assets, including on-premises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web applications, cloud environments, mobile devices, containers, IoT devices and OT systems. We use a combination of active scanning, passive network monitoring and public cloud monitoring via our connector to identify known and unknown assets on the network. Additionally, in 2020 we released Frictionless Assessment, which evaluates cloud assets and detects new vulnerabilities within a dynamic environment without having to schedule a scan or deploy an agent.</w:t>
      </w:r>
    </w:p>
    <w:p>
      <w:pPr>
        <w:spacing w:after="0" w:line="75"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Automated exposure assessment. </w:t>
      </w:r>
      <w:r>
        <w:rPr>
          <w:rFonts w:ascii="Arial" w:cs="Arial" w:eastAsia="Arial" w:hAnsi="Arial"/>
          <w:sz w:val="18"/>
          <w:szCs w:val="18"/>
          <w:color w:val="auto"/>
        </w:rPr>
        <w:t>With every change in a customer’s computing environment, we can automatically assess and</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where there are vulnerabilities, internal and regulatory compliance violations and misconfigurations across assets and cloud environments, such as missing software patches or outdated software versions. In addition, we can help optimize existing security technology investments to identify indicators of cyber exposure, such as improperly configured anti-virus software.</w:t>
      </w:r>
    </w:p>
    <w:p>
      <w:pPr>
        <w:spacing w:after="0" w:line="71"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Deep analytics to allow for prioritization. </w:t>
      </w:r>
      <w:r>
        <w:rPr>
          <w:rFonts w:ascii="Arial" w:cs="Arial" w:eastAsia="Arial" w:hAnsi="Arial"/>
          <w:sz w:val="18"/>
          <w:szCs w:val="18"/>
          <w:color w:val="auto"/>
        </w:rPr>
        <w:t>We combine our product, vulnerability data and threat intelligence with third-party data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business context and enable organizations to prioritize remediation efforts based on the business criticality of the asset and the likelihood of exploit. Predictive Prioritization enables organizations to reduce business risk by focusing on the vulnerabilities with the greatest likelihood of imminently being exploited. It combines Tenable vulnerability data with third-party threat and vulnerability data across more than 150 data sources using a proprietary machine learning algorithm developed by Tenable Research and data science teams to provide clear guidance on where to focus remediation efforts. Predictive Prioritization provides a threat-based view of vulnerabilities, which is a critical component of modern risk-based vulnerability management.</w:t>
      </w:r>
    </w:p>
    <w:p>
      <w:pPr>
        <w:spacing w:after="0" w:line="80" w:lineRule="exact"/>
        <w:rPr>
          <w:rFonts w:ascii="Arial" w:cs="Arial" w:eastAsia="Arial" w:hAnsi="Arial"/>
          <w:sz w:val="18"/>
          <w:szCs w:val="18"/>
          <w:color w:val="auto"/>
        </w:rPr>
      </w:pPr>
    </w:p>
    <w:p>
      <w:pPr>
        <w:ind w:left="660" w:right="80" w:hanging="328"/>
        <w:spacing w:after="0" w:line="266"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Open and extensible platform</w:t>
      </w:r>
      <w:r>
        <w:rPr>
          <w:rFonts w:ascii="Arial" w:cs="Arial" w:eastAsia="Arial" w:hAnsi="Arial"/>
          <w:sz w:val="18"/>
          <w:szCs w:val="18"/>
          <w:color w:val="auto"/>
        </w:rPr>
        <w:t>. Our enterprise platform integrates with industry-leading IT workflow, security information and event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or SIEM, and systems management tools to accelerate remediation and provide common visibility across security and IT operations teams.</w:t>
      </w:r>
    </w:p>
    <w:p>
      <w:pPr>
        <w:spacing w:after="0" w:line="67" w:lineRule="exact"/>
        <w:rPr>
          <w:rFonts w:ascii="Arial" w:cs="Arial" w:eastAsia="Arial" w:hAnsi="Arial"/>
          <w:sz w:val="18"/>
          <w:szCs w:val="18"/>
          <w:i w:val="1"/>
          <w:iCs w:val="1"/>
          <w:color w:val="auto"/>
        </w:rPr>
      </w:pPr>
    </w:p>
    <w:p>
      <w:pPr>
        <w:ind w:left="660" w:right="12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Cyber exposure measurement. </w:t>
      </w:r>
      <w:r>
        <w:rPr>
          <w:rFonts w:ascii="Arial" w:cs="Arial" w:eastAsia="Arial" w:hAnsi="Arial"/>
          <w:sz w:val="18"/>
          <w:szCs w:val="18"/>
          <w:color w:val="auto"/>
        </w:rPr>
        <w:t>Tenable Lumin, released in 2019, leverages our expansive knowledge base of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vulnerabilities coupled with data science insights to help our customers objectively score, trend and benchmark cyber exposure across their organizations, including by business unit or geography, for comparison and best practices. We believe this capability is critical to help security executives effectively translate technical information and communicate cybersecurity risk to a non-technical audience, including the C-suite and the board of directors, to make better strategic decisions on where to focus investment to maximize cybersecurity risk reduction. As we continue to expand our database with more vulnerability and asset intelligence as well as additional third-party data sources, we anticipate that we will be able to leverage these insights in Lumin to measure an organization’s cyber exposure beyond vulnerabilities to overall cybersecurity program effectiveness.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Nessus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co-founder is the creator of Nessus, one of the most widely deployed vulnerability assessment solutions in the cybersecurity industry. Nessus underpins our enterprise platform. Since the introduction of Nessus in 1998, an extensive community of Nessus users has emerged. We continue to cultivate knowledge and affinity within this user base, which, when combined with our enterprise customers and our Tenable Research team of cybersecurity and data science experts, creates powerful network effects in the form of a continuous feedback loop of data and insights. We use these learnings to expand our assessment capabilities and coverage, continually optimize our solutions and inform our product strategy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innovation priorities. We believe these data and insights will also fuel and strengthen our benchmarking capabilities over time.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Nessus Professional</w:t>
      </w:r>
    </w:p>
    <w:p>
      <w:pPr>
        <w:spacing w:after="0" w:line="24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Nessus Professional is a vulnerability assessment solution for identifying security vulnerabilities, configuration issues and malware. Nessus Professional serves as both a stand-alone product designed for security consultants and practitioners performing one-time or ad-hoc assessment as well as an on-ramp product to our enterprise platform. With broad vulnerability coverage, accurate analysis and an easy-to-use interface, Nessus Professional offers a cost-effective and comprehensive solution for security consultants and users with ad-hoc assessment needs.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Nessus Essentials</w:t>
      </w:r>
    </w:p>
    <w:p>
      <w:pPr>
        <w:spacing w:after="0" w:line="24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We also offer a free version of our Nessus product, Nessus Essentials, which includes vulnerability and configuration assessment for a limited number of assets, but does not include access to support and certain features that Nessus Professional customers enjoy.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Architecture</w:t>
      </w:r>
    </w:p>
    <w:p>
      <w:pPr>
        <w:spacing w:after="0" w:line="247"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Our platform is built from the ground up to support the needs of modern IT assets and environments. Our platform’s scalability can meet the requirements of the largest global enterprise customers, which may require assessment for millions of assets.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Foundational elements of our technology architecture include:</w:t>
      </w:r>
    </w:p>
    <w:p>
      <w:pPr>
        <w:spacing w:after="0" w:line="95" w:lineRule="exact"/>
        <w:rPr>
          <w:sz w:val="20"/>
          <w:szCs w:val="20"/>
          <w:color w:val="auto"/>
        </w:rPr>
      </w:pPr>
    </w:p>
    <w:p>
      <w:pPr>
        <w:ind w:left="660" w:hanging="328"/>
        <w:spacing w:after="0" w:line="291"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Public cloud infrastructure for agility. </w:t>
      </w:r>
      <w:r>
        <w:rPr>
          <w:rFonts w:ascii="Arial" w:cs="Arial" w:eastAsia="Arial" w:hAnsi="Arial"/>
          <w:sz w:val="17"/>
          <w:szCs w:val="17"/>
          <w:color w:val="auto"/>
        </w:rPr>
        <w:t>Our use of the public cloud delivers agility and market responsiveness without the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or time delay involved with planning, purchasing and deploying hardware. It also provides a flexible cost profile in which capacity can be quickly adjusted up or down in response to new opportunities and market demand, with relatively modest fixed costs.</w:t>
      </w:r>
    </w:p>
    <w:p>
      <w:pPr>
        <w:spacing w:after="0" w:line="44" w:lineRule="exact"/>
        <w:rPr>
          <w:rFonts w:ascii="Arial" w:cs="Arial" w:eastAsia="Arial" w:hAnsi="Arial"/>
          <w:sz w:val="17"/>
          <w:szCs w:val="17"/>
          <w:color w:val="auto"/>
        </w:rPr>
      </w:pPr>
    </w:p>
    <w:p>
      <w:pPr>
        <w:ind w:left="660" w:right="40" w:hanging="328"/>
        <w:spacing w:after="0" w:line="27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Our platform scales up and down to continuously meet customer demands, through the use of public cloud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This approach provides elastic resources for compute, data transfer and storage, and allows us to meet the needs of even the largest global enterprises and government agencies. Our platform manages and supports millions of assets for multiple enterprise customers across a variety of industries, with the ability to process millions of application programming interface, or API, calls daily. The platform can scale to support IoT deployments that are an order of magnitude larger than IT deployments.</w:t>
      </w:r>
    </w:p>
    <w:p>
      <w:pPr>
        <w:spacing w:after="0" w:line="55" w:lineRule="exact"/>
        <w:rPr>
          <w:rFonts w:ascii="Arial" w:cs="Arial" w:eastAsia="Arial" w:hAnsi="Arial"/>
          <w:sz w:val="17"/>
          <w:szCs w:val="17"/>
          <w:color w:val="auto"/>
        </w:rPr>
      </w:pPr>
    </w:p>
    <w:p>
      <w:pPr>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w:t>
      </w:r>
      <w:r>
        <w:rPr>
          <w:rFonts w:ascii="Arial" w:cs="Arial" w:eastAsia="Arial" w:hAnsi="Arial"/>
          <w:sz w:val="18"/>
          <w:szCs w:val="18"/>
          <w:color w:val="auto"/>
        </w:rPr>
        <w:t>Our modern architecture, leveraging state-of-the-art public cloud services, offers high availability and high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provides geographic redundancy, as well as automated backup, without the need for us to build redundant infrastructure. As a result, we offer a service level agreement for Tenable.io that promises 99.95% availability to help ensure the reliability of operation for our customers.</w:t>
      </w:r>
    </w:p>
    <w:p>
      <w:pPr>
        <w:spacing w:after="0" w:line="68"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Extensibility and integration. </w:t>
      </w:r>
      <w:r>
        <w:rPr>
          <w:rFonts w:ascii="Arial" w:cs="Arial" w:eastAsia="Arial" w:hAnsi="Arial"/>
          <w:sz w:val="18"/>
          <w:szCs w:val="18"/>
          <w:color w:val="auto"/>
        </w:rPr>
        <w:t>Our open API and software development kit, or SDK, enables import of data from third-party 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sensors, including competitor products, to augment our native discovery, assessment and analytics. This is essential to providing a unified view of assets, vulnerabilities and exposure across the enterprise. These capabilities also enable flexible export of our data to third party systems.</w:t>
      </w:r>
    </w:p>
    <w:p>
      <w:pPr>
        <w:spacing w:after="0" w:line="68" w:lineRule="exact"/>
        <w:rPr>
          <w:rFonts w:ascii="Arial" w:cs="Arial" w:eastAsia="Arial" w:hAnsi="Arial"/>
          <w:sz w:val="18"/>
          <w:szCs w:val="18"/>
          <w:color w:val="auto"/>
        </w:rPr>
      </w:pPr>
    </w:p>
    <w:p>
      <w:pPr>
        <w:ind w:left="660" w:right="30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Unified Platform. </w:t>
      </w:r>
      <w:r>
        <w:rPr>
          <w:rFonts w:ascii="Arial" w:cs="Arial" w:eastAsia="Arial" w:hAnsi="Arial"/>
          <w:sz w:val="18"/>
          <w:szCs w:val="18"/>
          <w:color w:val="auto"/>
        </w:rPr>
        <w:t>Our products are built on a unified platform with a unified data model that enables us to share data,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vulnerabilities across our applications so our customers can run workflows and have a consistent user experience across our products.</w:t>
      </w:r>
    </w:p>
    <w:p>
      <w:pPr>
        <w:spacing w:after="0" w:line="62"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Widely adopted industry standard file format. </w:t>
      </w:r>
      <w:r>
        <w:rPr>
          <w:rFonts w:ascii="Arial" w:cs="Arial" w:eastAsia="Arial" w:hAnsi="Arial"/>
          <w:sz w:val="18"/>
          <w:szCs w:val="18"/>
          <w:color w:val="auto"/>
        </w:rPr>
        <w:t>The “.Nessus” file format for vulnerability data used in all of our products is openly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documented and supported by dozens of products and programming languages, which simplifies integration with our ecosystem partners’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Technology Ecosystem</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partnered and/or integrated with market leading technology companies to pioneer the industry’s first Cyber Exposure ecosystem to help organizations build resilient cybersecurity programs. Our ecosystem consists of a variety of third-party data import sources into our platform offerings, as well as export of our data out to third-party IT systems. Our technology ecosystem connects disparate solutions and data to automate processes and accelerate an organization’s ability to understand, manage and reduce its cyber exposure.</w:t>
      </w:r>
    </w:p>
    <w:p>
      <w:pPr>
        <w:spacing w:after="0" w:line="20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integrate a variety of third -party data sources, including ticketing, configuration management databases, or CMDBs, and systems management, into our platform to augment our native data collection and help with analysis and remediation prioritization. Furthermore, our data is also exported out to enrich third-party IT management and security systems.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Strategy</w:t>
      </w:r>
    </w:p>
    <w:p>
      <w:pPr>
        <w:spacing w:after="0" w:line="247"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Our objectives are to maintain our market leadership in Cyber Exposure and to capture our large market opportunity. To accomplish these objectives, we intend to:</w:t>
      </w:r>
    </w:p>
    <w:p>
      <w:pPr>
        <w:spacing w:after="0" w:line="68" w:lineRule="exact"/>
        <w:rPr>
          <w:sz w:val="20"/>
          <w:szCs w:val="20"/>
          <w:color w:val="auto"/>
        </w:rPr>
      </w:pPr>
    </w:p>
    <w:p>
      <w:pPr>
        <w:ind w:left="660" w:right="4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Acquire New Enterprise Platform Customers. </w:t>
      </w:r>
      <w:r>
        <w:rPr>
          <w:rFonts w:ascii="Arial" w:cs="Arial" w:eastAsia="Arial" w:hAnsi="Arial"/>
          <w:sz w:val="18"/>
          <w:szCs w:val="18"/>
          <w:color w:val="auto"/>
        </w:rPr>
        <w:t>We believe there is a substantial opportunity to increase adoption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enterprise platform offerings. We have experienced growth in new enterprise platform customers due to investments in sales and marketing. We intend to continue to aggressively pursue new domestic and international customers by adding sales capacity and leveraging our network of channel partnerships around the world.</w:t>
      </w:r>
    </w:p>
    <w:p>
      <w:pPr>
        <w:spacing w:after="0" w:line="68"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Asset Coverage Within Our Customer Base</w:t>
      </w:r>
      <w:r>
        <w:rPr>
          <w:rFonts w:ascii="Arial" w:cs="Arial" w:eastAsia="Arial" w:hAnsi="Arial"/>
          <w:sz w:val="18"/>
          <w:szCs w:val="18"/>
          <w:color w:val="auto"/>
        </w:rPr>
        <w:t>. We believe we have a significant opportunity to expand our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existing customers by targeting additional teams, business units or geographies, pursuing broad enterprise deployments and generally expanding our coverage of their IT assets and cross-selling new applications and solutions.</w:t>
      </w:r>
    </w:p>
    <w:p>
      <w:pPr>
        <w:spacing w:after="0" w:line="62"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Technology Platform</w:t>
      </w:r>
      <w:r>
        <w:rPr>
          <w:rFonts w:ascii="Arial" w:cs="Arial" w:eastAsia="Arial" w:hAnsi="Arial"/>
          <w:sz w:val="18"/>
          <w:szCs w:val="18"/>
          <w:color w:val="auto"/>
        </w:rPr>
        <w:t>. We intend to continue to innovate and develop our enterprise platform, including the addition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incremental capabilities, such as coverage of new attack surfaces and asset types and the addition of analytical capabilities, to help our customers measure and benchmark their cyber exposure. As we collect more data and ingest more data from third-party sources, we believe our data set will become even more valuable over time, which will allow us to continue to develop new analytical products and capabilities to our existing product suite over time.</w:t>
      </w:r>
    </w:p>
    <w:p>
      <w:pPr>
        <w:spacing w:after="0" w:line="71"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Explore Acquisition Opportunities</w:t>
      </w:r>
      <w:r>
        <w:rPr>
          <w:rFonts w:ascii="Arial" w:cs="Arial" w:eastAsia="Arial" w:hAnsi="Arial"/>
          <w:sz w:val="18"/>
          <w:szCs w:val="18"/>
          <w:color w:val="auto"/>
        </w:rPr>
        <w:t>. We may acquire other businesses, technology and/or development personnel that will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enhance the functionality of our platform offerings. In 2019, we acquired Indegy Ltd., or Indegy, a leader in industrial cybersecurity that provides visibility, security and control across OT environments. Indegy expanded our depth of OT expertise and intelligence and our breadth of OT-specific capabilities from vulnerability management to asset inventory, configuration management and threat detection.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Customers</w:t>
      </w:r>
    </w:p>
    <w:p>
      <w:pPr>
        <w:spacing w:after="0" w:line="247"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We sell and market our enterprise platform offerings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Our customers are located in over 160 countries and include enterprises of all sizes and span a wide range of industries, including manufacturing, energy and industrials; technology, media and telecommunications; banking, insurance and finance; government, education and non-profit; healthcare; and retail and consumer.</w:t>
      </w:r>
    </w:p>
    <w:p>
      <w:pPr>
        <w:spacing w:after="0" w:line="202"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As of December 31, 2020, we had over 30,000 customers who licensed our Tenable.io, Tenable.sc, Tenable.ot or Nessus Professional products. Our customers include more than 50% of the Fortune 500 and over 30% of the Global 2000 organizations at December 31, 2020. In 2020, 2019 and 2018, no single customer represented more than 2%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sales strategy employs both a direct-touch approach through our sales forces and a low-touch approach through sales closed by our channel partners and transacted on our e-commerce website. Both direct-touch and channel-originated sales are fulfilled through our channel partnerships. Our sales and customer success renewal teams collaborate closely with our channel partners to prospect, manage and support our customers, developing and maintaining close relationships with all of our enterprise platform customers.</w:t>
      </w:r>
    </w:p>
    <w:p>
      <w:pPr>
        <w:spacing w:after="0" w:line="20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7"/>
          <w:szCs w:val="17"/>
          <w:color w:val="auto"/>
        </w:rPr>
        <w:t>We sell to organizations of all sizes across a broad range of industries, with a specific focus on enterprise accounts. Our sales team is divided by customer size and geography, including the Americas; Europe, the Middle East and Africa ("EMEA"); and Asia Pacific and Japan.</w:t>
      </w:r>
    </w:p>
    <w:p>
      <w:pPr>
        <w:spacing w:after="0" w:line="174" w:lineRule="exact"/>
        <w:rPr>
          <w:sz w:val="20"/>
          <w:szCs w:val="20"/>
          <w:color w:val="auto"/>
        </w:rPr>
      </w:pPr>
    </w:p>
    <w:p>
      <w:pPr>
        <w:jc w:val="both"/>
        <w:ind w:right="760" w:firstLine="324"/>
        <w:spacing w:after="0" w:line="256" w:lineRule="auto"/>
        <w:rPr>
          <w:sz w:val="20"/>
          <w:szCs w:val="20"/>
          <w:color w:val="auto"/>
        </w:rPr>
      </w:pPr>
      <w:r>
        <w:rPr>
          <w:rFonts w:ascii="Arial" w:cs="Arial" w:eastAsia="Arial" w:hAnsi="Arial"/>
          <w:sz w:val="18"/>
          <w:szCs w:val="18"/>
          <w:color w:val="auto"/>
        </w:rPr>
        <w:t>Our partner ecosystem provides us with a number of advantages, including increased in-bound registered sales leads, broader geographic reach and greater deal velocity. Our channel partners include distributors, value-added resellers, system integrators and managed security service providers.</w:t>
      </w:r>
    </w:p>
    <w:p>
      <w:pPr>
        <w:spacing w:after="0" w:line="9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marketing efforts focus on cultivating brand awareness and leveraging our brand strength with Nessus, building demand across all segments with a specific emphasis on our enterprise customers and delivering tailored marketing programs focused on security executives, functional managers and security practitioners and consultants with Nessus. We also provide educational programs to DevOps teams for our Container Security and Web Application Scanning products. We execute marketing programs targeted at new customer acquisition, customer retention and cross-selling and up-selling of products across our platform.</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We continue to invest substantial resources in research and development to enhance our platform offerings by developing new features, functionality, and applications. Our engineering expertise combines extensive security product development experience with individuals who possess deep cloud and user interface design background.</w:t>
      </w:r>
    </w:p>
    <w:p>
      <w:pPr>
        <w:spacing w:after="0" w:line="202"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Additionally, our Tenable Research team includes a team of cybersecurity and data science experts who deliver Cyber Exposure intelligence, data science insights, alerts and security advisories. Frequent updates from Tenable Research ensure the latest vulnerability checks, zero-day research, and configuration benchmarks are available within our Cyber Exposure solutions.</w:t>
      </w:r>
    </w:p>
    <w:p>
      <w:pPr>
        <w:spacing w:after="0" w:line="202"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We believe ongoing and timely development of new products and features is imperative to maintaining our competitive position. We continue to invest in development of our solutions across our global research and development team.</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expense was $101.7 million, $87.1 million and $76.7 million in 2020, 2019 and 2018,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Backlog</w:t>
      </w:r>
    </w:p>
    <w:p>
      <w:pPr>
        <w:spacing w:after="0" w:line="24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define backlog as contractually committed orders to be invoiced under our existing agreements that are not included in the deferred revenue on our consolidated balance sheets. As of December 31, 2020 and 2019, we had backlog of $ 8.0 million and $ 3.6 million, respectively. We expect substantially all of the backlog at December 31, 2020 to be invoiced within the following twelve months.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solutions.</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that the principal competitive factors affecting the market for cybersecurity solutions include product functionality, breadth and depth of offerings, flexibility of delivery models, ease of deployment and use, integration capabilities such as open APIs and scalability, uptime and performance. We believe that our suite of solutions generally competes favorably with respect to these factors and may serve as a complement to the solutions offered by our competitors in some cases. Some of our more established actual and potential competitors have greater name recognition, longer operating histories, more established customer relationships, larger marketing budgets and significantly greater resources than we do. In addition, as our market grows and rapidly changes, we expect it will continue to attract new competitors, including companies that are larger and more established than us and smaller emerging companies, which could introduce new products and services.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Our success depends in part upon our ability to protect our core technology and intellectual property. We rely on a combination of trade secrets, copyrights, patents and trademarks, as well as contractual protections, to establish and protect our intellectual property rights and protect our proprietary technology.</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2020, we had 21 issued patents and nine patent applications pending in the United States. Our issued patents expire between 2027 and 2038 and cover our network scanning, monitoring and analysis technologies and additional features of our platform offerings. As of December 31, 2020, we had 19 registered trademarks and one trademark application pending in the United States. We view our copyrights, trade secrets and know-how as a significant component of our intellectual property assets.</w:t>
      </w:r>
    </w:p>
    <w:p>
      <w:pPr>
        <w:spacing w:after="0" w:line="20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also license certain software from third parties for integration into our solutions, including open source software and other software available on commercially reasonable terms. We cannot assure you that such third parties will maintain such software or continue to make it available.</w:t>
      </w:r>
    </w:p>
    <w:p>
      <w:pPr>
        <w:spacing w:after="0" w:line="202"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control access to and use of our proprietary software and other confidential information through the use of internal and external controls, including contractual protections with employees, contractors, customers and partners, and our software is protected by U.S. and international copyright and trade secret laws. Despite our efforts to protect our trade secrets and proprietary rights through intellectual property rights, licenses and confidentiality and invention assignment agreements, unauthorized parties may still attempt to copy, reverse engineer, misappropriate or otherwise obtain and use our software and technology. In addition, we intend to continue to expand our international operations, and effective patent, copyright, trademark and trade secret protection may not be available or may be limited in foreign countries.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Various federal, state and foreign legislative and regulatory bodies have legislation pending that could affect our business. In particular, the European Union passed the General Data Protection Regulation, or GDPR, which came into force on May 25, 2018. The GDPR includes more stringent operational requirements on entities that receive or process personal data (as compared to existing EU law), along with significant penalties for non-compliance, more robust obligations on data processors and data controllers, greater rights for data subjects (potentially requiring significant changes to both our technology and operations), and heavier documentation requirements for data protection compliance programs. In addition, the GDPR increases the scrutiny of transfers of personal data from locations in the EEA to the United States and other jurisdictions that the European Commission does not recognize as having “adequate” data protection laws, and imposes substantial fines for breaches and violations (up to the greater of €20 million or 4% of consolidated annual worldwide gross revenue).</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California recently enacted the California Consumer Privacy Act, or the CCPA, which went into effect on January 1, 2020 and creates new individual privacy rights for consumers and places increased privacy and security obligations on entities handling the personal data of consumers or households. The CCPA requires covered companies to provide new disclosures to California consumers, which could include our employees residing in California based on the broad definitions in the law, to provide such consumers new ways to opt out of certain sales of personal</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information, and to allow for a new private cause of action for data breaches. Other states are beginning to pass similar laws.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2" w:lineRule="exact"/>
        <w:rPr>
          <w:sz w:val="20"/>
          <w:szCs w:val="20"/>
          <w:color w:val="auto"/>
        </w:rPr>
      </w:pPr>
    </w:p>
    <w:p>
      <w:pPr>
        <w:jc w:val="both"/>
        <w:ind w:right="120" w:firstLine="324"/>
        <w:spacing w:after="0" w:line="252" w:lineRule="auto"/>
        <w:rPr>
          <w:sz w:val="20"/>
          <w:szCs w:val="20"/>
          <w:color w:val="auto"/>
        </w:rPr>
      </w:pPr>
      <w:r>
        <w:rPr>
          <w:rFonts w:ascii="Arial" w:cs="Arial" w:eastAsia="Arial" w:hAnsi="Arial"/>
          <w:sz w:val="18"/>
          <w:szCs w:val="18"/>
          <w:color w:val="auto"/>
        </w:rPr>
        <w:t>Like other U.S.-based IT security products, our products are subject to U.S. export control laws and regulations, specifically the Export Administration Regulations, or EAR, U.S. economic and trade sanctions regulations and applicable foreign government import, export and use requirements. Certain of our products are subject to encryption controls under the EAR due to the nature of the product and its use or incorporation of encryption functionality. Under the encryption controls in the EAR, applicable products may only be exported outside of the United States with required export authorizations, such as a license, a license exception or other appropriate government authorizations. In addition to the restrictions under the EAR, U.S. export control laws and economic sanctions prohibit the export of products and services to countries, governments, entities or persons subject to U.S. embargoes or trade sanctions.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Human Capital</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2020, we had 1,367 employees, including 455 employees located outside of the United States. None of our U.S. employees are represented by a labor union or covered by a collective bargaining agreement. Certain international employees are subject to collective bargaining agreements in connection with local labor laws. We have not experienced any work stoppages, and we consider our relations with our employees to be good.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in upholding a core set of values for our entire global workforce:</w:t>
      </w:r>
    </w:p>
    <w:p>
      <w:pPr>
        <w:spacing w:after="0" w:line="95" w:lineRule="exact"/>
        <w:rPr>
          <w:sz w:val="20"/>
          <w:szCs w:val="20"/>
          <w:color w:val="auto"/>
        </w:rPr>
      </w:pPr>
    </w:p>
    <w:p>
      <w:pPr>
        <w:ind w:left="660" w:right="56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One Tenable</w:t>
      </w:r>
      <w:r>
        <w:rPr>
          <w:rFonts w:ascii="Arial" w:cs="Arial" w:eastAsia="Arial" w:hAnsi="Arial"/>
          <w:sz w:val="18"/>
          <w:szCs w:val="18"/>
          <w:color w:val="auto"/>
        </w:rPr>
        <w:t>: We are united as one Tenable team. We win together. We are one team internally, with our customers,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and in the market.</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We Care</w:t>
      </w:r>
      <w:r>
        <w:rPr>
          <w:rFonts w:ascii="Arial" w:cs="Arial" w:eastAsia="Arial" w:hAnsi="Arial"/>
          <w:sz w:val="18"/>
          <w:szCs w:val="18"/>
          <w:color w:val="auto"/>
        </w:rPr>
        <w:t>: About our work, about our customers, about one another and about our communities. We speak straight and we do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thing.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Deliver Results</w:t>
      </w:r>
      <w:r>
        <w:rPr>
          <w:rFonts w:ascii="Arial" w:cs="Arial" w:eastAsia="Arial" w:hAnsi="Arial"/>
          <w:sz w:val="18"/>
          <w:szCs w:val="18"/>
          <w:color w:val="auto"/>
        </w:rPr>
        <w:t>: We set high goals, take bold risks, measure honestly and deliver results that exceed expectations.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What We Do Matters</w:t>
      </w:r>
      <w:r>
        <w:rPr>
          <w:rFonts w:ascii="Arial" w:cs="Arial" w:eastAsia="Arial" w:hAnsi="Arial"/>
          <w:sz w:val="18"/>
          <w:szCs w:val="18"/>
          <w:color w:val="auto"/>
        </w:rPr>
        <w:t>: The work that we do makes a difference in the world.</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key human capital objectives are to attract, retain and develop our highly talented existing and future employees, while cultivating a diverse and inclusive workforce and environment to achieve exceptional business results. We strive to be a career destination where employees from all backgrounds are welcome and empowered, are treated with fairness and respect, can make a difference, and have the opportunity to grow.</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Information and Segments</w:t>
      </w:r>
    </w:p>
    <w:p>
      <w:pPr>
        <w:spacing w:after="0" w:line="247"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Segment and geographic information required by Part I, Item 1 of Form 10-K can be found in Note 1 and Note 13 of the Notes to our Consolidated Financial Statements included in Part II, Item 8, Financial Statements, of this Form 10-K.</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Tenable Network Security, Inc., our predecessor, was incorporated under the laws of the State of Delaware in 2002. Tenable Holdings, Inc. was incorporated in Delaware in October 2015, and in November 2015, Tenable Network Security, Inc. was merged into our wholly-owned indirect subsidiary and in 2017 was renamed as Tenable, Inc.</w:t>
      </w:r>
    </w:p>
    <w:p>
      <w:pPr>
        <w:spacing w:after="0" w:line="20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principal executive offices are located at 6100 Merriweather Drive, Columbia, Maryland 21044. Our telephone number is (410) 872-0555. Our website address is www.tenable.com. The information contained on, or that can be accessed through, our website is not incorporated by reference, and you should not consider any information contained on, or that can be accessed through, our website as part of this Annual Report on Form 10-K.</w:t>
      </w:r>
    </w:p>
    <w:p>
      <w:pPr>
        <w:spacing w:after="0" w:line="204"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“Tenable,” “Nessus,” “Tenable.io," "Lumin" and the Tenable logo, and other trademarks or service marks of Tenable Holdings, Inc. appearing in this Annual Report on Form 10-K are the property of Tenable Holdings, Inc. This Annual Report on Form 10-K contains additional trade names, trademarks and service marks of others, which are the property of their</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respective owners. Solely for convenience, trademarks and trade names referred to in this Annual Report on Form 10-K may appear without the ® or TM symbols.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Annual Report on Form 10-K, Quarterly Reports on Form 10-Q, Current Reports on Form 8-K, Proxy Statement, and amendments to reports filed pursuant to Sections 13(a) and 15(d) of the Exchange Act, are available for download free of charge from our investor relations website https://investors.tenable.com after we file them with the Securities and Exchange Commission, or the SEC. The SEC’s website https://www.sec.gov contains reports, proxy and information statements, and other information regarding issuers that file electronically with the SEC.</w:t>
      </w:r>
    </w:p>
    <w:p>
      <w:pPr>
        <w:spacing w:after="0" w:line="205"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contents of any website referred to in this Form 10-K are not intended to be incorporated into this Annual Report on Form 10-K or in any other report or document we file with the SEC.</w:t>
      </w:r>
    </w:p>
    <w:p>
      <w:pPr>
        <w:spacing w:after="0" w:line="17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risks are more fully described in this “Risk Factors” section, including the following:</w:t>
      </w:r>
    </w:p>
    <w:p>
      <w:pPr>
        <w:spacing w:after="0" w:line="117" w:lineRule="exact"/>
        <w:rPr>
          <w:sz w:val="20"/>
          <w:szCs w:val="20"/>
          <w:color w:val="auto"/>
        </w:rPr>
      </w:pPr>
    </w:p>
    <w:p>
      <w:pPr>
        <w:ind w:left="660" w:right="3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operations and financial performance may be materially adversely affected by the ongoing and evolving COVID-19 pandemic.</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maintain profitability in the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customers’ growing needs.</w:t>
      </w:r>
    </w:p>
    <w:p>
      <w:pPr>
        <w:spacing w:after="0" w:line="63" w:lineRule="exact"/>
        <w:rPr>
          <w:rFonts w:ascii="Arial" w:cs="Arial" w:eastAsia="Arial" w:hAnsi="Arial"/>
          <w:sz w:val="18"/>
          <w:szCs w:val="18"/>
          <w:color w:val="auto"/>
        </w:rPr>
      </w:pPr>
    </w:p>
    <w:p>
      <w:pPr>
        <w:ind w:left="660" w:right="14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brand, reputation and ability to attract, retain and serve our customers are dependent in part upon the reliable and accurate performance of our solutions, infrastructure and third-party suppliers. If we experience performance problems, or if our solutions fail to detect vulnerabilities or incorrectly detect vulnerabilities, or if they contain undetected errors or defects, our brand and reputation could be harmed.</w:t>
      </w:r>
    </w:p>
    <w:p>
      <w:pPr>
        <w:spacing w:after="0" w:line="41"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quarterly results of operations are likely to fluctuate significantly due to a wide range of factors, which makes our future results difficult to predict.</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offer solutions that address the dynamic cybersecurity landscape, we may not remain competitive.</w:t>
      </w:r>
    </w:p>
    <w:p>
      <w:pPr>
        <w:spacing w:after="0" w:line="35" w:lineRule="exact"/>
        <w:rPr>
          <w:rFonts w:ascii="Arial" w:cs="Arial" w:eastAsia="Arial" w:hAnsi="Arial"/>
          <w:sz w:val="18"/>
          <w:szCs w:val="18"/>
          <w:color w:val="auto"/>
        </w:rPr>
      </w:pPr>
    </w:p>
    <w:p>
      <w:pPr>
        <w:jc w:val="both"/>
        <w:ind w:left="660" w:right="24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third parties to maintain and operate certain elements of our network infrastructure.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our third-party channel partner network of distributors and resellers to generate a substantial amount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Our business, operations and financial performance may be materially adversely affected by the ongoing and evolving COVID-19 pandemic.</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business, operations and financial performance could be adversely affected by the effects of the ongoing and evolving COVID-19 pandemic, and such affect could be material; however, as of December 31, 2020, we have not seen a significant adverse impact to our financial position, results of operations, cash flows and liquidity as a result of the COVID-19 pandemic. The COVID-19 pandemic has resulted in travel and other restrictions in order to reduce the spread of the disease, including state and local orders across the United States and in countries in which we operate that, among other things, direct individuals to follow social distancing guidelines and or to shelter at their places of residence, direct businesses and governmental agencies to cease non-essential operations at physical locations, prohibit certain non-essential gatherings and events and order cessation of non-essential travel. In response to public health directives and orders, we have implemented work-from-home policies for our global workforce, including at our headquarters in Columbia, Maryland, and we have suspended work-related travel and in-person customer and sales interactions.</w:t>
      </w:r>
    </w:p>
    <w:p>
      <w:pPr>
        <w:spacing w:after="0" w:line="21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may adversely affect our business and our ability to generate sales of, and revenues from, our platform offerings. For example, substantially all of our field sales and other professional services are now being conducted remotely, and while we do not yet know if such remote operations will affect our ability to attract, retain or upsell customers, we anticipate that our revenue growth could be adversely impacted by the COVID-19 pandemic and weak global economic conditions.</w:t>
      </w:r>
    </w:p>
    <w:p>
      <w:pPr>
        <w:spacing w:after="0" w:line="20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also do not yet know the full effects of the ongoing COVID-19 pandemic on our partners, customers and service providers. Health concerns and political or governmental developments in response to COVID-19 could create or contribute to economic, social or labor instability or prolonged contractions in the industries in which our customers or partners operate. As a result, existing and potential customers have and may continue to choose to reduce or delay technology spending in response to the COVID-19 pandemic, or may attempt to renegotiate contracts and obtain concessions, which could materially and negatively impact our operating results, financial condition and prospects. Because our platform offerings are primarily sold on a subscription basis, any such adverse effects may not be fully reflected in our operating results until future periods, and such effects may be offset by temporary decreases in our expenses related to restrictions on the conduct of our business. We may incur additional costs when we resume business-related travel and return to the office, the timing and extent of which remains unknown.</w:t>
      </w:r>
    </w:p>
    <w:p>
      <w:pPr>
        <w:spacing w:after="0" w:line="21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COVID-19 pandemic continues to rapidly evolve. The full extent to which the COVID-19 pandemic impacts our business and operations will depend on future developments that are highly uncertain and cannot be predicted with confidence at the time of this Form 10-K, such as the duration of the outbreak, the duration and effect of business disruptions, the ultimate effectiveness of the travel restrictions, quarantines, social distancing requirements and business closures in the United States and other countries to contain and treat the disease, and the availability, timing and effectiveness of a vaccine, both domestically and globally. Accordingly, we do not yet know the full extent of potential impacts on our business and operations, or those of our partners and customers, or the global economy as a whole. The pandemic could adversely affect our revenue growth and financial results, and such affect could be material. Weak global economic conditions also may exacerbate the ongoing impact of the pandemic.</w:t>
      </w:r>
    </w:p>
    <w:p>
      <w:pPr>
        <w:spacing w:after="0" w:line="205"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historically incurred net losses, including net losses of $42.7 million, $99.0 million and $73.5 million in 2020, 2019 and 2018, respectively. As of December 31, 2020, we had an accumulated deficit of $607.9 million. Because the market for our offerings is highly competitive and rapidly evolving and these solutions have not yet reached widespread adoption, it is difficult for us to predict our future results of operations. Further, we do not yet know the full effects of the COVID-19 pandemic, which increases the difficulty in predicting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From 2019 to 2020, our revenue grew from $354.6 million to $440.2 million, representing year-over-year growth of 24%.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9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jc w:val="both"/>
        <w:ind w:right="42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including as a result of the COVID-19 pandemic,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76"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the COVID-19 pandemic, may not be immediately reflected in our revenue results for that period. This decline, however, will negatively affect our revenue in future periods. Accordingly, the effect of</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89"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including remote devices, or with third-party products, websites or services, our results of operations may be harmed.</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enterprise platform offerings, Tenable.io and Tenable.sc,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 careful planning and execution between our customers, our customer support teams and our channel partners. Further, when new or updated elements of our customers’ infrastructure, new usage trends, such as remote work during the COVID-19 pandemic,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1"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and accurate performance of our solutions, infrastructure and third-party suppliers. If we experience performance problems, or if our solutions fail to detect vulnerabilities or incorrectly detect vulnerabilities, or if they contain undetected errors or defects, our brand and reputation could be harmed.</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deliberate or unintentional human or software errors, capacity constraints and fraud or cybersecurity attacks. Any disruptions or other performance problems with our solutions could harm our reputation and business and may damage our customers’ businesses, including by interrupting their networking traffic or operational technology environments. Interruptions in our service delivery might reduce our revenue, cause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issue credits to customers, subject us to potential liability and cause customers to not renew their purchases of our solutions.</w:t>
      </w:r>
    </w:p>
    <w:p>
      <w:pPr>
        <w:spacing w:after="0" w:line="225"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In addition, if our solutions fail to detect vulnerabilities in our customers’ cybersecurity infrastructure, including for remote devices,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including the increased remote work environment during the COVID-19 pandemic.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adversely impact market acceptance of our products and could result in negative publicity, loss of customers and sales and increased costs to remedy any problem.</w:t>
      </w:r>
    </w:p>
    <w:p>
      <w:pPr>
        <w:spacing w:after="0" w:line="21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experienced errors or defects in the past in connection with the release of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or operational technology environments, any of which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Threats from bad actors and advanced new attacks against information systems increase risk of cybersecurity incidents. These incidents can include, but are not limited to, gaining unauthorized access to digital systems for purposes of misappropriating assets or sensitive information, corrupting data or causing operational disruption. Because the techniques used to obtain unauthorized access, insert malicious code or other otherwise sabotage systems change frequently and may not immediately produce signs of intrusion, we may be unable to implement adequate preventative measures or timely discover these intrusions. An actual or perceived security breach or theft of the sensitive data of ours, one of our customers or partners, regardless of whether the breach is attributable to the failure of our solutions, could adversely affect the market’s perception of our brand and our offerings and subject us to legal claims.</w:t>
      </w:r>
    </w:p>
    <w:p>
      <w:pPr>
        <w:spacing w:after="0" w:line="185"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that of our partners and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 including remote devices;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right="560" w:hanging="328"/>
        <w:spacing w:after="0" w:line="23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 (including security breaches by our service providers or vendors);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63"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63"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third-party cloud infrastructure costs and facilities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6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6"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offer solutions that address the dynamic cybersecurity landscape, we may not remain competitive.</w:t>
      </w:r>
    </w:p>
    <w:p>
      <w:pPr>
        <w:spacing w:after="0" w:line="175"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industry is evolving rapidly and is becoming increasingly competitive. Companies that are larger and more established than us are focusing on cybersecurity and could directly compete with us. For example, in 2019 Microsoft introduced a vulnerability management offering as part of their existing endpoint security platform. Smaller companies could also launch new products and services that we do not offer and that could gain market acceptance quickly.</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some of our larger competitors have substantially broader product offerings and can bundle competing products and services with other software offerings which customers may choose even if individual products have more limited functionality than our solutions. These competitors may also offer their products at a lower price, which could increase pricing pressure on our offerings and cause the average sales price for our offerings to decline. These larger competitors are also often better positioned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Additionally, the cybersecurity market is characterized by very rapid technological advances, changes in customer requirements, frequent new product introductions and enhancements and evolving industry standards. Our success depends on continued innovation to provide features that make our solutions responsive to the cybersecurity landscape, including the shift to employees working from home during the COVID-19 pandemic. Developing new solutions and product enhancements is uncertain, expensive and time-consuming,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 Our competitors may be able to respond more quickly and effectively than we can to new or changing opportunities, technologies, standards or customer requirements or new or evolving attacks by, or indicators of compromise that identify, cyber bad actors.</w:t>
      </w:r>
    </w:p>
    <w:p>
      <w:pPr>
        <w:spacing w:after="0" w:line="211" w:lineRule="exact"/>
        <w:rPr>
          <w:sz w:val="20"/>
          <w:szCs w:val="20"/>
          <w:color w:val="auto"/>
        </w:rPr>
      </w:pPr>
    </w:p>
    <w:p>
      <w:pPr>
        <w:ind w:right="200" w:firstLine="324"/>
        <w:spacing w:after="0" w:line="270" w:lineRule="auto"/>
        <w:rPr>
          <w:sz w:val="20"/>
          <w:szCs w:val="20"/>
          <w:color w:val="auto"/>
        </w:rPr>
      </w:pPr>
      <w:r>
        <w:rPr>
          <w:rFonts w:ascii="Arial" w:cs="Arial" w:eastAsia="Arial" w:hAnsi="Arial"/>
          <w:sz w:val="17"/>
          <w:szCs w:val="17"/>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which may enable them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7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resulting from the ongoing COVID-19 pandemic,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Annual Report on Form 10-K.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right="76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and to the extent we continue to enter into larger deals, our average sales cycle is likely to increase. Further, the length of time that potential customers devote to their testing and evaluation, contract negotiation and budgeting processes varies significantly, depending on the size of the organization and nature of the product or service under consideration. The COVID-19 pandemic has also impacted the budgets and purchasing decisions and processes of certain of our customers and prospective customers, some of whom have added additional controls on expenditures and require additional internal approvals of expenditures, even if relatively small in dollar amount, all of which could lengthen our sales cycle.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8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For example,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w:t>
      </w:r>
    </w:p>
    <w:p>
      <w:pPr>
        <w:spacing w:after="0" w:line="20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United States and globally, governments and agencies have adopted, and could in the future adopt, modify, apply or enforce laws, policies, regulations, and standards covering data subject privacy, data security, technologies such as cookies that are 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or the Privacy Shield, the efficacy and longevity of these mechanisms remains uncertain. For example, the European Court of Justice recently invalidated the use of the Privacy Shield, which had enabled the transfer of personal data</w:t>
      </w:r>
    </w:p>
    <w:p>
      <w:pPr>
        <w:spacing w:after="0" w:line="2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from the European Union to the United States for companies like us that were self-certified under the Privacy Shield. The ECJ also called into question the use of the standard contractual clauses. As we are no longer able to rely on the Privacy Shield, our costs could increase and our ability to efficiently process personal data from the European Union could be negatively impacted. In addition, there are various activities in the European Union that could lead to the invalidation of the standard contractual clauses as accepted mechanisms for transferring personal data of European Union data subjects across borders, which could require us to implement costly substitutions for the data transfers we undertake in order to perform our services, or prevent such transfers entirely. Further, local data protection authorities general may have different interpretations of the GDPR, leading to potential inconsistencies amongst various EU states.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exit by the United Kingdom from the EU, or Brexit, took effect in January 2020, which will lead to further legislative and</w:t>
      </w:r>
    </w:p>
    <w:p>
      <w:pPr>
        <w:spacing w:after="0" w:line="5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regulatory changes. While the Data Protection Act of 2018, that “implements” and complements the GDPR achieved Royal Assent on May 23, 2018 and is now effective in the United Kingdom, it is still unclear whether transfer of data from the EEA to the United Kingdom will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remain lawful in the long term under GDPR. With the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of the transition period on December 31, 2020, companies will have to comply with the GDPR and the GDPR as incorporated into United Kingdom national law, which has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 We may incur liabilities, expenses, costs, and other operational losses under GDPR and applicable EU Member States and the United Kingdom privacy laws in connection with any measures we take to comply with them.</w:t>
      </w:r>
    </w:p>
    <w:p>
      <w:pPr>
        <w:spacing w:after="0" w:line="20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the California Consumer Privacy Act, or the CCPA, went into effect on January 1, 2020 and creates new individual privacy rights for consumers and places increased privacy and security obligations on entities handling the personal data of consumers or households. The CCPA requires covered businesses to provide new disclosures to California consumers, which could include our employees residing in California based on the broad definitions in the law, to provide such consumers new ways to opt out of certain sales of personal information and to allow for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New legislation proposed or enacted in various other states will continue to shape the data privacy environment nationally.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207"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If we are investigated by an applicable data protection authority or are determined to have not complied with applicable laws, we may face fines and other penalties. Any such investigation or charges by applicable data protection authorities could have a negative effect on our existing business and on our ability to attract and retain new customers.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81" w:lineRule="exact"/>
        <w:rPr>
          <w:sz w:val="20"/>
          <w:szCs w:val="20"/>
          <w:color w:val="auto"/>
        </w:rPr>
      </w:pPr>
    </w:p>
    <w:p>
      <w:pPr>
        <w:ind w:right="700" w:firstLine="324"/>
        <w:spacing w:after="0" w:line="287" w:lineRule="auto"/>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2020, 2019 and 2018, we derived 91%, 90% and 88%, respectively, of our revenue from subscriptions and perpetual licenses sold through channel partners, and the percentage of revenue derived from channel partners may continue to increase in future periods. Ingram Micro, Inc., a distributor, accounted for 43%, 43% and 46% of our revenue in 2020, 2019 and 2018, respectively, and 41% of our accounts receivable as of December 31, 2020 and 40% as of December 31, 2019.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the COVID-19 pandemic,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3"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22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0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2"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20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3"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 Lumin does not garner widespread market adoption and implementation, our operating results and competitive position could suffer.</w:t>
      </w:r>
    </w:p>
    <w:p>
      <w:pPr>
        <w:spacing w:after="0" w:line="208" w:lineRule="exact"/>
        <w:rPr>
          <w:sz w:val="20"/>
          <w:szCs w:val="20"/>
          <w:color w:val="auto"/>
        </w:rPr>
      </w:pPr>
    </w:p>
    <w:p>
      <w:pPr>
        <w:jc w:val="both"/>
        <w:ind w:right="140" w:firstLine="324"/>
        <w:spacing w:after="0" w:line="291"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74"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90" w:lineRule="exact"/>
        <w:rPr>
          <w:sz w:val="20"/>
          <w:szCs w:val="20"/>
          <w:color w:val="auto"/>
        </w:rPr>
      </w:pPr>
    </w:p>
    <w:p>
      <w:pPr>
        <w:ind w:left="660" w:right="70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predict market demand accurately, including changes in demand as a result of the COVID-19 pandemic, in terms of functionality and to supply offerings that meets this demand in a timely fashion;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63"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the COVID-19 pandemic, causing them to delay or forgo IT purchases;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80"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6"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6"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39% and 37% of our revenue in 2020 and 2019,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right="2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 implemented by the current U.S. administration;</w:t>
      </w:r>
    </w:p>
    <w:p>
      <w:pPr>
        <w:spacing w:after="0" w:line="35"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recent exit from the European Union and the corresponding impact on its ongoing legal, political, and economic relationship with the European Union;</w:t>
      </w:r>
    </w:p>
    <w:p>
      <w:pPr>
        <w:spacing w:after="0" w:line="35" w:lineRule="exact"/>
        <w:rPr>
          <w:rFonts w:ascii="Arial" w:cs="Arial" w:eastAsia="Arial" w:hAnsi="Arial"/>
          <w:sz w:val="18"/>
          <w:szCs w:val="18"/>
          <w:color w:val="auto"/>
        </w:rPr>
      </w:pPr>
    </w:p>
    <w:p>
      <w:pPr>
        <w:ind w:left="660" w:right="7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travel restrictions resulting from the COVID-19 pandemic, including restrictions on U.S. travelers from entering some foreign countries;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labor regulations in foreign jurisdictions where labor laws are generally more advantageous to employees, including deemed hourly wage and overtime regulations in these locations;</w:t>
      </w:r>
    </w:p>
    <w:p>
      <w:pPr>
        <w:spacing w:after="0" w:line="35"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39"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35"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for political unrest, pandemics, acts of terrorism, hostilities or war;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25" w:lineRule="exact"/>
        <w:rPr>
          <w:sz w:val="20"/>
          <w:szCs w:val="20"/>
          <w:color w:val="auto"/>
        </w:rPr>
      </w:pPr>
    </w:p>
    <w:p>
      <w:pPr>
        <w:jc w:val="both"/>
        <w:ind w:right="280" w:firstLine="324"/>
        <w:spacing w:after="0" w:line="250"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86"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9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person insurance on any of our executive officers or key employees. Our senior management and key employees are employed on an at-will basis, which means that they could terminate their employment with us at any time. The loss of any of our senior management or key employees could adversely affect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ability to execute our business plan, and we may not be able to find adequate replacements. We cannot ensure that we will be able to retain the services of any members of our senior management or other key employees.</w:t>
      </w:r>
    </w:p>
    <w:p>
      <w:pPr>
        <w:spacing w:after="0" w:line="19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is intense. If we do not succeed in attracting well-qualified employees or retaining and motivating existing employees, our business would be adversely affected.</w:t>
      </w:r>
    </w:p>
    <w:p>
      <w:pPr>
        <w:spacing w:after="0" w:line="202"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In addition, our ability to increase our customer base and achieve broader market acceptance of our Cyber Exposure solutions will depend to a significant extent on our ability to expand our sales force and our third-party channel partner network of distributors and resellers, both domestically and internationally. We may not be successful in attracting and retaining talented sales personnel or strategic partners, and any new sales personnel or strategic partners may not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210"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Our employees have been working remotely due to the COVID-19 pandemic, which may pose additional security risks. In the event of a major hurricane, earthquake or catastrophic event such as fire, power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telecommunications failure, cyberattack, war or terrorist attack, or epidemic or pandemic, such as the COVID-19 pandemic, that impacts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4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have in the past acquired products, technologies and businesses from other parties, such as our recent acquisition of Indegy Ltd. in December 2019, and we may choose to expand our current business by acquiring additional businesses or technologies in the future. Acquisitions, including the Indegy acquisition, involve many risks, including the following:</w:t>
      </w:r>
    </w:p>
    <w:p>
      <w:pPr>
        <w:spacing w:after="0" w:line="94" w:lineRule="exact"/>
        <w:rPr>
          <w:sz w:val="20"/>
          <w:szCs w:val="20"/>
          <w:color w:val="auto"/>
        </w:rPr>
      </w:pPr>
    </w:p>
    <w:p>
      <w:pPr>
        <w:ind w:left="660" w:right="14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4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3"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63"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6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credit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satisfactory to us when we require it, our ability to continue to support our business growth and to respond to business challenges could be significantly impaired, and our business may be adversely affected.</w:t>
      </w:r>
    </w:p>
    <w:p>
      <w:pPr>
        <w:spacing w:after="0" w:line="176"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If there are significant changes in current principles, financial reporting standards or interpretations, or if our estimates or judgments relating to our critical accounting policies prove to be incorrect, we may experience unexpected financial reporting fluctuations and our results of operations could be adversely affected.</w:t>
      </w:r>
    </w:p>
    <w:p>
      <w:pPr>
        <w:spacing w:after="0" w:line="19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204"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of this report titled “Management’s Discussion and Analysis of Financial Condition and Results of Operations.”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We might be required to change our accounting policies, alter our operational policies and implement new or enhance existing systems, or we may be required to restate our published financial statements, as a result of new standards, changes to existing standards and changes in their interpretation.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5"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contractual protections in the United States and other jurisdictions, all of which provide only limited protection and may not now or in the future provide us with a competitive advantage.</w:t>
      </w:r>
    </w:p>
    <w:p>
      <w:pPr>
        <w:spacing w:after="0" w:line="19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of December 31, 2020, we had 21 issued patents and nine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trademarks and our Tenable logo in the United States and certain other countries. We have registrations and/or pending applications for additional trademarks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0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1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0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7"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63"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35" w:lineRule="exact"/>
        <w:rPr>
          <w:rFonts w:ascii="Arial" w:cs="Arial" w:eastAsia="Arial" w:hAnsi="Arial"/>
          <w:sz w:val="18"/>
          <w:szCs w:val="18"/>
          <w:color w:val="auto"/>
        </w:rPr>
      </w:pPr>
    </w:p>
    <w:p>
      <w:pPr>
        <w:ind w:left="660" w:right="80" w:hanging="328"/>
        <w:spacing w:after="0" w:line="291"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spacing w:after="0" w:line="11" w:lineRule="exact"/>
        <w:rPr>
          <w:rFonts w:ascii="Arial" w:cs="Arial" w:eastAsia="Arial" w:hAnsi="Arial"/>
          <w:sz w:val="17"/>
          <w:szCs w:val="17"/>
          <w:color w:val="auto"/>
        </w:rPr>
      </w:pPr>
    </w:p>
    <w:p>
      <w:pPr>
        <w:ind w:left="660" w:right="4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including in connection with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3"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9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by us or our stockholders, or the perception such sales might occur, could reduce the price that our common stock might otherwise attain.</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 Further, the number of new shares of our common stock issued by us in connection with raising additional capital in connection with a financing, acquisition, investment or otherwise could result in substantial dilution to our existing stockholders.</w:t>
      </w:r>
    </w:p>
    <w:p>
      <w:pPr>
        <w:spacing w:after="0" w:line="20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6" w:lineRule="exact"/>
        <w:rPr>
          <w:sz w:val="20"/>
          <w:szCs w:val="20"/>
          <w:color w:val="auto"/>
        </w:rPr>
      </w:pPr>
    </w:p>
    <w:p>
      <w:pPr>
        <w:ind w:right="98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credit agreement with Silicon Valley Bank contains restrictive covenants that prohibit us, subject to certain exceptions, from paying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right="8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35" w:lineRule="exact"/>
        <w:rPr>
          <w:rFonts w:ascii="Arial" w:cs="Arial" w:eastAsia="Arial" w:hAnsi="Arial"/>
          <w:sz w:val="18"/>
          <w:szCs w:val="18"/>
          <w:color w:val="auto"/>
        </w:rPr>
      </w:pPr>
    </w:p>
    <w:p>
      <w:pPr>
        <w:ind w:left="660" w:right="22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9"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5" w:lineRule="exact"/>
        <w:rPr>
          <w:rFonts w:ascii="Arial" w:cs="Arial" w:eastAsia="Arial" w:hAnsi="Arial"/>
          <w:sz w:val="18"/>
          <w:szCs w:val="18"/>
          <w:color w:val="auto"/>
        </w:rPr>
      </w:pPr>
    </w:p>
    <w:p>
      <w:pPr>
        <w:ind w:left="660" w:right="28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39" w:lineRule="exact"/>
        <w:rPr>
          <w:rFonts w:ascii="Arial" w:cs="Arial" w:eastAsia="Arial" w:hAnsi="Arial"/>
          <w:sz w:val="18"/>
          <w:szCs w:val="18"/>
          <w:color w:val="auto"/>
        </w:rPr>
      </w:pPr>
    </w:p>
    <w:p>
      <w:pPr>
        <w:ind w:left="660" w:right="12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41"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39" w:lineRule="exact"/>
        <w:rPr>
          <w:rFonts w:ascii="Arial" w:cs="Arial" w:eastAsia="Arial" w:hAnsi="Arial"/>
          <w:sz w:val="18"/>
          <w:szCs w:val="18"/>
          <w:color w:val="auto"/>
        </w:rPr>
      </w:pPr>
    </w:p>
    <w:p>
      <w:pPr>
        <w:ind w:left="660" w:right="40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3"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9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our directors, officers or other employees to us or our stockholders;</w:t>
      </w:r>
    </w:p>
    <w:p>
      <w:pPr>
        <w:spacing w:after="0" w:line="6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provisions of the Delaware General Corporation Law, our amended and restated certificate of incorporation or our amended and restated bylaws; or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significant additional costs associated with resolving the dispute in other jurisdictions, all of which could seriously harm our business.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Risks</w:t>
      </w:r>
    </w:p>
    <w:p>
      <w:pPr>
        <w:spacing w:after="0" w:line="2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anti-bribery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9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1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i w:val="1"/>
          <w:iCs w:val="1"/>
          <w:color w:val="auto"/>
        </w:rPr>
        <w:t>Uncertainties in the interpretation and application of applicable tax laws could materially affect our tax obligations and effective tax rate. Our operating results may be negatively affected if we are required to pay additional taxes, including sales and use tax, value added tax, or other transaction taxes, and we could be subject to liability with respect to all or a portion of past or future sales.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regimes to which we are subject or under which we operate, including income and non-income taxes, are unsettled and may be</w:t>
      </w:r>
    </w:p>
    <w:p>
      <w:pPr>
        <w:spacing w:after="0" w:line="5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subject to significant change. For example, the 2017 Tax Cuts and Jobs Act, or the Tax Act, as modified in 2020 by the Coronavirus Aid, Relief, and Economic Security Act, or the CARES Act, made broad and complex changes to the U.S. tax code, including changes to U.S. federal tax rates, additional limitations on the deductibility of interest, both positive and negative changes to the utilization of future net operating loss, or NOL, carryforwards, allowing for the expensing of certain capital expenditures, and putting into effect a modified territorial system. The issuance of additional regulatory or accounting guidance related to the Tax Act, or changes proposed or implemented by in the new Presidential administration or otherwise, could materially affect our tax obligations and effective tax rate.</w:t>
      </w:r>
    </w:p>
    <w:p>
      <w:pPr>
        <w:spacing w:after="0" w:line="208"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addition, 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such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of December 31, 2020 we had U.S. federal, state and foreign NOL, of $254.7 million, $188.5 million, and $209.8 million, respectively, available to offset future taxable income, some of which begin to expire in 2030. Federal NOLs incurred in taxable years beginning after December 31, 2017 can be carried forward indefinitely, but the deductibility of federal NOLs in taxable years beginning after December 31, 2020, is subject to certain limitations. A lack of future taxable income would adversely affect our ability to utilize these NOLs before they expire.</w:t>
      </w:r>
    </w:p>
    <w:p>
      <w:pPr>
        <w:spacing w:after="0" w:line="20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if one or more stockholders or groups of stockholders that own at least 5% of the company’s stock increase their ownership by more than 50 percentage points over their lowest ownership percentage within a rolling three-year period. Similar rules may apply under state tax laws. Based upon an analysis as of December 31, 2020, we determined that we do not expect these limitations to materially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or state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the NOLs, even if we achieve profitability.</w:t>
      </w:r>
    </w:p>
    <w:p>
      <w:pPr>
        <w:spacing w:after="0" w:line="189" w:lineRule="exact"/>
        <w:rPr>
          <w:sz w:val="20"/>
          <w:szCs w:val="20"/>
          <w:color w:val="auto"/>
        </w:rPr>
      </w:pPr>
    </w:p>
    <w:p>
      <w:pPr>
        <w:jc w:val="both"/>
        <w:ind w:right="420" w:firstLine="324"/>
        <w:spacing w:after="0" w:line="268"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204"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tab/>
        <w:t>Unresolved Staff Comments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2020, we moved into our new corporate headquarters, which is located near our former headquarters in Columbia, Maryland. Our new corporate headquarters consist of approximately 160,000 square feet under a lease that expires in February 2032. We maintain additional offices in multiple locations in the United States and internationally in Europe and the Middle East, Asia Pacific and South America. We believe that our current facilities are adequate to meet our ongoing needs and that suitable additional alternative spaces will be available in the future on commercially reasonable terms.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trades on the Nasdaq Global Select Market under the ticker symbol "TENB."</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47" w:lineRule="exact"/>
        <w:rPr>
          <w:sz w:val="20"/>
          <w:szCs w:val="20"/>
          <w:color w:val="auto"/>
        </w:rPr>
      </w:pPr>
    </w:p>
    <w:p>
      <w:pPr>
        <w:jc w:val="both"/>
        <w:ind w:right="560" w:firstLine="324"/>
        <w:spacing w:after="0" w:line="261" w:lineRule="auto"/>
        <w:rPr>
          <w:sz w:val="20"/>
          <w:szCs w:val="20"/>
          <w:color w:val="auto"/>
        </w:rPr>
      </w:pPr>
      <w:r>
        <w:rPr>
          <w:rFonts w:ascii="Arial" w:cs="Arial" w:eastAsia="Arial" w:hAnsi="Arial"/>
          <w:sz w:val="18"/>
          <w:szCs w:val="18"/>
          <w:color w:val="auto"/>
        </w:rPr>
        <w:t>At December 31, 2020, we had 24 holders of record. Because many of our shares of common stock are held by brokers and other institutions on behalf of stockholders, we are unable to estimate the total number of stockholders represented by these record holders.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never declared or paid any dividends on our common stock. In addition, our loan and security agreement with Silicon Valley Bank contains restrictive covenants that prohibit us, subject to certain exceptions, from paying dividends on our common stock. We currently intend to retain all available funds and any future earnings for the operation and expansion of our business and do not anticipate declaring or paying cash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 from IPO</w:t>
      </w:r>
    </w:p>
    <w:p>
      <w:pPr>
        <w:spacing w:after="0" w:line="24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4"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jc w:val="both"/>
        <w:ind w:right="140" w:firstLine="324"/>
        <w:spacing w:after="0" w:line="261"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2020, 2019 and 2018 and the selected consolidated balance sheet data as of December 31, 2020 and 2019 are derived from our audited consolidated financial statements included in this Annual Report on Form 10-K. The consolidated statements of operations data for the years ended December 31, 2017 and 2016 and consolidated balance sheet data as of December 31, 2018, 2017 and 2016 are from our audited financial statements not included in this Annual Report on Form 10-K.</w:t>
      </w:r>
    </w:p>
    <w:p>
      <w:pPr>
        <w:spacing w:after="0" w:line="205"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You should read the following selected financial data with the historical consolidated financial statements and related notes to those statements, as well as “Management’s Discussion and Analysis of Financial Condition and Results of Operations,” included in this Annual Report on Form 10-K.</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224"/>
        </w:trPr>
        <w:tc>
          <w:tcPr>
            <w:tcW w:w="4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124,371</w:t>
            </w:r>
          </w:p>
        </w:tc>
      </w:tr>
      <w:tr>
        <w:trPr>
          <w:trHeight w:val="229"/>
        </w:trPr>
        <w:tc>
          <w:tcPr>
            <w:tcW w:w="44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14,219</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110,152</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85,736</w:t>
            </w:r>
          </w:p>
        </w:tc>
      </w:tr>
      <w:tr>
        <w:trPr>
          <w:trHeight w:val="230"/>
        </w:trPr>
        <w:tc>
          <w:tcPr>
            <w:tcW w:w="446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101,687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40,085</w:t>
            </w:r>
          </w:p>
        </w:tc>
      </w:tr>
      <w:tr>
        <w:trPr>
          <w:trHeight w:val="229"/>
        </w:trPr>
        <w:tc>
          <w:tcPr>
            <w:tcW w:w="4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20,164</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384,567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296,774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202,899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145,985</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(35,833)</w:t>
            </w: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(85,649)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(36,365)</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(73,521)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(37,208)</w:t>
            </w:r>
          </w:p>
        </w:tc>
      </w:tr>
      <w:tr>
        <w:trPr>
          <w:trHeight w:val="188"/>
        </w:trPr>
        <w:tc>
          <w:tcPr>
            <w:tcW w:w="4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Accretion of Series A and B redeemable convertible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7"/>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(41,785)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(37,971)</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178"/>
        </w:trPr>
        <w:tc>
          <w:tcPr>
            <w:tcW w:w="4460" w:type="dxa"/>
            <w:vAlign w:val="bottom"/>
          </w:tcPr>
          <w:p>
            <w:pPr>
              <w:ind w:left="20"/>
              <w:spacing w:after="0" w:line="178" w:lineRule="exact"/>
              <w:rPr>
                <w:sz w:val="20"/>
                <w:szCs w:val="20"/>
                <w:color w:val="auto"/>
              </w:rPr>
            </w:pPr>
            <w:r>
              <w:rPr>
                <w:rFonts w:ascii="Arial" w:cs="Arial" w:eastAsia="Arial" w:hAnsi="Arial"/>
                <w:sz w:val="18"/>
                <w:szCs w:val="18"/>
                <w:color w:val="auto"/>
              </w:rPr>
              <w:t>Net loss per share attributable to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7"/>
        </w:trPr>
        <w:tc>
          <w:tcPr>
            <w:tcW w:w="4460" w:type="dxa"/>
            <w:vAlign w:val="bottom"/>
          </w:tcPr>
          <w:p>
            <w:pPr>
              <w:ind w:left="20"/>
              <w:spacing w:after="0" w:line="228"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23"/>
                <w:szCs w:val="23"/>
                <w:color w:val="auto"/>
                <w:vertAlign w:val="superscript"/>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188"/>
        </w:trPr>
        <w:tc>
          <w:tcPr>
            <w:tcW w:w="4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Weighted-average shares used to compute net loss per</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5"/>
        </w:trPr>
        <w:tc>
          <w:tcPr>
            <w:tcW w:w="44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share attributable to common stockholders, basic and</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7"/>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20,974</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140" w:firstLine="8"/>
        <w:spacing w:after="0" w:line="291" w:lineRule="auto"/>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We adopted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on January 1, 2017 using the modified retrospective method. The 2016 consolidated statement of operations was not adjusted for the adoption of ASC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2016</w:t>
            </w: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2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48"/>
        </w:trPr>
        <w:tc>
          <w:tcPr>
            <w:tcW w:w="4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40" w:firstLine="8"/>
        <w:spacing w:after="0" w:line="261"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11 to our consolidated financial statements in this Annual Report on Form 10-K for details on the calculation of basic and diluted net loss per share attributable to common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34,470</w:t>
            </w:r>
          </w:p>
        </w:tc>
      </w:tr>
      <w:tr>
        <w:trPr>
          <w:trHeight w:val="230"/>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Working capital (deficit)</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91"/>
              <w:spacing w:after="0"/>
              <w:rPr>
                <w:sz w:val="20"/>
                <w:szCs w:val="20"/>
                <w:color w:val="auto"/>
              </w:rPr>
            </w:pPr>
            <w:r>
              <w:rPr>
                <w:rFonts w:ascii="Arial" w:cs="Arial" w:eastAsia="Arial" w:hAnsi="Arial"/>
                <w:sz w:val="18"/>
                <w:szCs w:val="18"/>
                <w:color w:val="auto"/>
                <w:w w:val="98"/>
              </w:rPr>
              <w:t>142,484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(18,538)</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105,494</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Deferred revenue, current and non-current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363,127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289,903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225,818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107,447</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276,972</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(607,852)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(565,121)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71"/>
              <w:spacing w:after="0"/>
              <w:rPr>
                <w:sz w:val="20"/>
                <w:szCs w:val="20"/>
                <w:color w:val="auto"/>
              </w:rPr>
            </w:pPr>
            <w:r>
              <w:rPr>
                <w:rFonts w:ascii="Arial" w:cs="Arial" w:eastAsia="Arial" w:hAnsi="Arial"/>
                <w:sz w:val="18"/>
                <w:szCs w:val="18"/>
                <w:color w:val="auto"/>
              </w:rPr>
              <w:t>(466,108)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(313,147)</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8"/>
              </w:rPr>
              <w:t>121,763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(301,918)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260" w:firstLine="8"/>
        <w:spacing w:after="0" w:line="25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define working capital (deficit) as total current assets less total current liabilities. See our consolidated financial statements in this Annual Report on Form 10-K for further details regarding our current assets and current liabilities. Changes in working capital (deficit) between 2016 and 2017 reflect increases in deferred revenue and deferred commissions as a result of our subscription model and our adoption of ASC 606 on January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6" w:lineRule="exact"/>
        <w:rPr>
          <w:sz w:val="20"/>
          <w:szCs w:val="20"/>
          <w:color w:val="auto"/>
        </w:rPr>
      </w:pPr>
    </w:p>
    <w:p>
      <w:pPr>
        <w:ind w:right="280" w:firstLine="324"/>
        <w:spacing w:after="0" w:line="22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or this Form 10-K. This Form</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i w:val="1"/>
          <w:iCs w:val="1"/>
          <w:color w:val="auto"/>
        </w:rPr>
        <w:t>10-K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Form 10-K and in our other filings with the SEC. Such risks and uncertainties may be amplified by the COVID-19 pandemic and its potential impact on our business and the global economy.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We are a leading provider of Cyber Exposure solutions. Cyber Exposure is a discipline for managing, measuring and comparing cybersecurity risk in the digital era.</w:t>
      </w:r>
    </w:p>
    <w:p>
      <w:pPr>
        <w:spacing w:after="0" w:line="19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enterprise platform offerings include Tenable.io, which is our cloud-delivered software as a service, or SaaS, offering and Tenable.sc, which is our on-premises offering, both of which provide organizations with a risk-based view of traditional and modern attack surfaces. These applications are designed with views, workflows and dashboards to deliver a complete and continuous view of all assets, both known and previously unknown, and any associated vulnerabilities, internal and regulatory compliance violations, misconfigurations and other cybersecurity issues, prioritize these issues for remediation based on risk assessment and predictive analytics, and provide insightful remediation guidance.</w:t>
      </w:r>
    </w:p>
    <w:p>
      <w:pPr>
        <w:spacing w:after="0" w:line="20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enterprise platform offerings also include Tenable.ot, which is our on-premises solution that provides threat detection and mitigation, asset tracking, vulnerability management, and configuration control capabilities to protect OT environments, including industrial networks. Tenable.ot is sold as a stand-alone solution and integrates with Tenable.io and Tenable.sc.</w:t>
      </w:r>
    </w:p>
    <w:p>
      <w:pPr>
        <w:spacing w:after="0" w:line="20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a one-year term. Our subscription terms are generally not longer than three years. These offerings are typically prepaid in advance. To a lesser extent, we recognize revenue ratably from perpetual licenses and from the related ongoing maintenance.</w:t>
      </w:r>
    </w:p>
    <w:p>
      <w:pPr>
        <w:spacing w:after="0" w:line="20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most widely deployed vulnerability assessment solutions in the cybersecurity industry. Nessus, which is the technology that underpins our enterprise platform offerings, is designed to quickly and accurately identify security vulnerabilities, configuration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many users to continue to use Nessus Essentials.</w:t>
      </w:r>
    </w:p>
    <w:p>
      <w:pPr>
        <w:spacing w:after="0" w:line="20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There have been more than 2.5 million cumulative unique downloads, which refers to an individual email address utilized to register for the use of Nessus Essentials. We believe that the cumulative number of unique downloads of the free version of Nessus is representative of our brand recognition among cybersecurity professionals and that continued growth in this number suggests broader awareness among potential customers. While we believe that the cumulative number of unique downloads may provide an indication of the growth and scale of our thought leadership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awareness, we do not expect this metric to necessarily correlate to future revenue growth opportunities, and we do not consider this metric a measure of our operating performance.</w:t>
      </w:r>
    </w:p>
    <w:p>
      <w:pPr>
        <w:spacing w:after="0" w:line="19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Revenue in 2020, 2019 and 2018 was $440.2 million, $354.6 million and $ 267.4 million, respectively, representing year-over-year growth of 24% and 33%, respectively. Our recurring revenue, which includes revenue from subscription arrangements for software and cloud-based solutions and maintenance associated with perpetual licenses, represented 93.6%, 91.8% and 89.4% of revenue in 2020, 2019 and 2018, respectively. Our net loss in 2020, 2019 and 2018 was $42.7 million, $99.0 million and $73.5 million, respectively, as we continue to invest in our business and market opportunity. Our cash flows from operating activities were $64.2 million, $(10.7) million and $(2.6) million in 2020, 2019 and 2018,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Update</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continue to monitor the impact of the COVID-19 pandemic on our customers, partners, employees and service providers. While in the near term we may experience reductions in our billing and revenue growth rates, we are proactively managing our expenditures, including reductions of non-critical and discretionary expenses such as travel, meeting and facility usage costs, while preserving strategic investments in sales capacity and research and development. This has and may continue to result in improved leverage related to gross margins as well as sales and marketing, research and development, and general and administrative expenses as a percent of revenue. The full extent to which the COVID-19 pandemic will impact our business and operations will depend on future developments that are highly uncertain. We may incur additional costs when we resume business-related travel and return to the office, the timing and extent of which remains unknown. For additional information on the potential effects of the COVID-19 pandemic on our business, financial condition and results of operations, see the "Liquidity and Capital Resources" section below and “Risk Factors” in Part I, Item 1A of this Form 10-K.</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267,360</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(72,581)</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(73,521)</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(5,733)</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enterprise platform offerings provide visibility into the broadest range of traditional and modern IT assets across cloud and on-premises environments. We are intensely focused on continued innovation and ongoing development of our enterprise platform offerings that empower organizations to understand and reduce their cyber exposure. Additionally, we continue to expand the capabilities of our Nessus products, specifically as they relate to the ability to scan for and detect the rapidly expanding volume of vulnerabilities.</w:t>
      </w:r>
    </w:p>
    <w:p>
      <w:pPr>
        <w:spacing w:after="0" w:line="20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the number of enterprise platform customers will increase future opportunities for renewals and follow-on sales. We believe that we have significant room to increase our market share.</w:t>
      </w:r>
    </w:p>
    <w:p>
      <w:pPr>
        <w:spacing w:after="0" w:line="20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invest in our partner network and sales and marketing capability in order to grow domestically and internationally.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IoT and OT, they often increase the scope of their subscriptions and/or add additional perpetual licenses to our enterprise platforms.</w:t>
      </w:r>
    </w:p>
    <w:p>
      <w:pPr>
        <w:spacing w:after="0" w:line="20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these customers to our enterprise platform offerings, which provide continuous visibility and insights into their attack surface, as their needs develop.</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we plan to expand existing platform capabilities and launch new products,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 However, our ability to increase sales to existing customers will depend on a number of factors, including satisfaction or dissatisfaction with our products and services, competition, pricing, current economic conditions or overall changes in our and our clients' spending levels.</w:t>
      </w:r>
    </w:p>
    <w:p>
      <w:pPr>
        <w:spacing w:after="0" w:line="208"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We evaluate our ability to expand sales with existing customers by assessing our dollar-based net expansion rate on a last twelve months, or LTM, basis. We calculate our dollar-based net expansion rate as follows:</w:t>
      </w:r>
    </w:p>
    <w:p>
      <w:pPr>
        <w:spacing w:after="0" w:line="198" w:lineRule="exact"/>
        <w:rPr>
          <w:sz w:val="20"/>
          <w:szCs w:val="20"/>
          <w:color w:val="auto"/>
        </w:rPr>
      </w:pPr>
    </w:p>
    <w:p>
      <w:pPr>
        <w:ind w:left="660" w:right="120" w:hanging="328"/>
        <w:spacing w:after="0" w:line="25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Our dollar-based net expansion rate for 2020 was approximately 110% on an LTM basis, which was a decline from prior years and was impacted by a more moderate pace of IT asset and IP address expansion in the current economic environment. Our dollar-based net expansion rate may further decline or fluctuate from quarter to quarter if our existing customers choose to reduce or delay technology spending in response to economic conditions resulting from the COVID-19 pandemic, or as a result of a number of other factors, including our existing customers' satisfaction with our solutions, the pricing of our solutions and the ability of competing solutions and the pricing thereof.</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We may also explore acquisitions of businesses, technology and/or development personnel that will expand and enhance the functionality of our platform offerings. These investment activities could increase our net losses over the short term if our revenue growth does not increase at higher rates. However, we expect that these investments will ultimately benefit our results of operations.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Calculated current billings in any one period may be impacted by the overall timing of sales, including early renewals, as well as the timing and amount of multi-year prepaid contracts, which could favorably or unfavorably impact year-over-year comparisons. For example, an increasing number of large sales transactions, for which the timing has and will continue to vary, may occur in quarters subsequent to or in advance of those that we anticipate.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18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The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at January 1, 2017 resulted in a $55.0 million increase in deferred revenue primarily related to the deferral of perpetual license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This cumulative adjustment to deferred revenue at January 1, 2017 increased calculated current billings by $1.9 million, $5.6 million, $11.8 million and $16.7 million in 2020, 2019, 2018 and 2017, respectively.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rPr>
              <w:t>440,221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rPr>
              <w:t>354,586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8"/>
              </w:rPr>
              <w:t>267,360</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Deferred revenue (current), end of period</w:t>
            </w:r>
          </w:p>
        </w:tc>
        <w:tc>
          <w:tcPr>
            <w:tcW w:w="300" w:type="dxa"/>
            <w:vAlign w:val="bottom"/>
          </w:tcPr>
          <w:p>
            <w:pPr>
              <w:spacing w:after="0"/>
              <w:rPr>
                <w:sz w:val="19"/>
                <w:szCs w:val="19"/>
                <w:color w:val="auto"/>
              </w:rPr>
            </w:pPr>
          </w:p>
        </w:tc>
        <w:tc>
          <w:tcPr>
            <w:tcW w:w="1060" w:type="dxa"/>
            <w:vAlign w:val="bottom"/>
          </w:tcPr>
          <w:p>
            <w:pPr>
              <w:jc w:val="center"/>
              <w:ind w:left="193"/>
              <w:spacing w:after="0"/>
              <w:rPr>
                <w:sz w:val="20"/>
                <w:szCs w:val="20"/>
                <w:color w:val="auto"/>
              </w:rPr>
            </w:pPr>
            <w:r>
              <w:rPr>
                <w:rFonts w:ascii="Arial" w:cs="Arial" w:eastAsia="Arial" w:hAnsi="Arial"/>
                <w:sz w:val="18"/>
                <w:szCs w:val="18"/>
                <w:color w:val="auto"/>
              </w:rPr>
              <w:t>328,819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152"/>
              <w:spacing w:after="0"/>
              <w:rPr>
                <w:sz w:val="20"/>
                <w:szCs w:val="20"/>
                <w:color w:val="auto"/>
              </w:rPr>
            </w:pPr>
            <w:r>
              <w:rPr>
                <w:rFonts w:ascii="Arial" w:cs="Arial" w:eastAsia="Arial" w:hAnsi="Arial"/>
                <w:sz w:val="18"/>
                <w:szCs w:val="18"/>
                <w:color w:val="auto"/>
              </w:rPr>
              <w:t>274,348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center"/>
              <w:ind w:left="132"/>
              <w:spacing w:after="0"/>
              <w:rPr>
                <w:sz w:val="20"/>
                <w:szCs w:val="20"/>
                <w:color w:val="auto"/>
              </w:rPr>
            </w:pPr>
            <w:r>
              <w:rPr>
                <w:rFonts w:ascii="Arial" w:cs="Arial" w:eastAsia="Arial" w:hAnsi="Arial"/>
                <w:sz w:val="18"/>
                <w:szCs w:val="18"/>
                <w:color w:val="auto"/>
                <w:w w:val="98"/>
              </w:rPr>
              <w:t>213,644</w:t>
            </w:r>
          </w:p>
        </w:tc>
      </w:tr>
      <w:tr>
        <w:trPr>
          <w:trHeight w:val="230"/>
        </w:trPr>
        <w:tc>
          <w:tcPr>
            <w:tcW w:w="6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8"/>
              </w:rPr>
              <w:t>(274,348)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98"/>
              </w:rPr>
              <w:t>(214,069)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112"/>
              <w:spacing w:after="0"/>
              <w:rPr>
                <w:sz w:val="20"/>
                <w:szCs w:val="20"/>
                <w:color w:val="auto"/>
              </w:rPr>
            </w:pPr>
            <w:r>
              <w:rPr>
                <w:rFonts w:ascii="Arial" w:cs="Arial" w:eastAsia="Arial" w:hAnsi="Arial"/>
                <w:sz w:val="18"/>
                <w:szCs w:val="18"/>
                <w:color w:val="auto"/>
              </w:rPr>
              <w:t>(154,898)</w:t>
            </w: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rPr>
              <w:t>494,692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rPr>
              <w:t>414,865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8"/>
              </w:rPr>
              <w:t>326,106</w:t>
            </w:r>
          </w:p>
        </w:tc>
      </w:tr>
      <w:tr>
        <w:trPr>
          <w:trHeight w:val="21"/>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2"/>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Deferred revenue (current), beginning of period for 2019 includes $0.4 million related to acquired deferred revenue.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(used in) operating activities and our other GAAP financial measures.</w:t>
      </w:r>
    </w:p>
    <w:p>
      <w:pPr>
        <w:spacing w:after="0" w:line="207"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presents a reconciliation of net cash provided by (used in) operating activities, the most directly comparable financial measure calculated in accordance with GAAP, to free cash flow: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rPr>
              <w:t>64,232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98"/>
              </w:rPr>
              <w:t>(20,277)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r>
      <w:tr>
        <w:trPr>
          <w:trHeight w:val="248"/>
        </w:trPr>
        <w:tc>
          <w:tcPr>
            <w:tcW w:w="690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rPr>
              <w:t>43,955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60" w:firstLine="8"/>
        <w:spacing w:after="0" w:line="250" w:lineRule="auto"/>
        <w:tabs>
          <w:tab w:leader="none" w:pos="3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employee stock purchase plan impacted free cash flow by $0.9 million, $(0.9) million and $6.3 million in 2020, 2019 and 2018, respectively. Proceeds from lease incentives were $14.2 million in 2020 and capital expenditures related to our new headquarters were $17.2 million and $11.4 million in 2020 and 2019, respectively. Cash payments associated with the Indegy acquisition were $0.7 million and $13.1 million in 2020 and 2019, respectively. Free cash flow for 2020 was reduced by approximately $17 million as a result of the accelerated timing of payments for cloud software subscriptions, insurance and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2"/>
        </w:trPr>
        <w:tc>
          <w:tcPr>
            <w:tcW w:w="69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2018</w:t>
            </w:r>
          </w:p>
        </w:tc>
      </w:tr>
      <w:tr>
        <w:trPr>
          <w:trHeight w:val="224"/>
        </w:trPr>
        <w:tc>
          <w:tcPr>
            <w:tcW w:w="6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Number of new enterprise platform customers added in period</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1,455</w:t>
            </w:r>
          </w:p>
        </w:tc>
        <w:tc>
          <w:tcPr>
            <w:tcW w:w="1800" w:type="dxa"/>
            <w:vAlign w:val="bottom"/>
            <w:gridSpan w:val="3"/>
            <w:shd w:val="clear" w:color="auto" w:fill="CCEEFF"/>
          </w:tcPr>
          <w:p>
            <w:pPr>
              <w:jc w:val="right"/>
              <w:ind w:right="359"/>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1,178</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240" w:firstLine="8"/>
        <w:spacing w:after="0" w:line="253" w:lineRule="auto"/>
        <w:tabs>
          <w:tab w:leader="none" w:pos="3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Tenable.sc for an annual amount of $5,000 or greater. New enterprise platform customers represent new customer logos during the periods presented and do not include customer conversions from Nessus Professional to enterprise platforms.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At December 31,</w:t>
            </w:r>
          </w:p>
        </w:tc>
        <w:tc>
          <w:tcPr>
            <w:tcW w:w="1360" w:type="dxa"/>
            <w:vAlign w:val="bottom"/>
            <w:tcBorders>
              <w:bottom w:val="single" w:sz="8" w:color="auto"/>
            </w:tcBorders>
          </w:tcPr>
          <w:p>
            <w:pPr>
              <w:spacing w:after="0"/>
              <w:rPr>
                <w:sz w:val="18"/>
                <w:szCs w:val="18"/>
                <w:color w:val="auto"/>
              </w:rPr>
            </w:pPr>
          </w:p>
        </w:tc>
      </w:tr>
      <w:tr>
        <w:trPr>
          <w:trHeight w:val="212"/>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2018</w:t>
            </w:r>
          </w:p>
        </w:tc>
      </w:tr>
      <w:tr>
        <w:trPr>
          <w:trHeight w:val="169"/>
        </w:trPr>
        <w:tc>
          <w:tcPr>
            <w:tcW w:w="69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17"/>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453</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use non-GAAP income (loss) from operations along with non-GAAP operating margin as key indicators of our financial performance. We define these non-GAAP financial measures as their respective GAAP measures, excluding the effects of stock-based compensation, acquisition-related expenses and amortization of acquired intangible assets. Acquisition-related expenses include transaction expenses and costs related to the transfer of acquired intellectual property.</w:t>
      </w:r>
    </w:p>
    <w:p>
      <w:pPr>
        <w:spacing w:after="0" w:line="20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(loss) from operations and non-GAAP operating margin exclude stock-based compensation expense, which has been, and will continue to be, a significant recurring expense in our business and an important part of our compensation strategy.</w:t>
      </w:r>
    </w:p>
    <w:p>
      <w:pPr>
        <w:spacing w:after="0" w:line="20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income (loss) from operations, and operating margin, the most directly comparable financial measure calculated in accordance with GAAP, to non-GAAP operating margin: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(36,433)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(90,799)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(72,581)</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59,573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43,443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22,875</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603</w:t>
            </w:r>
          </w:p>
        </w:tc>
      </w:tr>
      <w:tr>
        <w:trPr>
          <w:trHeight w:val="248"/>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income (loss)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25,793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(42,766)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(49,103)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Income (Loss), Non-GAAP Earnings (Loss) Per Share and Pro Forma Non-GAAP Earnings (Loss) Per Share</w:t>
      </w:r>
    </w:p>
    <w:p>
      <w:pPr>
        <w:spacing w:after="0" w:line="247" w:lineRule="exact"/>
        <w:rPr>
          <w:sz w:val="20"/>
          <w:szCs w:val="20"/>
          <w:color w:val="auto"/>
        </w:rPr>
      </w:pPr>
    </w:p>
    <w:p>
      <w:pPr>
        <w:jc w:val="both"/>
        <w:ind w:right="400" w:firstLine="324"/>
        <w:spacing w:after="0" w:line="256" w:lineRule="auto"/>
        <w:rPr>
          <w:sz w:val="20"/>
          <w:szCs w:val="20"/>
          <w:color w:val="auto"/>
        </w:rPr>
      </w:pPr>
      <w:r>
        <w:rPr>
          <w:rFonts w:ascii="Arial" w:cs="Arial" w:eastAsia="Arial" w:hAnsi="Arial"/>
          <w:sz w:val="18"/>
          <w:szCs w:val="18"/>
          <w:color w:val="auto"/>
        </w:rPr>
        <w:t>We use non-GAAP net income (loss), which excludes the effect of the accretion of Series A and B redeemable convertible preferred stock, stock-based compensation, acquisition-related expenses and amortization of acquired intangible assets, as well as the related tax impact, to calculate non-GAAP earnings (loss) per share and pro forma non-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GAAP earnings (loss) per share. Pro forma non-GAAP earnings (loss) per share is calculated by giving effect to the conversion of our redeemable convertible preferred stock into common stock as though the conversion occurred at the beginning of 2018. We believe that these non-GAAP measures provide important information to management and investors because they facilitate comparisons of our core operating results over multiple periods.</w:t>
      </w:r>
    </w:p>
    <w:p>
      <w:pPr>
        <w:spacing w:after="0" w:line="20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following table presents a reconciliation of net loss and net loss per share attributable to common stockholders, the most comparable financial measures calculated in accordance with GAAP, to non-GAAP net income (loss), non-GAAP earnings (loss) per share and pro forma non-GAAP earnings (loss) per share: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for per share amounts)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(73,955)</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line="230" w:lineRule="exact"/>
              <w:rPr>
                <w:sz w:val="20"/>
                <w:szCs w:val="20"/>
                <w:color w:val="auto"/>
              </w:rPr>
            </w:pPr>
            <w:r>
              <w:rPr>
                <w:rFonts w:ascii="Arial" w:cs="Arial" w:eastAsia="Arial" w:hAnsi="Arial"/>
                <w:sz w:val="18"/>
                <w:szCs w:val="18"/>
                <w:color w:val="auto"/>
              </w:rPr>
              <w:t>Tax impact of acquisition</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Non-GAAP 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(50,261)</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acquisition</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Non-GAAP earnings (loss) per share, diluted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90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to compute net loss per share attributable to common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900" w:type="dxa"/>
            <w:vAlign w:val="bottom"/>
          </w:tcPr>
          <w:p>
            <w:pPr>
              <w:ind w:left="100"/>
              <w:spacing w:after="0"/>
              <w:rPr>
                <w:sz w:val="20"/>
                <w:szCs w:val="20"/>
                <w:color w:val="auto"/>
              </w:rPr>
            </w:pPr>
            <w:r>
              <w:rPr>
                <w:rFonts w:ascii="Arial" w:cs="Arial" w:eastAsia="Arial" w:hAnsi="Arial"/>
                <w:sz w:val="18"/>
                <w:szCs w:val="18"/>
                <w:color w:val="auto"/>
              </w:rPr>
              <w:t>stockholders, 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53,669</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6900" w:type="dxa"/>
            <w:vAlign w:val="bottom"/>
          </w:tcPr>
          <w:p>
            <w:pPr>
              <w:ind w:left="20"/>
              <w:spacing w:after="0" w:line="178" w:lineRule="exact"/>
              <w:rPr>
                <w:sz w:val="20"/>
                <w:szCs w:val="20"/>
                <w:color w:val="auto"/>
              </w:rPr>
            </w:pPr>
            <w:r>
              <w:rPr>
                <w:rFonts w:ascii="Arial" w:cs="Arial" w:eastAsia="Arial" w:hAnsi="Arial"/>
                <w:sz w:val="18"/>
                <w:szCs w:val="18"/>
                <w:color w:val="auto"/>
              </w:rPr>
              <w:t>Weighted-average shares used to compute non-GAAP earnings (loss) per share,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900" w:type="dxa"/>
            <w:vAlign w:val="bottom"/>
          </w:tcPr>
          <w:p>
            <w:pPr>
              <w:ind w:left="100"/>
              <w:spacing w:after="0" w:line="228"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109,962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53,669</w:t>
            </w:r>
          </w:p>
        </w:tc>
        <w:tc>
          <w:tcPr>
            <w:tcW w:w="0" w:type="dxa"/>
            <w:vAlign w:val="bottom"/>
          </w:tcPr>
          <w:p>
            <w:pPr>
              <w:spacing w:after="0"/>
              <w:rPr>
                <w:sz w:val="1"/>
                <w:szCs w:val="1"/>
                <w:color w:val="auto"/>
              </w:rPr>
            </w:pPr>
          </w:p>
        </w:tc>
      </w:tr>
      <w:tr>
        <w:trPr>
          <w:trHeight w:val="188"/>
        </w:trPr>
        <w:tc>
          <w:tcPr>
            <w:tcW w:w="6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Pro forma adjustment to reflect the assumed conversion of our convertible</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redeemable preferred stock as of the beginning of the period</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31,107</w:t>
            </w:r>
          </w:p>
        </w:tc>
        <w:tc>
          <w:tcPr>
            <w:tcW w:w="0" w:type="dxa"/>
            <w:vAlign w:val="bottom"/>
          </w:tcPr>
          <w:p>
            <w:pPr>
              <w:spacing w:after="0"/>
              <w:rPr>
                <w:sz w:val="1"/>
                <w:szCs w:val="1"/>
                <w:color w:val="auto"/>
              </w:rPr>
            </w:pPr>
          </w:p>
        </w:tc>
      </w:tr>
      <w:tr>
        <w:trPr>
          <w:trHeight w:val="168"/>
        </w:trPr>
        <w:tc>
          <w:tcPr>
            <w:tcW w:w="6900" w:type="dxa"/>
            <w:vAlign w:val="bottom"/>
          </w:tcPr>
          <w:p>
            <w:pPr>
              <w:ind w:left="20"/>
              <w:spacing w:after="0" w:line="168" w:lineRule="exact"/>
              <w:rPr>
                <w:sz w:val="20"/>
                <w:szCs w:val="20"/>
                <w:color w:val="auto"/>
              </w:rPr>
            </w:pPr>
            <w:r>
              <w:rPr>
                <w:rFonts w:ascii="Arial" w:cs="Arial" w:eastAsia="Arial" w:hAnsi="Arial"/>
                <w:sz w:val="18"/>
                <w:szCs w:val="18"/>
                <w:color w:val="auto"/>
              </w:rPr>
              <w:t>Weighted-average shares used to compute pro forma non-GAAP earnings (loss) per</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109,962</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96,014</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84,776</w:t>
            </w:r>
          </w:p>
        </w:tc>
        <w:tc>
          <w:tcPr>
            <w:tcW w:w="0" w:type="dxa"/>
            <w:vAlign w:val="bottom"/>
          </w:tcPr>
          <w:p>
            <w:pPr>
              <w:spacing w:after="0"/>
              <w:rPr>
                <w:sz w:val="1"/>
                <w:szCs w:val="1"/>
                <w:color w:val="auto"/>
              </w:rPr>
            </w:pPr>
          </w:p>
        </w:tc>
      </w:tr>
      <w:tr>
        <w:trPr>
          <w:trHeight w:val="190"/>
        </w:trPr>
        <w:tc>
          <w:tcPr>
            <w:tcW w:w="6900" w:type="dxa"/>
            <w:vAlign w:val="bottom"/>
          </w:tcPr>
          <w:p>
            <w:pPr>
              <w:ind w:left="100"/>
              <w:spacing w:after="0" w:line="190" w:lineRule="exact"/>
              <w:rPr>
                <w:sz w:val="20"/>
                <w:szCs w:val="20"/>
                <w:color w:val="auto"/>
              </w:rPr>
            </w:pPr>
            <w:r>
              <w:rPr>
                <w:rFonts w:ascii="Arial" w:cs="Arial" w:eastAsia="Arial" w:hAnsi="Arial"/>
                <w:sz w:val="18"/>
                <w:szCs w:val="18"/>
                <w:color w:val="auto"/>
              </w:rPr>
              <w:t>share, diluted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Pro forma non-GAAP earnings (loss) per share, 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6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applicable tax jurisdictions.</w:t>
      </w:r>
    </w:p>
    <w:p>
      <w:pPr>
        <w:spacing w:after="0" w:line="59" w:lineRule="exact"/>
        <w:rPr>
          <w:rFonts w:ascii="Arial" w:cs="Arial" w:eastAsia="Arial" w:hAnsi="Arial"/>
          <w:sz w:val="16"/>
          <w:szCs w:val="16"/>
          <w:color w:val="auto"/>
        </w:rPr>
      </w:pPr>
    </w:p>
    <w:p>
      <w:pPr>
        <w:ind w:right="360" w:firstLine="8"/>
        <w:spacing w:after="0" w:line="260" w:lineRule="auto"/>
        <w:tabs>
          <w:tab w:leader="none" w:pos="3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tax impact of the Indegy acquisition in 2019 includes $6.3 million of current tax expense and $4.2 million of deferred tax expense related to the transfer of acquired intellectual property.</w:t>
      </w:r>
    </w:p>
    <w:p>
      <w:pPr>
        <w:spacing w:after="0" w:line="33" w:lineRule="exact"/>
        <w:rPr>
          <w:rFonts w:ascii="Arial" w:cs="Arial" w:eastAsia="Arial" w:hAnsi="Arial"/>
          <w:sz w:val="16"/>
          <w:szCs w:val="16"/>
          <w:color w:val="auto"/>
        </w:rPr>
      </w:pPr>
    </w:p>
    <w:p>
      <w:pPr>
        <w:ind w:left="380" w:hanging="372"/>
        <w:spacing w:after="0"/>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tax impact of amortization of acquired intangible assets is not material.</w:t>
      </w:r>
    </w:p>
    <w:p>
      <w:pPr>
        <w:spacing w:after="0" w:line="59" w:lineRule="exact"/>
        <w:rPr>
          <w:rFonts w:ascii="Arial" w:cs="Arial" w:eastAsia="Arial" w:hAnsi="Arial"/>
          <w:sz w:val="16"/>
          <w:szCs w:val="16"/>
          <w:color w:val="auto"/>
        </w:rPr>
      </w:pPr>
    </w:p>
    <w:p>
      <w:pPr>
        <w:ind w:right="620" w:firstLine="8"/>
        <w:spacing w:after="0" w:line="260" w:lineRule="auto"/>
        <w:tabs>
          <w:tab w:leader="none" w:pos="36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Adjustment to reconcile GAAP net loss per share attributable to common stockholders, which excludes potentially dilutive shares, to non-GAAP earnings per share, which includes potentially dilutive shares.</w:t>
      </w:r>
    </w:p>
    <w:p>
      <w:pPr>
        <w:spacing w:after="0" w:line="33" w:lineRule="exact"/>
        <w:rPr>
          <w:rFonts w:ascii="Arial" w:cs="Arial" w:eastAsia="Arial" w:hAnsi="Arial"/>
          <w:sz w:val="16"/>
          <w:szCs w:val="16"/>
          <w:color w:val="auto"/>
        </w:rPr>
      </w:pPr>
    </w:p>
    <w:p>
      <w:pPr>
        <w:ind w:right="220" w:firstLine="8"/>
        <w:spacing w:after="0" w:line="260" w:lineRule="auto"/>
        <w:tabs>
          <w:tab w:leader="none" w:pos="3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periods in which there is a non-GAAP net loss, basic and diluted weighted average shares outstanding are the same, as potentially dilutive shares would be antidilutive.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19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0"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severance. Cost of revenue also includes cloud infrastructure costs, the costs related to professional services and training, depreciation, amortization of acquired and developed technology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jc w:val="both"/>
        <w:ind w:right="8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over time, as we expect revenue from our cloud-based subscriptions to increase as a percentage of revenue. Our gross margin could fluctuate from period to period depending on the interplay of all of these factors, particularly as it relates to cloud infrastructure costs.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stock-based compensation and any severance. Operating expenses also include depreciation and amortization as well as allocated overhead costs, including IT and facilities costs.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 We capitalize sales commissions, including related fringe benefit costs, and recognize the expense over an estimated period of benefit, which ranges between three and four years for subscription arrangements</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intend to continue to make investments in our sales and marketing teams to grow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480" w:firstLine="324"/>
        <w:spacing w:after="0" w:line="254"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costs.</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annually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from period to period due to the timing and extent of these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47"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Interest income, net consists primarily of interest income earned on cash and cash equivalents and short-term investments and interest expense in connection with our credit facility, including unused and letter of credit fees.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Provision for income taxes consists of income taxes in certain foreign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 In 2019, the provision for income taxes included the tax impact related to the transfer of acquired intellectual property.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267,360</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43,167</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224,193</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173,344</w:t>
            </w: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87,064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76,698</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46,732</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296,774</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w:t>
            </w:r>
          </w:p>
        </w:tc>
        <w:tc>
          <w:tcPr>
            <w:tcW w:w="0" w:type="dxa"/>
            <w:vAlign w:val="bottom"/>
          </w:tcPr>
          <w:p>
            <w:pPr>
              <w:spacing w:after="0"/>
              <w:rPr>
                <w:sz w:val="1"/>
                <w:szCs w:val="1"/>
                <w:color w:val="auto"/>
              </w:rPr>
            </w:pPr>
          </w:p>
        </w:tc>
      </w:tr>
      <w:tr>
        <w:trPr>
          <w:trHeight w:val="229"/>
        </w:trPr>
        <w:tc>
          <w:tcPr>
            <w:tcW w:w="690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(71,157)</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(73,521)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increase in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1"/>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revenue increased $43.0 million, or 19%. International revenue increased $42.6 million, or 33%.</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77,554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60,818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362,667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293,768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$16.7 million was primarily due to:</w:t>
      </w:r>
    </w:p>
    <w:p>
      <w:pPr>
        <w:spacing w:after="0" w:line="117" w:lineRule="exact"/>
        <w:rPr>
          <w:sz w:val="20"/>
          <w:szCs w:val="20"/>
          <w:color w:val="auto"/>
        </w:rPr>
      </w:pPr>
    </w:p>
    <w:p>
      <w:pPr>
        <w:ind w:left="660" w:right="4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$7.0 million increase in personnel costs, primarily due to support for cloud-based products, including a $0.3 million increase in stock-based compensation;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$6.7 million increase in third-party cloud infrastructure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$1.7 million increase in the amortization of acquired intangible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$1.0 million increase in the amortization of internal use software; and</w:t>
      </w:r>
    </w:p>
    <w:p>
      <w:pPr>
        <w:spacing w:after="0" w:line="63"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$0.7 million increase in allocated overhead costs driven by both the increase in average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$1.1 million decrease in travel and meeting expenses.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sales and marketing expense of $3.8 million was primarily due to:</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$7.7 million decrease in selling expenses, including travel and meeting costs and software subscriptions; and</w:t>
      </w:r>
    </w:p>
    <w:p>
      <w:pPr>
        <w:spacing w:after="0" w:line="63"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$6.4 million decrease in expenses for demand generation programs, including advertising, sponsorships, and brand awareness efforts; partially offset by</w:t>
      </w:r>
    </w:p>
    <w:p>
      <w:pPr>
        <w:spacing w:after="0" w:line="35"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$8.9 million increase in personnel costs, primarily due to an increase in average headcount, including a $3.8 million increase in stock-based compensation;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$1.0 million increase in allocated overhead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$0.7 million increase in depreciation.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$14.6 million was primarily due to:</w:t>
      </w:r>
    </w:p>
    <w:p>
      <w:pPr>
        <w:spacing w:after="0" w:line="117" w:lineRule="exact"/>
        <w:rPr>
          <w:sz w:val="20"/>
          <w:szCs w:val="20"/>
          <w:color w:val="auto"/>
        </w:rPr>
      </w:pPr>
    </w:p>
    <w:p>
      <w:pPr>
        <w:ind w:left="660" w:right="60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$14.8 million increase in personnel costs, largely associated with an increase in average headcount, including a $5.9 million increase in stock-based compensation and a decrease of $2.6 million of development costs and stock-based compensation capitalized related to internal use software;</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$2.0 million increase in allocated overhead;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$0.5 million increase in software subscriptions;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$1.6 million decrease in travel and meeting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$0.9 million decrease in third-party cloud infrastructure costs.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$3.7 million was primarily due to:</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$8.7 million increase in personnel costs, including a $6.1 million increase in stock-based compensation;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$1.3 million increase in allocated overhead;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$3.6 million decrease in acquisition-related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$2.3 million decrease in professional fees;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$1.5 million decrease in travel and meeting costs.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increase in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267,360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revenue increased $46.8 million, or 26%. International revenue increased $40.4 million, or 45%.</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60,818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43,167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293,768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224,193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69,575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$17.7 million was primarily due to:</w:t>
      </w:r>
    </w:p>
    <w:p>
      <w:pPr>
        <w:spacing w:after="0" w:line="117" w:lineRule="exact"/>
        <w:rPr>
          <w:sz w:val="20"/>
          <w:szCs w:val="20"/>
          <w:color w:val="auto"/>
        </w:rPr>
      </w:pPr>
    </w:p>
    <w:p>
      <w:pPr>
        <w:ind w:left="660" w:right="38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$7.3 million increase in personnel costs, primarily due to increased headcount, including a $1.1 million increase in stock-based compensation;</w:t>
      </w:r>
    </w:p>
    <w:p>
      <w:pPr>
        <w:spacing w:after="0" w:line="35"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$7.0 million increase in third-party cloud infrastructure costs, largely associated with the increased adoption of Tenable.io, as well as the launch of Tenable Lumin;</w:t>
      </w:r>
    </w:p>
    <w:p>
      <w:pPr>
        <w:spacing w:after="0" w:line="35"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$0.9 million increase in allocated overhead costs driven by both the increase in headcount and the overall increase in such costs on a year-over-year basis;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$0.6 million increase in professional fees;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$0.6 million increase in depreciation and amortization;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$0.5 million increase in software subscriptions.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$54.7 million was primarily due to:</w:t>
      </w:r>
    </w:p>
    <w:p>
      <w:pPr>
        <w:spacing w:after="0" w:line="117" w:lineRule="exact"/>
        <w:rPr>
          <w:sz w:val="20"/>
          <w:szCs w:val="20"/>
          <w:color w:val="auto"/>
        </w:rPr>
      </w:pPr>
    </w:p>
    <w:p>
      <w:pPr>
        <w:ind w:left="660" w:right="38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$32.1 million increase in personnel costs, largely associated with an increase in headcount, including a $9.1 million increase in stock-based compensation;</w:t>
      </w:r>
    </w:p>
    <w:p>
      <w:pPr>
        <w:spacing w:after="0" w:line="35"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$10.0 million increase in sales commissions, including sales commission draws, due to increased sales and the amortization of deferred commissions;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$5.7 million increase in selling expenses, including travel and meeting costs and software subscriptions;</w:t>
      </w:r>
    </w:p>
    <w:p>
      <w:pPr>
        <w:spacing w:after="0" w:line="63"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$3.4 million increase in allocated overhead costs driven by both the increase in headcount and the overall increase in such costs on a year-over-year basis; and</w:t>
      </w:r>
    </w:p>
    <w:p>
      <w:pPr>
        <w:spacing w:after="0" w:line="35"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$3.2 million increase in expenses for demand generation programs, including advertising, sponsorships, and brand awareness efforts aimed at acquiring new customers.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$10.4 million was primarily due to:</w:t>
      </w:r>
    </w:p>
    <w:p>
      <w:pPr>
        <w:spacing w:after="0" w:line="117" w:lineRule="exact"/>
        <w:rPr>
          <w:sz w:val="20"/>
          <w:szCs w:val="20"/>
          <w:color w:val="auto"/>
        </w:rPr>
      </w:pPr>
    </w:p>
    <w:p>
      <w:pPr>
        <w:ind w:left="660" w:right="38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$8.1 million increase in personnel costs, largely associated with an increase in headcount, including a $3.3 million increase in stock-based compensation, and net of $1.7 million of development costs and stock-based compensation capitalized related to internal use software;</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$2.0 million increase in third-party cloud infrastructure costs related to the development of new and future offerings;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$0.9 million increase in software subscriptions; and</w:t>
      </w:r>
    </w:p>
    <w:p>
      <w:pPr>
        <w:spacing w:after="0" w:line="6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$0.7 million increase in allocated overhead driven by both the increase in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$0.9 million decrease in travel and meeting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$22.7 million was primarily due to:</w:t>
      </w:r>
    </w:p>
    <w:p>
      <w:pPr>
        <w:spacing w:after="0" w:line="117" w:lineRule="exact"/>
        <w:rPr>
          <w:sz w:val="20"/>
          <w:szCs w:val="20"/>
          <w:color w:val="auto"/>
        </w:rPr>
      </w:pPr>
    </w:p>
    <w:p>
      <w:pPr>
        <w:ind w:left="660" w:right="38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$12.3 million increase in personnel costs, largely associated with an increase in headcount, including a $6.4 million increase in stock-based compensation;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$4.0 million increase in acquisition-related expenses, including $2.1 million related to the transfer of acquired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$3.7 million increase in professional fees, which includes costs associated with being a public company; and</w:t>
      </w:r>
    </w:p>
    <w:p>
      <w:pPr>
        <w:spacing w:after="0" w:line="6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$1.1 million increase in allocated overhead driven by both the increase in headcount and the overall increase in such costs on a year-over-year basis.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At December 31, 2020, we had $178.2 million of cash and cash equivalents, which consisted of bank deposits, money market funds and commercial paper, and $113.6 million short-term investments, which consisted of commercial paper, U.S. Treasury and agency obligations and corporate bonds.</w:t>
      </w:r>
    </w:p>
    <w:p>
      <w:pPr>
        <w:spacing w:after="0" w:line="20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The proceeds of our Series A and Series B redeemable convertible preferred stock financings were used to repurchase shares of capital stock from former stockholders. Upon the completion of our IPO in July 2018, we received net proceeds of $264.6 million. We have generated significant operating losses, as reflected by our accumulated deficit of $607.9 million at December 31, 2020.</w:t>
      </w:r>
    </w:p>
    <w:p>
      <w:pPr>
        <w:spacing w:after="0" w:line="20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December 31, 2020, we had deferred revenue of $434.5 million, of which $328.8 million was recorded as a current liability and is expected to be recognized as revenue in the next 12 months, provided all other revenue recognition criteria are met.</w:t>
      </w:r>
    </w:p>
    <w:p>
      <w:pPr>
        <w:spacing w:after="0" w:line="208"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We expect to continue incurring operating losses in the near term. Even though we generated positive cash flows from operations and free cash flow in 2020, we may not be able to sustain these cash flows in the near term.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the timing of our introduction of new product capabilities and enhancements of our platform and the continuing market acceptance of our platform. In addition, on February 10, 2021, we announced our agreement to acquire Alsid SAS, a leader in active directory security, for a total purchase price of $ 98 million in cash, subject to customary purchase price adjustments. The acquisition is expected to close early in the second quarter of 2021, subject to regulatory approvals and the satisfaction of customary closing conditions.</w:t>
      </w:r>
    </w:p>
    <w:p>
      <w:pPr>
        <w:spacing w:after="0" w:line="21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full extent to which the COVID-19 pandemic impacts our business and operations will depend on future developments that are highly uncertain and cannot be predicted with confidence, such as the duration of the outbreak, the duration and effect of business disruptions, the ultimate effectiveness of the travel restrictions, quarantines, social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distancing requirements and business closures in the United States and other countries to contain and treat the disease, and the availability, timing and effectiveness of a vaccine, both domestically and globally. We also do not yet know the full extent of potential impacts on our business and operations, or those of our partners and customers, or the global economy as a whole. Accordingly, the current results and financial conditions discussed herein may not be indicative of our future operating results and trends. See the section titled “Risk Factors” in Part I, Item 1A of this Form 10-K.</w:t>
      </w:r>
    </w:p>
    <w:p>
      <w:pPr>
        <w:spacing w:after="0" w:line="20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July 2020, we entered into a new $45.0 million senior secured credit facility, or the 2020 Credit Facility, with Silicon Valley Bank in connection with the expiration of our $25.0 million revolving credit facility, or the 2017 Credit Facility. The 2020 Credit Facility bears interest at either LIBOR plus 2%, with a 1% LIBOR floor, or the base rate plus 1%, and terminates on July 24, 2022. A commitment fee of 0.35% per annum is payable quarterly in arrears based on the unused portion. The obligations under 2020 Credit Facility are secured by a lien on our tangible and intangible property except intellectual property and certain subsidiaries and by a pledge of all of the equity interests of our material direct and indirect domestic subsidiaries and 65% of each class of capital stock of any material first-tier foreign subsidiaries, subject to limited exceptions. The 2020 Credit Facility includes a $45.0 million uncommitted expansion, as well as a $10.0 million sublimit for the issuance of letters of credit and a swingline sub-facility of up to $10.0 million, and has a financial covenant requiring a minimum consolidated quick ratio of at least 1.5:1.0 on the last day of each quarter.</w:t>
      </w:r>
    </w:p>
    <w:p>
      <w:pPr>
        <w:spacing w:after="0" w:line="21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2020 and 2019, there were no amounts outstanding under our 2020 Credit Facility or, prior to its expiration, the 2017 Credit Facility. At December 31, 2020, we were in compliance with the financial covenant and our borrowing capacity was reduced by $5.5 million related to standby letters of credit. We do not currently intend to draw on the 2020 Credit Facility.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r>
      <w:tr>
        <w:trPr>
          <w:trHeight w:val="230"/>
        </w:trPr>
        <w:tc>
          <w:tcPr>
            <w:tcW w:w="69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(123,221)</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264,749</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137,906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100" w:firstLine="337"/>
        <w:spacing w:after="0" w:line="252" w:lineRule="auto"/>
        <w:rPr>
          <w:sz w:val="20"/>
          <w:szCs w:val="20"/>
          <w:color w:val="auto"/>
        </w:rPr>
      </w:pPr>
      <w:r>
        <w:rPr>
          <w:rFonts w:ascii="Arial" w:cs="Arial" w:eastAsia="Arial" w:hAnsi="Arial"/>
          <w:sz w:val="18"/>
          <w:szCs w:val="18"/>
          <w:color w:val="auto"/>
        </w:rPr>
        <w:t>In 2020, net cash provided by operating activities was $64.2 million, which primarily consisted of our $42.7 million net loss, adjusted for stock-based compensation expense of $ 59.6 million and depreciation and amortization of $10.6 million, as well as a net cash inflow of $ 35.5 million from changes in operating assets and liabilities. The net inflow from changes in operating assets and liabilities was primarily due to a $71.4 million increase in deferred revenue primarily due to increased subscription sales, as a majority of our customers are invoiced in advance, and a $8.9 million increase in operating lease liabilities due to $14.2 million of proceeds in lease incentives net of operating lease payments, partially offset by a $20.0 million increase in accounts receivable, an increase of approximately $17 million in accelerated payments for cloud software subscriptions, insurance and rent, and a $6.6 million increase in deferred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2019, net cash used in operating activities was $10.7 million, which primarily consisted of our $99.0 million net loss, adjusted for stock-based compensation expense of $41.6 million and depreciation and amortization of $6.9 million, as well as a net cash inflow of $ 36.3 million from changes in operating assets and liabilities. The net inflow from changes in operating assets and liabilities was primarily due to a $72.8 million increase in deferred revenue, primarily due to increased subscription sales, as a majority of our customers are invoiced in advance, partially offset by a $25.9 million increase in accounts receivable and a $12.8 million increase in deferred commissions.</w:t>
      </w:r>
    </w:p>
    <w:p>
      <w:pPr>
        <w:spacing w:after="0" w:line="20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2018, net cash used in operating activities was $2.6 million, which primarily consisted of our $73.5 million net loss, adjusted for stock-based compensation expense of $22.9 million and depreciation and amortization of $6.2 million, as well as a net cash inflow of $ 41.4 million from changes in operating assets and liabilities. The net inflow from changes in operating assets and liabilities was primarily due to an increase of $64.1 million in deferred revenue, primarily due to increased subscription sales as a majority of our customers are invoiced in advance, partially offset by a $17.4 million increase in accounts receivable.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740" w:firstLine="324"/>
        <w:spacing w:after="0" w:line="261" w:lineRule="auto"/>
        <w:rPr>
          <w:sz w:val="20"/>
          <w:szCs w:val="20"/>
          <w:color w:val="auto"/>
        </w:rPr>
      </w:pPr>
      <w:r>
        <w:rPr>
          <w:rFonts w:ascii="Arial" w:cs="Arial" w:eastAsia="Arial" w:hAnsi="Arial"/>
          <w:sz w:val="18"/>
          <w:szCs w:val="18"/>
          <w:color w:val="auto"/>
        </w:rPr>
        <w:t>From 2019 to 2020, cash flows from investing activities increased by $117.1 million, primarily due to a decrease in cash paid for acquisitions of $74.6 million and an increase in our sales, net of purchases, of investments of $42.1 million.</w:t>
      </w:r>
    </w:p>
    <w:p>
      <w:pPr>
        <w:spacing w:after="0" w:line="19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From 2018 to 2019, net cash used in investing activities decreased by $10.2 million, primarily due to a decrease in our purchases, net of sales, of short-term investments of $100.0 million, partially offset by cash paid for acquisitions of $74.9 million and capital expenditures for our new corporate headquarters of $11.4 million.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From 2019 to 2020, net cash provided by financing activities increased by $2.2 million, primarily due to proceeds from a loan agreement of $2.0 million and an increase in proceeds from the exercise of stock options of $2.7 million, which was partially offset by a decrease in stock issued in connection with the employee stock purchase plan of $2.1 million.</w:t>
      </w:r>
    </w:p>
    <w:p>
      <w:pPr>
        <w:spacing w:after="0" w:line="202"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From 2018 to 2019, net cash provided by financing activities decreased by $230.6 million, primarily due to proceeds from our IPO, net of underwriting discounts and commissions, of $268.5 million, less payments of offering costs related to our IPO of $3.9 million in 2018, partially offset by proceeds from the exercise of stock options of $19.0 million and stock issued in connection with the employee stock purchase plan of $15.1 million in 2019.</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at December 31, 2020:</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5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Less than 1 year</w:t>
            </w: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1 - 3 years</w:t>
            </w: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3 - 5 years</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More than 5 years</w:t>
            </w: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44,525</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Non-cancellable purchase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Not included in the table above is $7.1 million of unrecognized tax benefits and $1.2 million of asset retirement obligations because the timing of future cash outflows is uncertain.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December 31, 2020,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recognize revenue to depict the transfer of promised goods or services to customers in an amount that reflects the consideration to which we expect to be entitled to in exchange for those goods or services. In recognizing revenue, we apply the following steps:</w:t>
      </w:r>
    </w:p>
    <w:p>
      <w:pPr>
        <w:spacing w:after="0" w:line="9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25"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24282D"/>
        </w:rPr>
        <w:t>In situations where we enter into a contractual arrangement that includes non-standard terms and conditions, such as acceptance provisions and options to purchase additional products and services, as well as contract modifications, we apply judgment in identifying and assessing the impact on revenue recognition.</w:t>
      </w:r>
    </w:p>
    <w:p>
      <w:pPr>
        <w:spacing w:after="0" w:line="202"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and other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and allow customers to use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Sales through our channel partner network of distributors and resellers are generally discounted as compared to the price that we would sell to an end user. Revenue for sales through our channel network, which is fixed, is recorded net of any distributor or reseller margin.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and therefore are deferred over an estimated period of benefit, which ranges between three and four years for subscription arrangements and five years for perpetual license arrangements. We have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 While we believe that the estimates we have made are reasonable and appropriate, different assumptions and estimates could materially impact our reported financial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Stock-based compensation expense related to our stock options, restricted stock, restricted stock units, or RSUs, and purchase rights issued under our 2018 Employee Stock Purchase Plan, or the 2018 ESPP, is calculated based on the fair value of the awards granted and is recognized on a straight-line basis over the requisite service period, which is generally two to four years. RSUs that include performance-based vesting conditions and are expensed using the accelerated attribution method. We account for forfeitures as they occur.</w:t>
      </w:r>
    </w:p>
    <w:p>
      <w:pPr>
        <w:spacing w:after="0" w:line="20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Estimating the fair value of stock options and purchase rights under the 2018 ESPP using the Black-Scholes option-pricing model requires assumptions as to the fair value of our underlying common stock, the estimated term of the option, the risk free interest rates, the expected volatility of the price of our common stock and the expected dividend yield. The assumptions used to estimate the fair value of the option awards reflect our best estimates. If any of the assumptions change significantly, stock-based compensation for future awards may differ significantly compared with the awards granted previously.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estimates are as follows:</w:t>
      </w:r>
    </w:p>
    <w:p>
      <w:pPr>
        <w:spacing w:after="0" w:line="9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“Valuations” discussion below.</w:t>
      </w:r>
    </w:p>
    <w:p>
      <w:pPr>
        <w:spacing w:after="0" w:line="63" w:lineRule="exact"/>
        <w:rPr>
          <w:rFonts w:ascii="Arial" w:cs="Arial" w:eastAsia="Arial" w:hAnsi="Arial"/>
          <w:sz w:val="18"/>
          <w:szCs w:val="18"/>
          <w:color w:val="auto"/>
        </w:rPr>
      </w:pPr>
    </w:p>
    <w:p>
      <w:pPr>
        <w:ind w:left="660" w:right="380" w:hanging="328"/>
        <w:spacing w:after="0" w:line="282"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This is the period of time that the options granted are expected to remain unexercised. We employ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to calculate the average expected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660" w:right="12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This is a measure of the amount by which a financial variable, such as a share price, has fluctuated (historical volatility)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is expected to fluctuate (expected volatility) during a period. We have identified several public entities of similar size, complexity and stage of development and estimate our volatility based on the volatility of the common stock of these companies. In 2021, we intend to use the volatility of Tenable stock when calculating the fair value of purchase rights under the 2018 ESPP.</w:t>
      </w:r>
    </w:p>
    <w:p>
      <w:pPr>
        <w:spacing w:after="0" w:line="17" w:lineRule="exact"/>
        <w:rPr>
          <w:rFonts w:ascii="Arial" w:cs="Arial" w:eastAsia="Arial" w:hAnsi="Arial"/>
          <w:sz w:val="18"/>
          <w:szCs w:val="18"/>
          <w:color w:val="auto"/>
        </w:rPr>
      </w:pPr>
    </w:p>
    <w:p>
      <w:pPr>
        <w:ind w:left="660" w:right="500" w:hanging="328"/>
        <w:spacing w:after="0" w:line="28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and do not expect to pay dividends on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Valuations</w:t>
      </w:r>
    </w:p>
    <w:p>
      <w:pPr>
        <w:spacing w:after="0" w:line="24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Following our IPO, we use the market price of our common stock at the date of grant as the fair value. Prior to our IPO, the lack of an active public market for our common stock required our board of directors to exercise reasonable judgment and consider a number of factors in order to make the best estimate of fair value of our common stock, in accordance with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Factors considered in connection with estimating the fair value of our common stock underlying our award of restricted stock and stock option awards when performing the fair value calculations with the Black Scholes option-pricing model included:</w:t>
      </w:r>
    </w:p>
    <w:p>
      <w:pPr>
        <w:spacing w:after="0" w:line="20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independent third-party valuations of our common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Recent arm’s length transactions involving the sale or transfer of our common stock</w:t>
      </w:r>
    </w:p>
    <w:p>
      <w:pPr>
        <w:spacing w:after="0" w:line="63"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preferences and privileges of our Series A and Series B redeemable convertible preferred stock relative to those of our common stock</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historical financial results and future financial projections</w:t>
      </w:r>
    </w:p>
    <w:p>
      <w:pPr>
        <w:spacing w:after="0" w:line="63" w:lineRule="exact"/>
        <w:rPr>
          <w:rFonts w:ascii="Arial" w:cs="Arial" w:eastAsia="Arial" w:hAnsi="Arial"/>
          <w:sz w:val="18"/>
          <w:szCs w:val="18"/>
          <w:color w:val="auto"/>
        </w:rPr>
      </w:pPr>
    </w:p>
    <w:p>
      <w:pPr>
        <w:ind w:left="660" w:right="134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value of equity interests in substantially similar businesses, which equity interests can be valued through nondiscretionary, objective means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given prevailing 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Industry outlook</w:t>
      </w:r>
    </w:p>
    <w:p>
      <w:pPr>
        <w:spacing w:after="0" w:line="6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outlook including economic growth, inflation and unemployment, interest rate environment and global economic trends</w:t>
      </w:r>
    </w:p>
    <w:p>
      <w:pPr>
        <w:spacing w:after="0" w:line="198"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As described above, the exercise price of our stock option awards was determined by our board of directors, with input from management, taking into account the factors described above, using a combination of valuation methodologies with varying weighting applied to each methodology as of the grant date.</w:t>
      </w:r>
    </w:p>
    <w:p>
      <w:pPr>
        <w:spacing w:after="0" w:line="20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Application of these approaches involved the use of estimates, judgment and assumptions that were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would have impacted our valuations as of each valuation date and may have had a material impact on the valuation of our common stock.</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stock option was estimated on the grant date based on the following assumptions: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00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Year Ended December 31,</w:t>
            </w:r>
          </w:p>
        </w:tc>
      </w:tr>
      <w:tr>
        <w:trPr>
          <w:trHeight w:val="212"/>
        </w:trPr>
        <w:tc>
          <w:tcPr>
            <w:tcW w:w="8240" w:type="dxa"/>
            <w:vAlign w:val="bottom"/>
            <w:tcBorders>
              <w:bottom w:val="single" w:sz="8" w:color="CCEEFF"/>
            </w:tcBorders>
          </w:tcPr>
          <w:p>
            <w:pPr>
              <w:spacing w:after="0"/>
              <w:rPr>
                <w:sz w:val="18"/>
                <w:szCs w:val="18"/>
                <w:color w:val="auto"/>
              </w:rPr>
            </w:pPr>
          </w:p>
        </w:tc>
        <w:tc>
          <w:tcPr>
            <w:tcW w:w="3000" w:type="dxa"/>
            <w:vAlign w:val="bottom"/>
            <w:tcBorders>
              <w:bottom w:val="single" w:sz="8" w:color="auto"/>
            </w:tcBorders>
            <w:gridSpan w:val="2"/>
          </w:tcPr>
          <w:p>
            <w:pPr>
              <w:jc w:val="right"/>
              <w:ind w:right="1230"/>
              <w:spacing w:after="0"/>
              <w:rPr>
                <w:sz w:val="20"/>
                <w:szCs w:val="20"/>
                <w:color w:val="auto"/>
              </w:rPr>
            </w:pPr>
            <w:r>
              <w:rPr>
                <w:rFonts w:ascii="Arial" w:cs="Arial" w:eastAsia="Arial" w:hAnsi="Arial"/>
                <w:sz w:val="16"/>
                <w:szCs w:val="16"/>
                <w:b w:val="1"/>
                <w:bCs w:val="1"/>
                <w:color w:val="auto"/>
              </w:rPr>
              <w:t>2018</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5"/>
              </w:rPr>
              <w:t>6.3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spacing w:after="0"/>
              <w:rPr>
                <w:sz w:val="20"/>
                <w:szCs w:val="20"/>
                <w:color w:val="auto"/>
              </w:rPr>
            </w:pPr>
            <w:r>
              <w:rPr>
                <w:rFonts w:ascii="Arial" w:cs="Arial" w:eastAsia="Arial" w:hAnsi="Arial"/>
                <w:sz w:val="18"/>
                <w:szCs w:val="18"/>
                <w:color w:val="auto"/>
              </w:rPr>
              <w:t>41.3%</w:t>
            </w:r>
          </w:p>
        </w:tc>
        <w:tc>
          <w:tcPr>
            <w:tcW w:w="1640" w:type="dxa"/>
            <w:vAlign w:val="bottom"/>
          </w:tcPr>
          <w:p>
            <w:pPr>
              <w:ind w:left="60"/>
              <w:spacing w:after="0"/>
              <w:rPr>
                <w:sz w:val="20"/>
                <w:szCs w:val="20"/>
                <w:color w:val="auto"/>
              </w:rPr>
            </w:pPr>
            <w:r>
              <w:rPr>
                <w:rFonts w:ascii="Arial" w:cs="Arial" w:eastAsia="Arial" w:hAnsi="Arial"/>
                <w:sz w:val="18"/>
                <w:szCs w:val="18"/>
                <w:color w:val="auto"/>
              </w:rPr>
              <w:t>— 43.3%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2.9%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spacing w:after="0"/>
              <w:rPr>
                <w:sz w:val="19"/>
                <w:szCs w:val="19"/>
                <w:color w:val="auto"/>
              </w:rPr>
            </w:pPr>
          </w:p>
        </w:tc>
        <w:tc>
          <w:tcPr>
            <w:tcW w:w="16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forfeiture rate</w:t>
            </w:r>
          </w:p>
        </w:tc>
        <w:tc>
          <w:tcPr>
            <w:tcW w:w="1360" w:type="dxa"/>
            <w:vAlign w:val="bottom"/>
            <w:shd w:val="clear" w:color="auto" w:fill="CCEEFF"/>
          </w:tcPr>
          <w:p>
            <w:pPr>
              <w:spacing w:after="0"/>
              <w:rPr>
                <w:sz w:val="19"/>
                <w:szCs w:val="19"/>
                <w:color w:val="auto"/>
              </w:rPr>
            </w:pPr>
          </w:p>
        </w:tc>
        <w:tc>
          <w:tcPr>
            <w:tcW w:w="1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060" w:firstLine="324"/>
        <w:spacing w:after="0" w:line="261" w:lineRule="auto"/>
        <w:rPr>
          <w:sz w:val="20"/>
          <w:szCs w:val="20"/>
          <w:color w:val="auto"/>
        </w:rPr>
      </w:pPr>
      <w:r>
        <w:rPr>
          <w:rFonts w:ascii="Arial" w:cs="Arial" w:eastAsia="Arial" w:hAnsi="Arial"/>
          <w:sz w:val="18"/>
          <w:szCs w:val="18"/>
          <w:color w:val="auto"/>
        </w:rPr>
        <w:t>The fair value of each 2018 ESPP purchase right was estimated on the offering or modification dates based on the following assumptions: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2"/>
        </w:trPr>
        <w:tc>
          <w:tcPr>
            <w:tcW w:w="57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6"/>
                <w:szCs w:val="16"/>
                <w:b w:val="1"/>
                <w:bCs w:val="1"/>
                <w:color w:val="auto"/>
              </w:rPr>
              <w:t>2018</w:t>
            </w: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jc w:val="right"/>
              <w:spacing w:after="0"/>
              <w:rPr>
                <w:sz w:val="20"/>
                <w:szCs w:val="20"/>
                <w:color w:val="auto"/>
              </w:rPr>
            </w:pPr>
            <w:r>
              <w:rPr>
                <w:rFonts w:ascii="Arial" w:cs="Arial" w:eastAsia="Arial" w:hAnsi="Arial"/>
                <w:sz w:val="18"/>
                <w:szCs w:val="18"/>
                <w:color w:val="auto"/>
              </w:rPr>
              <w:t>41.6%</w:t>
            </w:r>
          </w:p>
        </w:tc>
        <w:tc>
          <w:tcPr>
            <w:tcW w:w="880" w:type="dxa"/>
            <w:vAlign w:val="bottom"/>
          </w:tcPr>
          <w:p>
            <w:pPr>
              <w:ind w:left="20"/>
              <w:spacing w:after="0"/>
              <w:rPr>
                <w:sz w:val="20"/>
                <w:szCs w:val="20"/>
                <w:color w:val="auto"/>
              </w:rPr>
            </w:pPr>
            <w:r>
              <w:rPr>
                <w:rFonts w:ascii="Arial" w:cs="Arial" w:eastAsia="Arial" w:hAnsi="Arial"/>
                <w:sz w:val="18"/>
                <w:szCs w:val="18"/>
                <w:color w:val="auto"/>
              </w:rPr>
              <w:t>— 60.1%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34.4%</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 44.6%</w:t>
            </w: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000" w:type="dxa"/>
            <w:vAlign w:val="bottom"/>
          </w:tcPr>
          <w:p>
            <w:pPr>
              <w:ind w:left="20"/>
              <w:spacing w:after="0"/>
              <w:rPr>
                <w:sz w:val="20"/>
                <w:szCs w:val="20"/>
                <w:color w:val="auto"/>
              </w:rPr>
            </w:pPr>
            <w:r>
              <w:rPr>
                <w:rFonts w:ascii="Arial" w:cs="Arial" w:eastAsia="Arial" w:hAnsi="Arial"/>
                <w:sz w:val="18"/>
                <w:szCs w:val="18"/>
                <w:color w:val="auto"/>
              </w:rPr>
              <w:t>— 33.5%</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1.5% — 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78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we make estimates and assumptions, especially with respect to intangible assets. Estimates in valuing certain identifiable intangible assets require significant judgment and include, but are not limited to, expected long-term market growth, future expected operating expenses, costs of capital, and appropriate discount rates.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are subject to federal, state and local taxes in the United States as well as numerous international jurisdictions. These foreign jurisdictions have different statutory tax rates than the United States. Earnings generated by our international entities are related to transfer pricing requirements as applicable under local jurisdiction tax laws.</w:t>
      </w:r>
    </w:p>
    <w:p>
      <w:pPr>
        <w:spacing w:after="0" w:line="20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record a provision for income taxes under the asset and liability method, which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Deferred tax assets and liabilities are measured using the tax rates that are expected to apply to taxable income for the years in which those tax assets and liabilities are expected to be realized or settled. A valuation allowance is provided if it is more likely than not that some or all of the deferred tax assets will not be realized. We have valuation allowances in all jurisdictions against deferred tax assets net of deferred tax liabilities that will reverse and provide a source of taxable income. Our evaluation of valuation allowances could change in the future and the impact could have a material impact on our financial statements.</w:t>
      </w:r>
    </w:p>
    <w:p>
      <w:pPr>
        <w:spacing w:after="0" w:line="205"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December 2019, subsequent to our acquisition of Indegy Ltd. we transferred the acquired Indegy intellectual property from Israel to the U.S. and Ireland through an intercompany transaction. The sale of Indegy's intellectual property for tax purposes resulted in $6.3 million of current tax expense and $4.2 million of deferred tax expense in Israel. The valuation of the intellectual property for tax purposes required significant judgment and assumptions with respect to forecasted operating results and discount rates.</w:t>
      </w:r>
    </w:p>
    <w:p>
      <w:pPr>
        <w:spacing w:after="0" w:line="20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Refer to Note 1 to our consolidated financial statements in this Annual Report on Form 10-K for more information regarding recently issued accounting pronouncements.</w:t>
      </w:r>
    </w:p>
    <w:p>
      <w:pPr>
        <w:spacing w:after="0" w:line="17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47"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At December 31, 2020, we had $178.2 million of cash and cash equivalents, which consisted of cash deposits, money market funds and commercial paper. We also had $113.6 million of short-term investments, which consisted of commercial paper, U.S. treasury and agency securities and corporate bonds. Our investments are carried at their fair market values with cumulative unrealized gains or losses recorded as a component of accumulated other comprehensive income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not had any borrowings under our $45.0 million 2020 Credit Facility since it was established in July 2020. Any borrowings under the 2020 Credit Facility would bear interest at a variable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and Israeli New Shekel.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500" w:type="dxa"/>
            <w:vAlign w:val="bottom"/>
            <w:gridSpan w:val="2"/>
          </w:tcPr>
          <w:p>
            <w:pPr>
              <w:ind w:left="20"/>
              <w:spacing w:after="0"/>
              <w:rPr>
                <w:sz w:val="20"/>
                <w:szCs w:val="20"/>
                <w:color w:val="auto"/>
              </w:rPr>
            </w:pPr>
            <w:r>
              <w:rPr>
                <w:rFonts w:ascii="Arial" w:cs="Arial" w:eastAsia="Arial" w:hAnsi="Arial"/>
                <w:sz w:val="18"/>
                <w:szCs w:val="18"/>
                <w:b w:val="1"/>
                <w:bCs w:val="1"/>
                <w:color w:val="auto"/>
              </w:rPr>
              <w:t>8.</w:t>
            </w:r>
          </w:p>
        </w:tc>
        <w:tc>
          <w:tcPr>
            <w:tcW w:w="97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and Supplementary Data</w:t>
            </w:r>
          </w:p>
        </w:tc>
        <w:tc>
          <w:tcPr>
            <w:tcW w:w="44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00" w:type="dxa"/>
            <w:vAlign w:val="bottom"/>
          </w:tcPr>
          <w:p>
            <w:pPr>
              <w:ind w:left="2600"/>
              <w:spacing w:after="0"/>
              <w:rPr>
                <w:sz w:val="20"/>
                <w:szCs w:val="20"/>
                <w:color w:val="auto"/>
              </w:rPr>
            </w:pPr>
            <w:r>
              <w:rPr>
                <w:rFonts w:ascii="Arial" w:cs="Arial" w:eastAsia="Arial" w:hAnsi="Arial"/>
                <w:sz w:val="18"/>
                <w:szCs w:val="18"/>
                <w:b w:val="1"/>
                <w:bCs w:val="1"/>
                <w:color w:val="auto"/>
              </w:rPr>
              <w:t>INDEX TO CONSOLIDATED FINANCIAL STATEMENTS</w:t>
            </w:r>
          </w:p>
        </w:tc>
        <w:tc>
          <w:tcPr>
            <w:tcW w:w="440" w:type="dxa"/>
            <w:vAlign w:val="bottom"/>
          </w:tcPr>
          <w:p>
            <w:pPr>
              <w:spacing w:after="0"/>
              <w:rPr>
                <w:sz w:val="24"/>
                <w:szCs w:val="24"/>
                <w:color w:val="auto"/>
              </w:rPr>
            </w:pPr>
          </w:p>
        </w:tc>
      </w:tr>
      <w:tr>
        <w:trPr>
          <w:trHeight w:val="310"/>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Page</w:t>
            </w:r>
          </w:p>
        </w:tc>
      </w:tr>
      <w:tr>
        <w:trPr>
          <w:trHeight w:val="520"/>
        </w:trPr>
        <w:tc>
          <w:tcPr>
            <w:tcW w:w="10600" w:type="dxa"/>
            <w:vAlign w:val="bottom"/>
            <w:gridSpan w:val="4"/>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Reports of Independent Registered Public Accounting Firm</w:t>
              </w:r>
            </w:hyperlink>
          </w:p>
        </w:tc>
        <w:tc>
          <w:tcPr>
            <w:tcW w:w="440" w:type="dxa"/>
            <w:vAlign w:val="bottom"/>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62</w:t>
              </w:r>
            </w:hyperlink>
          </w:p>
        </w:tc>
      </w:tr>
      <w:tr>
        <w:trPr>
          <w:trHeight w:val="229"/>
        </w:trPr>
        <w:tc>
          <w:tcPr>
            <w:tcW w:w="10600" w:type="dxa"/>
            <w:vAlign w:val="bottom"/>
            <w:gridSpan w:val="4"/>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Financial Statements</w:t>
              </w:r>
            </w:hyperlink>
          </w:p>
        </w:tc>
        <w:tc>
          <w:tcPr>
            <w:tcW w:w="440" w:type="dxa"/>
            <w:vAlign w:val="bottom"/>
          </w:tcPr>
          <w:p>
            <w:pPr>
              <w:spacing w:after="0"/>
              <w:rPr>
                <w:sz w:val="19"/>
                <w:szCs w:val="19"/>
                <w:color w:val="auto"/>
              </w:rPr>
            </w:pPr>
          </w:p>
        </w:tc>
      </w:tr>
      <w:tr>
        <w:trPr>
          <w:trHeight w:val="229"/>
        </w:trPr>
        <w:tc>
          <w:tcPr>
            <w:tcW w:w="10600" w:type="dxa"/>
            <w:vAlign w:val="bottom"/>
            <w:gridSpan w:val="4"/>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Balance Sheets</w:t>
              </w:r>
            </w:hyperlink>
          </w:p>
        </w:tc>
        <w:tc>
          <w:tcPr>
            <w:tcW w:w="440" w:type="dxa"/>
            <w:vAlign w:val="bottom"/>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65</w:t>
              </w:r>
            </w:hyperlink>
          </w:p>
        </w:tc>
      </w:tr>
      <w:tr>
        <w:trPr>
          <w:trHeight w:val="230"/>
        </w:trPr>
        <w:tc>
          <w:tcPr>
            <w:tcW w:w="10600" w:type="dxa"/>
            <w:vAlign w:val="bottom"/>
            <w:gridSpan w:val="4"/>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Consolidated Statements of Operations</w:t>
              </w:r>
            </w:hyperlink>
          </w:p>
        </w:tc>
        <w:tc>
          <w:tcPr>
            <w:tcW w:w="440" w:type="dxa"/>
            <w:vAlign w:val="bottom"/>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66</w:t>
              </w:r>
            </w:hyperlink>
          </w:p>
        </w:tc>
      </w:tr>
      <w:tr>
        <w:trPr>
          <w:trHeight w:val="229"/>
        </w:trPr>
        <w:tc>
          <w:tcPr>
            <w:tcW w:w="10600" w:type="dxa"/>
            <w:vAlign w:val="bottom"/>
            <w:gridSpan w:val="4"/>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Consolidated Statements of Comprehensive Loss</w:t>
              </w:r>
            </w:hyperlink>
          </w:p>
        </w:tc>
        <w:tc>
          <w:tcPr>
            <w:tcW w:w="440" w:type="dxa"/>
            <w:vAlign w:val="bottom"/>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67</w:t>
              </w:r>
            </w:hyperlink>
          </w:p>
        </w:tc>
      </w:tr>
      <w:tr>
        <w:trPr>
          <w:trHeight w:val="229"/>
        </w:trPr>
        <w:tc>
          <w:tcPr>
            <w:tcW w:w="10600" w:type="dxa"/>
            <w:vAlign w:val="bottom"/>
            <w:gridSpan w:val="4"/>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Consolidated Statements of Redeemable Convertible Preferred Stock and Stockholders' Equity (Deficit)</w:t>
              </w:r>
            </w:hyperlink>
          </w:p>
        </w:tc>
        <w:tc>
          <w:tcPr>
            <w:tcW w:w="44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68</w:t>
              </w:r>
            </w:hyperlink>
          </w:p>
        </w:tc>
      </w:tr>
      <w:tr>
        <w:trPr>
          <w:trHeight w:val="230"/>
        </w:trPr>
        <w:tc>
          <w:tcPr>
            <w:tcW w:w="10600" w:type="dxa"/>
            <w:vAlign w:val="bottom"/>
            <w:gridSpan w:val="4"/>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Consolidated Statements of Cash Flows</w:t>
              </w:r>
            </w:hyperlink>
          </w:p>
        </w:tc>
        <w:tc>
          <w:tcPr>
            <w:tcW w:w="44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69</w:t>
              </w:r>
            </w:hyperlink>
          </w:p>
        </w:tc>
      </w:tr>
      <w:tr>
        <w:trPr>
          <w:trHeight w:val="229"/>
        </w:trPr>
        <w:tc>
          <w:tcPr>
            <w:tcW w:w="10600" w:type="dxa"/>
            <w:vAlign w:val="bottom"/>
            <w:gridSpan w:val="4"/>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Notes to Consolidated Financial Statements</w:t>
              </w:r>
            </w:hyperlink>
          </w:p>
        </w:tc>
        <w:tc>
          <w:tcPr>
            <w:tcW w:w="440" w:type="dxa"/>
            <w:vAlign w:val="bottom"/>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70</w:t>
              </w:r>
            </w:hyperlink>
          </w:p>
        </w:tc>
      </w:tr>
      <w:tr>
        <w:trPr>
          <w:trHeight w:val="230"/>
        </w:trPr>
        <w:tc>
          <w:tcPr>
            <w:tcW w:w="400" w:type="dxa"/>
            <w:vAlign w:val="bottom"/>
          </w:tcPr>
          <w:p>
            <w:pPr>
              <w:ind w:left="2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1.</w:t>
              </w:r>
            </w:hyperlink>
          </w:p>
        </w:tc>
        <w:tc>
          <w:tcPr>
            <w:tcW w:w="10200" w:type="dxa"/>
            <w:vAlign w:val="bottom"/>
            <w:gridSpan w:val="3"/>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Business and Summary of Significant Accounting Policies</w:t>
              </w:r>
            </w:hyperlink>
          </w:p>
        </w:tc>
        <w:tc>
          <w:tcPr>
            <w:tcW w:w="440" w:type="dxa"/>
            <w:vAlign w:val="bottom"/>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29"/>
        </w:trPr>
        <w:tc>
          <w:tcPr>
            <w:tcW w:w="400" w:type="dxa"/>
            <w:vAlign w:val="bottom"/>
          </w:tcPr>
          <w:p>
            <w:pPr>
              <w:ind w:left="2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2.</w:t>
              </w:r>
            </w:hyperlink>
          </w:p>
        </w:tc>
        <w:tc>
          <w:tcPr>
            <w:tcW w:w="10200" w:type="dxa"/>
            <w:vAlign w:val="bottom"/>
            <w:gridSpan w:val="3"/>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Revenue</w:t>
              </w:r>
            </w:hyperlink>
          </w:p>
        </w:tc>
        <w:tc>
          <w:tcPr>
            <w:tcW w:w="44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r>
      <w:tr>
        <w:trPr>
          <w:trHeight w:val="229"/>
        </w:trPr>
        <w:tc>
          <w:tcPr>
            <w:tcW w:w="400" w:type="dxa"/>
            <w:vAlign w:val="bottom"/>
          </w:tcPr>
          <w:p>
            <w:pPr>
              <w:ind w:left="2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3.</w:t>
              </w:r>
            </w:hyperlink>
          </w:p>
        </w:tc>
        <w:tc>
          <w:tcPr>
            <w:tcW w:w="10200" w:type="dxa"/>
            <w:vAlign w:val="bottom"/>
            <w:gridSpan w:val="3"/>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Cash and Cash Equivalents and Short-Term Investments</w:t>
              </w:r>
            </w:hyperlink>
          </w:p>
        </w:tc>
        <w:tc>
          <w:tcPr>
            <w:tcW w:w="44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r>
      <w:tr>
        <w:trPr>
          <w:trHeight w:val="230"/>
        </w:trPr>
        <w:tc>
          <w:tcPr>
            <w:tcW w:w="400" w:type="dxa"/>
            <w:vAlign w:val="bottom"/>
          </w:tcPr>
          <w:p>
            <w:pPr>
              <w:ind w:left="2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4.</w:t>
              </w:r>
            </w:hyperlink>
          </w:p>
        </w:tc>
        <w:tc>
          <w:tcPr>
            <w:tcW w:w="10200" w:type="dxa"/>
            <w:vAlign w:val="bottom"/>
            <w:gridSpan w:val="3"/>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Fair Value Measurements</w:t>
              </w:r>
            </w:hyperlink>
          </w:p>
        </w:tc>
        <w:tc>
          <w:tcPr>
            <w:tcW w:w="44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r>
      <w:tr>
        <w:trPr>
          <w:trHeight w:val="229"/>
        </w:trPr>
        <w:tc>
          <w:tcPr>
            <w:tcW w:w="400" w:type="dxa"/>
            <w:vAlign w:val="bottom"/>
          </w:tcPr>
          <w:p>
            <w:pPr>
              <w:ind w:left="2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5.</w:t>
              </w:r>
            </w:hyperlink>
          </w:p>
        </w:tc>
        <w:tc>
          <w:tcPr>
            <w:tcW w:w="10200" w:type="dxa"/>
            <w:vAlign w:val="bottom"/>
            <w:gridSpan w:val="3"/>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Property and Equipment, Net</w:t>
              </w:r>
            </w:hyperlink>
          </w:p>
        </w:tc>
        <w:tc>
          <w:tcPr>
            <w:tcW w:w="44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78</w:t>
              </w:r>
            </w:hyperlink>
          </w:p>
        </w:tc>
      </w:tr>
      <w:tr>
        <w:trPr>
          <w:trHeight w:val="230"/>
        </w:trPr>
        <w:tc>
          <w:tcPr>
            <w:tcW w:w="400" w:type="dxa"/>
            <w:vAlign w:val="bottom"/>
          </w:tcPr>
          <w:p>
            <w:pPr>
              <w:ind w:left="2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6.</w:t>
              </w:r>
            </w:hyperlink>
          </w:p>
        </w:tc>
        <w:tc>
          <w:tcPr>
            <w:tcW w:w="10200" w:type="dxa"/>
            <w:vAlign w:val="bottom"/>
            <w:gridSpan w:val="3"/>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Acquisition, Goodwill and Intangible Assets</w:t>
              </w:r>
            </w:hyperlink>
          </w:p>
        </w:tc>
        <w:tc>
          <w:tcPr>
            <w:tcW w:w="44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79</w:t>
              </w:r>
            </w:hyperlink>
          </w:p>
        </w:tc>
      </w:tr>
      <w:tr>
        <w:trPr>
          <w:trHeight w:val="229"/>
        </w:trPr>
        <w:tc>
          <w:tcPr>
            <w:tcW w:w="400" w:type="dxa"/>
            <w:vAlign w:val="bottom"/>
          </w:tcPr>
          <w:p>
            <w:pPr>
              <w:ind w:left="2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w:t>
              </w:r>
            </w:hyperlink>
          </w:p>
        </w:tc>
        <w:tc>
          <w:tcPr>
            <w:tcW w:w="10200" w:type="dxa"/>
            <w:vAlign w:val="bottom"/>
            <w:gridSpan w:val="3"/>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Leases</w:t>
              </w:r>
            </w:hyperlink>
          </w:p>
        </w:tc>
        <w:tc>
          <w:tcPr>
            <w:tcW w:w="440" w:type="dxa"/>
            <w:vAlign w:val="bottom"/>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80</w:t>
              </w:r>
            </w:hyperlink>
          </w:p>
        </w:tc>
      </w:tr>
      <w:tr>
        <w:trPr>
          <w:trHeight w:val="229"/>
        </w:trPr>
        <w:tc>
          <w:tcPr>
            <w:tcW w:w="400" w:type="dxa"/>
            <w:vAlign w:val="bottom"/>
          </w:tcPr>
          <w:p>
            <w:pPr>
              <w:ind w:left="2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w:t>
              </w:r>
            </w:hyperlink>
          </w:p>
        </w:tc>
        <w:tc>
          <w:tcPr>
            <w:tcW w:w="500" w:type="dxa"/>
            <w:vAlign w:val="bottom"/>
            <w:gridSpan w:val="2"/>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Debt</w:t>
              </w:r>
            </w:hyperlink>
          </w:p>
        </w:tc>
        <w:tc>
          <w:tcPr>
            <w:tcW w:w="9700" w:type="dxa"/>
            <w:vAlign w:val="bottom"/>
          </w:tcPr>
          <w:p>
            <w:pPr>
              <w:spacing w:after="0"/>
              <w:rPr>
                <w:sz w:val="19"/>
                <w:szCs w:val="19"/>
                <w:color w:val="auto"/>
              </w:rPr>
            </w:pPr>
          </w:p>
        </w:tc>
        <w:tc>
          <w:tcPr>
            <w:tcW w:w="440" w:type="dxa"/>
            <w:vAlign w:val="bottom"/>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81</w:t>
              </w:r>
            </w:hyperlink>
          </w:p>
        </w:tc>
      </w:tr>
      <w:tr>
        <w:trPr>
          <w:trHeight w:val="230"/>
        </w:trPr>
        <w:tc>
          <w:tcPr>
            <w:tcW w:w="400" w:type="dxa"/>
            <w:vAlign w:val="bottom"/>
          </w:tcPr>
          <w:p>
            <w:pPr>
              <w:ind w:left="2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9.</w:t>
              </w:r>
            </w:hyperlink>
          </w:p>
        </w:tc>
        <w:tc>
          <w:tcPr>
            <w:tcW w:w="10200" w:type="dxa"/>
            <w:vAlign w:val="bottom"/>
            <w:gridSpan w:val="3"/>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Redeemable Convertible Preferred Stock and Common Stock</w:t>
              </w:r>
            </w:hyperlink>
          </w:p>
        </w:tc>
        <w:tc>
          <w:tcPr>
            <w:tcW w:w="440" w:type="dxa"/>
            <w:vAlign w:val="bottom"/>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82</w:t>
              </w:r>
            </w:hyperlink>
          </w:p>
        </w:tc>
      </w:tr>
      <w:tr>
        <w:trPr>
          <w:trHeight w:val="229"/>
        </w:trPr>
        <w:tc>
          <w:tcPr>
            <w:tcW w:w="500" w:type="dxa"/>
            <w:vAlign w:val="bottom"/>
            <w:gridSpan w:val="2"/>
          </w:tcPr>
          <w:p>
            <w:pPr>
              <w:ind w:left="2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10.</w:t>
              </w:r>
            </w:hyperlink>
          </w:p>
        </w:tc>
        <w:tc>
          <w:tcPr>
            <w:tcW w:w="10100" w:type="dxa"/>
            <w:vAlign w:val="bottom"/>
            <w:gridSpan w:val="2"/>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Stock-Based Compensation</w:t>
              </w:r>
            </w:hyperlink>
          </w:p>
        </w:tc>
        <w:tc>
          <w:tcPr>
            <w:tcW w:w="440" w:type="dxa"/>
            <w:vAlign w:val="bottom"/>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82</w:t>
              </w:r>
            </w:hyperlink>
          </w:p>
        </w:tc>
      </w:tr>
      <w:tr>
        <w:trPr>
          <w:trHeight w:val="230"/>
        </w:trPr>
        <w:tc>
          <w:tcPr>
            <w:tcW w:w="500" w:type="dxa"/>
            <w:vAlign w:val="bottom"/>
            <w:gridSpan w:val="2"/>
          </w:tcPr>
          <w:p>
            <w:pPr>
              <w:ind w:left="2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11.</w:t>
              </w:r>
            </w:hyperlink>
          </w:p>
        </w:tc>
        <w:tc>
          <w:tcPr>
            <w:tcW w:w="10100" w:type="dxa"/>
            <w:vAlign w:val="bottom"/>
            <w:gridSpan w:val="2"/>
          </w:tcPr>
          <w:p>
            <w:pPr>
              <w:ind w:left="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Net Loss Per Share Attributable to Common Stockholders</w:t>
              </w:r>
            </w:hyperlink>
          </w:p>
        </w:tc>
        <w:tc>
          <w:tcPr>
            <w:tcW w:w="440" w:type="dxa"/>
            <w:vAlign w:val="bottom"/>
          </w:tcPr>
          <w:p>
            <w:pPr>
              <w:ind w:left="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85</w:t>
              </w:r>
            </w:hyperlink>
          </w:p>
        </w:tc>
      </w:tr>
      <w:tr>
        <w:trPr>
          <w:trHeight w:val="230"/>
        </w:trPr>
        <w:tc>
          <w:tcPr>
            <w:tcW w:w="500" w:type="dxa"/>
            <w:vAlign w:val="bottom"/>
            <w:gridSpan w:val="2"/>
          </w:tcPr>
          <w:p>
            <w:pPr>
              <w:ind w:left="2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12.</w:t>
              </w:r>
            </w:hyperlink>
          </w:p>
        </w:tc>
        <w:tc>
          <w:tcPr>
            <w:tcW w:w="10100" w:type="dxa"/>
            <w:vAlign w:val="bottom"/>
            <w:gridSpan w:val="2"/>
          </w:tcPr>
          <w:p>
            <w:pPr>
              <w:ind w:left="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Income Taxes</w:t>
              </w:r>
            </w:hyperlink>
          </w:p>
        </w:tc>
        <w:tc>
          <w:tcPr>
            <w:tcW w:w="440" w:type="dxa"/>
            <w:vAlign w:val="bottom"/>
          </w:tcPr>
          <w:p>
            <w:pPr>
              <w:ind w:left="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86</w:t>
              </w:r>
            </w:hyperlink>
          </w:p>
        </w:tc>
      </w:tr>
      <w:tr>
        <w:trPr>
          <w:trHeight w:val="229"/>
        </w:trPr>
        <w:tc>
          <w:tcPr>
            <w:tcW w:w="500" w:type="dxa"/>
            <w:vAlign w:val="bottom"/>
            <w:gridSpan w:val="2"/>
          </w:tcPr>
          <w:p>
            <w:pPr>
              <w:ind w:left="2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13.</w:t>
              </w:r>
            </w:hyperlink>
          </w:p>
        </w:tc>
        <w:tc>
          <w:tcPr>
            <w:tcW w:w="10100" w:type="dxa"/>
            <w:vAlign w:val="bottom"/>
            <w:gridSpan w:val="2"/>
          </w:tcPr>
          <w:p>
            <w:pPr>
              <w:ind w:lef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Geographic Information</w:t>
              </w:r>
            </w:hyperlink>
          </w:p>
        </w:tc>
        <w:tc>
          <w:tcPr>
            <w:tcW w:w="440" w:type="dxa"/>
            <w:vAlign w:val="bottom"/>
          </w:tcPr>
          <w:p>
            <w:pPr>
              <w:ind w:lef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88</w:t>
              </w:r>
            </w:hyperlink>
          </w:p>
        </w:tc>
      </w:tr>
      <w:tr>
        <w:trPr>
          <w:trHeight w:val="230"/>
        </w:trPr>
        <w:tc>
          <w:tcPr>
            <w:tcW w:w="500" w:type="dxa"/>
            <w:vAlign w:val="bottom"/>
            <w:gridSpan w:val="2"/>
          </w:tcPr>
          <w:p>
            <w:pPr>
              <w:ind w:left="2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14.</w:t>
              </w:r>
            </w:hyperlink>
          </w:p>
        </w:tc>
        <w:tc>
          <w:tcPr>
            <w:tcW w:w="10100" w:type="dxa"/>
            <w:vAlign w:val="bottom"/>
            <w:gridSpan w:val="2"/>
          </w:tcPr>
          <w:p>
            <w:pPr>
              <w:ind w:lef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Benefit Plans</w:t>
              </w:r>
            </w:hyperlink>
          </w:p>
        </w:tc>
        <w:tc>
          <w:tcPr>
            <w:tcW w:w="440" w:type="dxa"/>
            <w:vAlign w:val="bottom"/>
          </w:tcPr>
          <w:p>
            <w:pPr>
              <w:ind w:lef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88</w:t>
              </w:r>
            </w:hyperlink>
          </w:p>
        </w:tc>
      </w:tr>
      <w:tr>
        <w:trPr>
          <w:trHeight w:val="230"/>
        </w:trPr>
        <w:tc>
          <w:tcPr>
            <w:tcW w:w="500" w:type="dxa"/>
            <w:vAlign w:val="bottom"/>
            <w:gridSpan w:val="2"/>
          </w:tcPr>
          <w:p>
            <w:pPr>
              <w:ind w:left="2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15.</w:t>
              </w:r>
            </w:hyperlink>
          </w:p>
        </w:tc>
        <w:tc>
          <w:tcPr>
            <w:tcW w:w="10100" w:type="dxa"/>
            <w:vAlign w:val="bottom"/>
            <w:gridSpan w:val="2"/>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Subsequent Events</w:t>
              </w:r>
            </w:hyperlink>
          </w:p>
        </w:tc>
        <w:tc>
          <w:tcPr>
            <w:tcW w:w="440" w:type="dxa"/>
            <w:vAlign w:val="bottom"/>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89</w:t>
              </w:r>
            </w:hyperlink>
          </w:p>
        </w:tc>
      </w:tr>
      <w:tr>
        <w:trPr>
          <w:trHeight w:val="230"/>
        </w:trPr>
        <w:tc>
          <w:tcPr>
            <w:tcW w:w="500" w:type="dxa"/>
            <w:vAlign w:val="bottom"/>
            <w:gridSpan w:val="2"/>
          </w:tcPr>
          <w:p>
            <w:pPr>
              <w:ind w:left="2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16.</w:t>
              </w:r>
            </w:hyperlink>
          </w:p>
        </w:tc>
        <w:tc>
          <w:tcPr>
            <w:tcW w:w="10100" w:type="dxa"/>
            <w:vAlign w:val="bottom"/>
            <w:gridSpan w:val="2"/>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Quarterly Results (unaudited)</w:t>
              </w:r>
            </w:hyperlink>
          </w:p>
        </w:tc>
        <w:tc>
          <w:tcPr>
            <w:tcW w:w="440" w:type="dxa"/>
            <w:vAlign w:val="bottom"/>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0" w:right="5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Tenable Holdings,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audited the accompanying consolidated balance sheets of Tenable Holdings, Inc. (the Company) as of December 31, 2020 and 2019, the related consolidated statements of operations, comprehensive loss, redeemable convertible preferred stock and stockholders' equity (deficit) and cash flows for each of the three years in the period ended December 31, 2020,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22, 2021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8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60"/>
        <w:spacing w:after="0" w:line="237"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920"/>
        <w:spacing w:after="0" w:line="256" w:lineRule="auto"/>
        <w:rPr>
          <w:sz w:val="20"/>
          <w:szCs w:val="20"/>
          <w:color w:val="auto"/>
        </w:rPr>
      </w:pPr>
      <w:r>
        <w:rPr>
          <w:rFonts w:ascii="Arial" w:cs="Arial" w:eastAsia="Arial" w:hAnsi="Arial"/>
          <w:sz w:val="18"/>
          <w:szCs w:val="18"/>
          <w:b w:val="1"/>
          <w:bCs w:val="1"/>
          <w:i w:val="1"/>
          <w:iCs w:val="1"/>
          <w:color w:val="auto"/>
        </w:rPr>
        <w:t>Revenue Recognition – Identification and Evaluation of Contracts with Non-Standard Terms and Conditions.</w:t>
      </w:r>
    </w:p>
    <w:p>
      <w:pPr>
        <w:spacing w:after="0" w:line="2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24282D"/>
        </w:rPr>
        <w:t>As described in Note 1 to the consolidated financial statements, management enters into certain contracts with customers, including software subscription arrangements and perpetual licenses with related maintenance, with non-standard terms and conditions.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24282D"/>
        </w:rPr>
        <w:t>The principal consideration for our determination that performing procedures relating to the identification and evaluation of non-standard terms and conditions in contracts is a critical audit matter is the significant amount of judgment required by management in identifying and evaluating non-standard terms and conditions and the impact on the amount and timing of revenue recognition. This in turn led to a high degree of auditor judgment and significant audit effort in performing our audit procedures to evaluate whether non-standard terms and conditions in contracts were appropriately identified and evaluated by management.</w:t>
      </w:r>
    </w:p>
    <w:p>
      <w:pPr>
        <w:spacing w:after="0" w:line="26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process for identifying and evaluating contracts with non-standard terms and conditions. These procedures also included, among others, on a sample basis (i) testing the completeness and accuracy of management’s identification of contracts with non-standard terms and conditions and (ii) testing management’s determination of the impact of non-standard terms and conditions on the amount and timing of revenue recognition.</w:t>
      </w:r>
    </w:p>
    <w:p>
      <w:pPr>
        <w:spacing w:after="0" w:line="581" w:lineRule="exact"/>
        <w:rPr>
          <w:sz w:val="20"/>
          <w:szCs w:val="20"/>
          <w:color w:val="auto"/>
        </w:rPr>
      </w:pPr>
    </w:p>
    <w:p>
      <w:pPr>
        <w:sectPr>
          <w:pgSz w:w="11900" w:h="16838" w:orient="portrait"/>
          <w:cols w:equalWidth="0" w:num="2">
            <w:col w:w="1980" w:space="120"/>
            <w:col w:w="9120"/>
          </w:cols>
          <w:pgMar w:left="320" w:top="140" w:right="35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We have served as the Company’s auditor since 2014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Tenable Holdings,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audited Tenable Holdings, Inc.’s internal control over financial reporting as of December 31, 2020, based on criteria established in Internal Control—Integrated Framework issued by the Committee of Sponsoring Organizations of the Treadway Commission (2013 framework) (the COSO criteria). In our opinion, Tenable Holdings, Inc. (the Company) maintained, in all material respects, effective internal control over financial reporting as of December 31, 2020, based on the COSO criteria.</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Tenable Holdings, Inc. as of December 31, 2020 and 2019, the related consolidated statements of operations, comprehensive loss, redeemable convertible preferred stock and stockholders' equity (deficit) and cash flows for each of the three years in the period ended December 31, 2020, and the related notes and the financial statement schedule listed in the Index at item 15(a)(2) (collectively referred to as the “consolidated financial statements”) and our report dated February 22, 2021 expressed an unqualified opinion thereon.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74,363</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137,904</w:t>
            </w:r>
          </w:p>
        </w:tc>
        <w:tc>
          <w:tcPr>
            <w:tcW w:w="0" w:type="dxa"/>
            <w:vAlign w:val="bottom"/>
          </w:tcPr>
          <w:p>
            <w:pPr>
              <w:spacing w:after="0"/>
              <w:rPr>
                <w:sz w:val="1"/>
                <w:szCs w:val="1"/>
                <w:color w:val="auto"/>
              </w:rPr>
            </w:pPr>
          </w:p>
        </w:tc>
      </w:tr>
      <w:tr>
        <w:trPr>
          <w:trHeight w:val="188"/>
        </w:trPr>
        <w:tc>
          <w:tcPr>
            <w:tcW w:w="83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receivable (net of allowance for doubtful accounts of $261 and $764 at December 31, 2020</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2019, respectively)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94,827</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28,499</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483,793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362,962</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26,847</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43,766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15,508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54,138</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558,612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36,634</w:t>
            </w: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328,819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274,348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327,643</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88,779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40,663</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459,707</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320" w:type="dxa"/>
            <w:vAlign w:val="bottom"/>
          </w:tcPr>
          <w:p>
            <w:pPr>
              <w:ind w:left="220"/>
              <w:spacing w:after="0" w:line="189" w:lineRule="exact"/>
              <w:rPr>
                <w:sz w:val="20"/>
                <w:szCs w:val="20"/>
                <w:color w:val="auto"/>
              </w:rPr>
            </w:pPr>
            <w:r>
              <w:rPr>
                <w:rFonts w:ascii="Arial" w:cs="Arial" w:eastAsia="Arial" w:hAnsi="Arial"/>
                <w:sz w:val="18"/>
                <w:szCs w:val="18"/>
                <w:color w:val="auto"/>
              </w:rPr>
              <w:t>Common stock (par value: $0.01; 500,000 shares authorized, 103,715 and 98,587 shares issued and</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20" w:type="dxa"/>
            <w:vAlign w:val="bottom"/>
          </w:tcPr>
          <w:p>
            <w:pPr>
              <w:ind w:left="220"/>
              <w:spacing w:after="0"/>
              <w:rPr>
                <w:sz w:val="20"/>
                <w:szCs w:val="20"/>
                <w:color w:val="auto"/>
              </w:rPr>
            </w:pPr>
            <w:r>
              <w:rPr>
                <w:rFonts w:ascii="Arial" w:cs="Arial" w:eastAsia="Arial" w:hAnsi="Arial"/>
                <w:sz w:val="18"/>
                <w:szCs w:val="18"/>
                <w:color w:val="auto"/>
              </w:rPr>
              <w:t>outstanding at December 31, 2020 and 2019, respectively)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662,990</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(607,852)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(565,121)</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150,665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98,905</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558,612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267,360</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43,167</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224,193</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173,344</w:t>
            </w:r>
          </w:p>
        </w:tc>
        <w:tc>
          <w:tcPr>
            <w:tcW w:w="0" w:type="dxa"/>
            <w:vAlign w:val="bottom"/>
          </w:tcPr>
          <w:p>
            <w:pPr>
              <w:spacing w:after="0"/>
              <w:rPr>
                <w:sz w:val="1"/>
                <w:szCs w:val="1"/>
                <w:color w:val="auto"/>
              </w:rPr>
            </w:pPr>
          </w:p>
        </w:tc>
      </w:tr>
      <w:tr>
        <w:trPr>
          <w:trHeight w:val="229"/>
        </w:trPr>
        <w:tc>
          <w:tcPr>
            <w:tcW w:w="69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87,064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76,698</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46,732</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296,774</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w:t>
            </w: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(71,157)</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(73,521)</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(42,731)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(73,955)</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used to compute net loss per share attributable to common</w:t>
            </w: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101,009</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96,014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53,669</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stockholders, 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(73,521)</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gain on available-for-sale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CONSOLIDATED STATEMENTS OF REDEEMABLE CONVERTIBLE</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PREFERRED STOCK AND STOCKHOLDERS' EQUITY (DEFICIT)</w:t>
      </w:r>
    </w:p>
    <w:p>
      <w:pPr>
        <w:sectPr>
          <w:pgSz w:w="11900" w:h="16838" w:orient="portrait"/>
          <w:cols w:equalWidth="0" w:num="1">
            <w:col w:w="11240"/>
          </w:cols>
          <w:pgMar w:left="320" w:top="140" w:right="339" w:bottom="1440" w:gutter="0" w:footer="0" w:header="0"/>
        </w:sect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600" w:type="dxa"/>
            <w:vAlign w:val="bottom"/>
          </w:tcPr>
          <w:p>
            <w:pPr>
              <w:spacing w:after="0"/>
              <w:rPr>
                <w:sz w:val="12"/>
                <w:szCs w:val="12"/>
                <w:color w:val="auto"/>
              </w:rPr>
            </w:pPr>
          </w:p>
        </w:tc>
        <w:tc>
          <w:tcPr>
            <w:tcW w:w="2780" w:type="dxa"/>
            <w:vAlign w:val="bottom"/>
            <w:gridSpan w:val="9"/>
          </w:tcPr>
          <w:p>
            <w:pPr>
              <w:jc w:val="right"/>
              <w:ind w:right="286"/>
              <w:spacing w:after="0"/>
              <w:rPr>
                <w:sz w:val="20"/>
                <w:szCs w:val="20"/>
                <w:color w:val="auto"/>
              </w:rPr>
            </w:pPr>
            <w:r>
              <w:rPr>
                <w:rFonts w:ascii="Arial" w:cs="Arial" w:eastAsia="Arial" w:hAnsi="Arial"/>
                <w:sz w:val="11"/>
                <w:szCs w:val="11"/>
                <w:b w:val="1"/>
                <w:bCs w:val="1"/>
                <w:color w:val="auto"/>
              </w:rPr>
              <w:t>Redeemable Convertible Preferred Stock</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440" w:type="dxa"/>
            <w:vAlign w:val="bottom"/>
            <w:gridSpan w:val="5"/>
          </w:tcPr>
          <w:p>
            <w:pPr>
              <w:ind w:left="440"/>
              <w:spacing w:after="0"/>
              <w:rPr>
                <w:sz w:val="20"/>
                <w:szCs w:val="20"/>
                <w:color w:val="auto"/>
              </w:rPr>
            </w:pPr>
            <w:r>
              <w:rPr>
                <w:rFonts w:ascii="Arial" w:cs="Arial" w:eastAsia="Arial" w:hAnsi="Arial"/>
                <w:sz w:val="11"/>
                <w:szCs w:val="11"/>
                <w:b w:val="1"/>
                <w:bCs w:val="1"/>
                <w:color w:val="auto"/>
              </w:rPr>
              <w:t>Series A</w:t>
            </w:r>
          </w:p>
        </w:tc>
        <w:tc>
          <w:tcPr>
            <w:tcW w:w="1340" w:type="dxa"/>
            <w:vAlign w:val="bottom"/>
            <w:gridSpan w:val="4"/>
          </w:tcPr>
          <w:p>
            <w:pPr>
              <w:jc w:val="right"/>
              <w:ind w:right="406"/>
              <w:spacing w:after="0"/>
              <w:rPr>
                <w:sz w:val="20"/>
                <w:szCs w:val="20"/>
                <w:color w:val="auto"/>
              </w:rPr>
            </w:pPr>
            <w:r>
              <w:rPr>
                <w:rFonts w:ascii="Arial" w:cs="Arial" w:eastAsia="Arial" w:hAnsi="Arial"/>
                <w:sz w:val="11"/>
                <w:szCs w:val="11"/>
                <w:b w:val="1"/>
                <w:bCs w:val="1"/>
                <w:color w:val="auto"/>
              </w:rPr>
              <w:t>Series B</w:t>
            </w:r>
          </w:p>
        </w:tc>
        <w:tc>
          <w:tcPr>
            <w:tcW w:w="0" w:type="dxa"/>
            <w:vAlign w:val="bottom"/>
          </w:tcPr>
          <w:p>
            <w:pPr>
              <w:spacing w:after="0"/>
              <w:rPr>
                <w:sz w:val="1"/>
                <w:szCs w:val="1"/>
                <w:color w:val="auto"/>
              </w:rPr>
            </w:pPr>
          </w:p>
        </w:tc>
      </w:tr>
      <w:tr>
        <w:trPr>
          <w:trHeight w:val="22"/>
        </w:trPr>
        <w:tc>
          <w:tcPr>
            <w:tcW w:w="260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600" w:type="dxa"/>
            <w:vAlign w:val="bottom"/>
            <w:vMerge w:val="continue"/>
          </w:tcPr>
          <w:p>
            <w:pPr>
              <w:spacing w:after="0"/>
              <w:rPr>
                <w:sz w:val="12"/>
                <w:szCs w:val="12"/>
                <w:color w:val="auto"/>
              </w:rPr>
            </w:pPr>
          </w:p>
        </w:tc>
        <w:tc>
          <w:tcPr>
            <w:tcW w:w="700" w:type="dxa"/>
            <w:vAlign w:val="bottom"/>
            <w:tcBorders>
              <w:top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2"/>
                <w:szCs w:val="12"/>
                <w:color w:val="auto"/>
              </w:rPr>
            </w:pPr>
          </w:p>
        </w:tc>
        <w:tc>
          <w:tcPr>
            <w:tcW w:w="700" w:type="dxa"/>
            <w:vAlign w:val="bottom"/>
            <w:tcBorders>
              <w:top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Arial" w:cs="Arial" w:eastAsia="Arial" w:hAnsi="Arial"/>
                <w:sz w:val="11"/>
                <w:szCs w:val="11"/>
                <w:color w:val="auto"/>
              </w:rPr>
              <w:t>Balance at December 31, 2017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49,935</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39,538</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227,800</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Arial" w:cs="Arial" w:eastAsia="Arial" w:hAnsi="Arial"/>
                <w:sz w:val="11"/>
                <w:szCs w:val="11"/>
                <w:color w:val="auto"/>
              </w:rPr>
              <w:t>Accretion of Series A and B redeemable convertible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0" w:type="dxa"/>
            <w:vAlign w:val="bottom"/>
          </w:tcPr>
          <w:p>
            <w:pPr>
              <w:ind w:left="80"/>
              <w:spacing w:after="0"/>
              <w:rPr>
                <w:sz w:val="20"/>
                <w:szCs w:val="20"/>
                <w:color w:val="auto"/>
              </w:rPr>
            </w:pPr>
            <w:r>
              <w:rPr>
                <w:rFonts w:ascii="Arial" w:cs="Arial" w:eastAsia="Arial" w:hAnsi="Arial"/>
                <w:sz w:val="11"/>
                <w:szCs w:val="11"/>
                <w:color w:val="auto"/>
              </w:rPr>
              <w:t>preferred stock</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Arial" w:cs="Arial" w:eastAsia="Arial" w:hAnsi="Arial"/>
                <w:sz w:val="11"/>
                <w:szCs w:val="11"/>
                <w:color w:val="auto"/>
              </w:rPr>
              <w:t>Issuance of common stock in connection with initial</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0" w:type="dxa"/>
            <w:vAlign w:val="bottom"/>
          </w:tcPr>
          <w:p>
            <w:pPr>
              <w:ind w:left="80"/>
              <w:spacing w:after="0" w:line="108" w:lineRule="exact"/>
              <w:rPr>
                <w:sz w:val="20"/>
                <w:szCs w:val="20"/>
                <w:color w:val="auto"/>
              </w:rPr>
            </w:pPr>
            <w:r>
              <w:rPr>
                <w:rFonts w:ascii="Arial" w:cs="Arial" w:eastAsia="Arial" w:hAnsi="Arial"/>
                <w:sz w:val="11"/>
                <w:szCs w:val="11"/>
                <w:color w:val="auto"/>
              </w:rPr>
              <w:t>public offering, net of underwriting discounts and</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00" w:type="dxa"/>
            <w:vAlign w:val="bottom"/>
          </w:tcPr>
          <w:p>
            <w:pPr>
              <w:ind w:left="80"/>
              <w:spacing w:after="0"/>
              <w:rPr>
                <w:sz w:val="20"/>
                <w:szCs w:val="20"/>
                <w:color w:val="auto"/>
              </w:rPr>
            </w:pPr>
            <w:r>
              <w:rPr>
                <w:rFonts w:ascii="Arial" w:cs="Arial" w:eastAsia="Arial" w:hAnsi="Arial"/>
                <w:sz w:val="11"/>
                <w:szCs w:val="11"/>
                <w:color w:val="auto"/>
              </w:rPr>
              <w:t>commissions and other offering expenses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Arial" w:cs="Arial" w:eastAsia="Arial" w:hAnsi="Arial"/>
                <w:sz w:val="11"/>
                <w:szCs w:val="11"/>
                <w:color w:val="auto"/>
                <w:w w:val="98"/>
              </w:rPr>
              <w:t>Conversion of redeemable convertible preferred stock</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0" w:type="dxa"/>
            <w:vAlign w:val="bottom"/>
          </w:tcPr>
          <w:p>
            <w:pPr>
              <w:ind w:left="80"/>
              <w:spacing w:after="0"/>
              <w:rPr>
                <w:sz w:val="20"/>
                <w:szCs w:val="20"/>
                <w:color w:val="auto"/>
              </w:rPr>
            </w:pPr>
            <w:r>
              <w:rPr>
                <w:rFonts w:ascii="Arial" w:cs="Arial" w:eastAsia="Arial" w:hAnsi="Arial"/>
                <w:sz w:val="11"/>
                <w:szCs w:val="11"/>
                <w:color w:val="auto"/>
              </w:rPr>
              <w:t>to common stock upon initial public offering</w:t>
            </w:r>
          </w:p>
        </w:tc>
        <w:tc>
          <w:tcPr>
            <w:tcW w:w="580" w:type="dxa"/>
            <w:vAlign w:val="bottom"/>
          </w:tcPr>
          <w:p>
            <w:pPr>
              <w:jc w:val="right"/>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(49,948)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(39,538)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(228,221)</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Net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20"/>
                <w:szCs w:val="20"/>
                <w:color w:val="auto"/>
              </w:rPr>
            </w:pPr>
            <w:r>
              <w:rPr>
                <w:rFonts w:ascii="Arial" w:cs="Arial" w:eastAsia="Arial" w:hAnsi="Arial"/>
                <w:sz w:val="11"/>
                <w:szCs w:val="11"/>
                <w:color w:val="auto"/>
              </w:rPr>
              <w:t>Balance at December 31, 2018</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Arial" w:cs="Arial" w:eastAsia="Arial" w:hAnsi="Arial"/>
                <w:sz w:val="11"/>
                <w:szCs w:val="11"/>
                <w:color w:val="auto"/>
              </w:rPr>
              <w:t>Issuance of common stock under employee stock</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0" w:type="dxa"/>
            <w:vAlign w:val="bottom"/>
          </w:tcPr>
          <w:p>
            <w:pPr>
              <w:ind w:left="80"/>
              <w:spacing w:after="0"/>
              <w:rPr>
                <w:sz w:val="20"/>
                <w:szCs w:val="20"/>
                <w:color w:val="auto"/>
              </w:rPr>
            </w:pPr>
            <w:r>
              <w:rPr>
                <w:rFonts w:ascii="Arial" w:cs="Arial" w:eastAsia="Arial" w:hAnsi="Arial"/>
                <w:sz w:val="11"/>
                <w:szCs w:val="11"/>
                <w:color w:val="auto"/>
              </w:rPr>
              <w:t>purchase plan</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Net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20"/>
                <w:szCs w:val="20"/>
                <w:color w:val="auto"/>
              </w:rPr>
            </w:pPr>
            <w:r>
              <w:rPr>
                <w:rFonts w:ascii="Arial" w:cs="Arial" w:eastAsia="Arial" w:hAnsi="Arial"/>
                <w:sz w:val="11"/>
                <w:szCs w:val="11"/>
                <w:color w:val="auto"/>
              </w:rPr>
              <w:t>Balance at December 31, 2019</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Vesting of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600" w:type="dxa"/>
            <w:vAlign w:val="bottom"/>
          </w:tcPr>
          <w:p>
            <w:pPr>
              <w:spacing w:after="0"/>
              <w:rPr>
                <w:sz w:val="20"/>
                <w:szCs w:val="20"/>
                <w:color w:val="auto"/>
              </w:rPr>
            </w:pPr>
            <w:r>
              <w:rPr>
                <w:rFonts w:ascii="Arial" w:cs="Arial" w:eastAsia="Arial" w:hAnsi="Arial"/>
                <w:sz w:val="11"/>
                <w:szCs w:val="11"/>
                <w:color w:val="auto"/>
              </w:rPr>
              <w:t>Issuance of common stock under employee stock</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0" w:type="dxa"/>
            <w:vAlign w:val="bottom"/>
          </w:tcPr>
          <w:p>
            <w:pPr>
              <w:spacing w:after="0"/>
              <w:rPr>
                <w:sz w:val="20"/>
                <w:szCs w:val="20"/>
                <w:color w:val="auto"/>
              </w:rPr>
            </w:pPr>
            <w:r>
              <w:rPr>
                <w:rFonts w:ascii="Arial" w:cs="Arial" w:eastAsia="Arial" w:hAnsi="Arial"/>
                <w:sz w:val="11"/>
                <w:szCs w:val="11"/>
                <w:color w:val="auto"/>
              </w:rPr>
              <w:t>purchase plan</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1"/>
                <w:szCs w:val="11"/>
                <w:color w:val="auto"/>
              </w:rPr>
              <w:t>Net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20"/>
                <w:szCs w:val="20"/>
                <w:color w:val="auto"/>
              </w:rPr>
            </w:pPr>
            <w:r>
              <w:rPr>
                <w:rFonts w:ascii="Arial" w:cs="Arial" w:eastAsia="Arial" w:hAnsi="Arial"/>
                <w:sz w:val="11"/>
                <w:szCs w:val="11"/>
                <w:color w:val="auto"/>
              </w:rPr>
              <w:t>Balance at December 31, 2020</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162"/>
        </w:trPr>
        <w:tc>
          <w:tcPr>
            <w:tcW w:w="1460" w:type="dxa"/>
            <w:vAlign w:val="bottom"/>
            <w:gridSpan w:val="5"/>
          </w:tcPr>
          <w:p>
            <w:pPr>
              <w:ind w:left="28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Comprehensive</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4"/>
                <w:szCs w:val="14"/>
                <w:color w:val="auto"/>
              </w:rPr>
            </w:pP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line="20" w:lineRule="exact"/>
              <w:rPr>
                <w:sz w:val="1"/>
                <w:szCs w:val="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135"/>
        </w:trPr>
        <w:tc>
          <w:tcPr>
            <w:tcW w:w="720" w:type="dxa"/>
            <w:vAlign w:val="bottom"/>
            <w:tcBorders>
              <w:top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auto"/>
              </w:rPr>
              <w:t>24,472</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246</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20,676</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(392,587)</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(371,665)</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(434)</w:t>
            </w:r>
          </w:p>
        </w:tc>
        <w:tc>
          <w:tcPr>
            <w:tcW w:w="0" w:type="dxa"/>
            <w:vAlign w:val="bottom"/>
          </w:tcPr>
          <w:p>
            <w:pPr>
              <w:spacing w:after="0"/>
              <w:rPr>
                <w:sz w:val="1"/>
                <w:szCs w:val="1"/>
                <w:color w:val="auto"/>
              </w:rPr>
            </w:pPr>
          </w:p>
        </w:tc>
      </w:tr>
      <w:tr>
        <w:trPr>
          <w:trHeight w:val="162"/>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740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1,661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1,668</w:t>
            </w:r>
          </w:p>
        </w:tc>
        <w:tc>
          <w:tcPr>
            <w:tcW w:w="0" w:type="dxa"/>
            <w:vAlign w:val="bottom"/>
          </w:tcPr>
          <w:p>
            <w:pPr>
              <w:spacing w:after="0"/>
              <w:rPr>
                <w:sz w:val="1"/>
                <w:szCs w:val="1"/>
                <w:color w:val="auto"/>
              </w:rPr>
            </w:pPr>
          </w:p>
        </w:tc>
      </w:tr>
      <w:tr>
        <w:trPr>
          <w:trHeight w:val="162"/>
        </w:trPr>
        <w:tc>
          <w:tcPr>
            <w:tcW w:w="6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62"/>
        </w:trPr>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23,022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23,022</w:t>
            </w:r>
          </w:p>
        </w:tc>
        <w:tc>
          <w:tcPr>
            <w:tcW w:w="0" w:type="dxa"/>
            <w:vAlign w:val="bottom"/>
          </w:tcPr>
          <w:p>
            <w:pPr>
              <w:spacing w:after="0"/>
              <w:rPr>
                <w:sz w:val="1"/>
                <w:szCs w:val="1"/>
                <w:color w:val="auto"/>
              </w:rPr>
            </w:pPr>
          </w:p>
        </w:tc>
      </w:tr>
      <w:tr>
        <w:trPr>
          <w:trHeight w:val="378"/>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12,535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264,474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264,599</w:t>
            </w:r>
          </w:p>
        </w:tc>
        <w:tc>
          <w:tcPr>
            <w:tcW w:w="0" w:type="dxa"/>
            <w:vAlign w:val="bottom"/>
          </w:tcPr>
          <w:p>
            <w:pPr>
              <w:spacing w:after="0"/>
              <w:rPr>
                <w:sz w:val="1"/>
                <w:szCs w:val="1"/>
                <w:color w:val="auto"/>
              </w:rPr>
            </w:pPr>
          </w:p>
        </w:tc>
      </w:tr>
      <w:tr>
        <w:trPr>
          <w:trHeight w:val="270"/>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55,386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554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277,615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278,169</w:t>
            </w:r>
          </w:p>
        </w:tc>
        <w:tc>
          <w:tcPr>
            <w:tcW w:w="0" w:type="dxa"/>
            <w:vAlign w:val="bottom"/>
          </w:tcPr>
          <w:p>
            <w:pPr>
              <w:spacing w:after="0"/>
              <w:rPr>
                <w:sz w:val="1"/>
                <w:szCs w:val="1"/>
                <w:color w:val="auto"/>
              </w:rPr>
            </w:pPr>
          </w:p>
        </w:tc>
      </w:tr>
      <w:tr>
        <w:trPr>
          <w:trHeight w:val="162"/>
        </w:trPr>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(73,521)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(73,521)</w:t>
            </w:r>
          </w:p>
        </w:tc>
        <w:tc>
          <w:tcPr>
            <w:tcW w:w="0" w:type="dxa"/>
            <w:vAlign w:val="bottom"/>
          </w:tcPr>
          <w:p>
            <w:pPr>
              <w:spacing w:after="0"/>
              <w:rPr>
                <w:sz w:val="1"/>
                <w:szCs w:val="1"/>
                <w:color w:val="auto"/>
              </w:rPr>
            </w:pPr>
          </w:p>
        </w:tc>
      </w:tr>
      <w:tr>
        <w:trPr>
          <w:trHeight w:val="22"/>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auto"/>
              </w:rPr>
              <w:t>93,126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586,940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(466,108)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121,763</w:t>
            </w:r>
          </w:p>
        </w:tc>
        <w:tc>
          <w:tcPr>
            <w:tcW w:w="0" w:type="dxa"/>
            <w:vAlign w:val="bottom"/>
          </w:tcPr>
          <w:p>
            <w:pPr>
              <w:spacing w:after="0"/>
              <w:rPr>
                <w:sz w:val="1"/>
                <w:szCs w:val="1"/>
                <w:color w:val="auto"/>
              </w:rPr>
            </w:pPr>
          </w:p>
        </w:tc>
      </w:tr>
      <w:tr>
        <w:trPr>
          <w:trHeight w:val="162"/>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4,205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19,006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19,048</w:t>
            </w:r>
          </w:p>
        </w:tc>
        <w:tc>
          <w:tcPr>
            <w:tcW w:w="0" w:type="dxa"/>
            <w:vAlign w:val="bottom"/>
          </w:tcPr>
          <w:p>
            <w:pPr>
              <w:spacing w:after="0"/>
              <w:rPr>
                <w:sz w:val="1"/>
                <w:szCs w:val="1"/>
                <w:color w:val="auto"/>
              </w:rPr>
            </w:pPr>
          </w:p>
        </w:tc>
      </w:tr>
      <w:tr>
        <w:trPr>
          <w:trHeight w:val="162"/>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479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777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15,121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15,129</w:t>
            </w:r>
          </w:p>
        </w:tc>
        <w:tc>
          <w:tcPr>
            <w:tcW w:w="0" w:type="dxa"/>
            <w:vAlign w:val="bottom"/>
          </w:tcPr>
          <w:p>
            <w:pPr>
              <w:spacing w:after="0"/>
              <w:rPr>
                <w:sz w:val="1"/>
                <w:szCs w:val="1"/>
                <w:color w:val="auto"/>
              </w:rPr>
            </w:pPr>
          </w:p>
        </w:tc>
      </w:tr>
      <w:tr>
        <w:trPr>
          <w:trHeight w:val="162"/>
        </w:trPr>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41,928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41,928</w:t>
            </w:r>
          </w:p>
        </w:tc>
        <w:tc>
          <w:tcPr>
            <w:tcW w:w="0" w:type="dxa"/>
            <w:vAlign w:val="bottom"/>
          </w:tcPr>
          <w:p>
            <w:pPr>
              <w:spacing w:after="0"/>
              <w:rPr>
                <w:sz w:val="1"/>
                <w:szCs w:val="1"/>
                <w:color w:val="auto"/>
              </w:rPr>
            </w:pPr>
          </w:p>
        </w:tc>
      </w:tr>
      <w:tr>
        <w:trPr>
          <w:trHeight w:val="162"/>
        </w:trPr>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62"/>
        </w:trPr>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(99,013)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(99,013)</w:t>
            </w:r>
          </w:p>
        </w:tc>
        <w:tc>
          <w:tcPr>
            <w:tcW w:w="0" w:type="dxa"/>
            <w:vAlign w:val="bottom"/>
          </w:tcPr>
          <w:p>
            <w:pPr>
              <w:spacing w:after="0"/>
              <w:rPr>
                <w:sz w:val="1"/>
                <w:szCs w:val="1"/>
                <w:color w:val="auto"/>
              </w:rPr>
            </w:pPr>
          </w:p>
        </w:tc>
      </w:tr>
      <w:tr>
        <w:trPr>
          <w:trHeight w:val="22"/>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auto"/>
              </w:rPr>
              <w:t>98,587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986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662,990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(565,121)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98,905</w:t>
            </w:r>
          </w:p>
        </w:tc>
        <w:tc>
          <w:tcPr>
            <w:tcW w:w="0" w:type="dxa"/>
            <w:vAlign w:val="bottom"/>
          </w:tcPr>
          <w:p>
            <w:pPr>
              <w:spacing w:after="0"/>
              <w:rPr>
                <w:sz w:val="1"/>
                <w:szCs w:val="1"/>
                <w:color w:val="auto"/>
              </w:rPr>
            </w:pPr>
          </w:p>
        </w:tc>
      </w:tr>
      <w:tr>
        <w:trPr>
          <w:trHeight w:val="162"/>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2,956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21,680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21,709</w:t>
            </w:r>
          </w:p>
        </w:tc>
        <w:tc>
          <w:tcPr>
            <w:tcW w:w="0" w:type="dxa"/>
            <w:vAlign w:val="bottom"/>
          </w:tcPr>
          <w:p>
            <w:pPr>
              <w:spacing w:after="0"/>
              <w:rPr>
                <w:sz w:val="1"/>
                <w:szCs w:val="1"/>
                <w:color w:val="auto"/>
              </w:rPr>
            </w:pPr>
          </w:p>
        </w:tc>
      </w:tr>
      <w:tr>
        <w:trPr>
          <w:trHeight w:val="162"/>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1,504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668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13,033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13,040</w:t>
            </w:r>
          </w:p>
        </w:tc>
        <w:tc>
          <w:tcPr>
            <w:tcW w:w="0" w:type="dxa"/>
            <w:vAlign w:val="bottom"/>
          </w:tcPr>
          <w:p>
            <w:pPr>
              <w:spacing w:after="0"/>
              <w:rPr>
                <w:sz w:val="1"/>
                <w:szCs w:val="1"/>
                <w:color w:val="auto"/>
              </w:rPr>
            </w:pPr>
          </w:p>
        </w:tc>
      </w:tr>
      <w:tr>
        <w:trPr>
          <w:trHeight w:val="162"/>
        </w:trPr>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59,782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59,782</w:t>
            </w:r>
          </w:p>
        </w:tc>
        <w:tc>
          <w:tcPr>
            <w:tcW w:w="0" w:type="dxa"/>
            <w:vAlign w:val="bottom"/>
          </w:tcPr>
          <w:p>
            <w:pPr>
              <w:spacing w:after="0"/>
              <w:rPr>
                <w:sz w:val="1"/>
                <w:szCs w:val="1"/>
                <w:color w:val="auto"/>
              </w:rPr>
            </w:pPr>
          </w:p>
        </w:tc>
      </w:tr>
      <w:tr>
        <w:trPr>
          <w:trHeight w:val="162"/>
        </w:trPr>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62"/>
        </w:trPr>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(42,731)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(42,731)</w:t>
            </w:r>
          </w:p>
        </w:tc>
        <w:tc>
          <w:tcPr>
            <w:tcW w:w="0" w:type="dxa"/>
            <w:vAlign w:val="bottom"/>
          </w:tcPr>
          <w:p>
            <w:pPr>
              <w:spacing w:after="0"/>
              <w:rPr>
                <w:sz w:val="1"/>
                <w:szCs w:val="1"/>
                <w:color w:val="auto"/>
              </w:rPr>
            </w:pPr>
          </w:p>
        </w:tc>
      </w:tr>
      <w:tr>
        <w:trPr>
          <w:trHeight w:val="22"/>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103,715</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1,037</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757,470</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(607,852)</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150,665</w:t>
            </w:r>
          </w:p>
        </w:tc>
        <w:tc>
          <w:tcPr>
            <w:tcW w:w="0" w:type="dxa"/>
            <w:vAlign w:val="bottom"/>
          </w:tcPr>
          <w:p>
            <w:pPr>
              <w:spacing w:after="0"/>
              <w:rPr>
                <w:sz w:val="1"/>
                <w:szCs w:val="1"/>
                <w:color w:val="auto"/>
              </w:rPr>
            </w:pPr>
          </w:p>
        </w:tc>
      </w:tr>
      <w:tr>
        <w:trPr>
          <w:trHeight w:val="22"/>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-3265170</wp:posOffset>
            </wp:positionV>
            <wp:extent cx="7132320" cy="3248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2486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400" w:space="220"/>
            <w:col w:w="5620"/>
          </w:cols>
          <w:pgMar w:left="320" w:top="140" w:right="339" w:bottom="1440" w:gutter="0" w:footer="0" w:header="0"/>
          <w:type w:val="continuous"/>
        </w:sectPr>
      </w:pPr>
    </w:p>
    <w:p>
      <w:pPr>
        <w:ind w:left="298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19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(42,731)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(99,013)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(73,521)</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6,192</w:t>
            </w: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59,573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41,610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22,875</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(17,408)</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(15,231)</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accrued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11,406</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71,383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72,799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64,085</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r>
      <w:tr>
        <w:trPr>
          <w:trHeight w:val="209"/>
        </w:trPr>
        <w:tc>
          <w:tcPr>
            <w:tcW w:w="6900" w:type="dxa"/>
            <w:vAlign w:val="bottom"/>
          </w:tcPr>
          <w:p>
            <w:pPr>
              <w:ind w:left="4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64,232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(2,559)</w:t>
            </w:r>
          </w:p>
        </w:tc>
      </w:tr>
      <w:tr>
        <w:trPr>
          <w:trHeight w:val="219"/>
        </w:trPr>
        <w:tc>
          <w:tcPr>
            <w:tcW w:w="6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(184,516)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(117,488)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maturities of short-term investments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Business combination, net of cash acquired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(123,221)</w:t>
            </w:r>
          </w:p>
        </w:tc>
      </w:tr>
      <w:tr>
        <w:trPr>
          <w:trHeight w:val="216"/>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Proceeds from loan agreement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issued in connection with the employee stock purchase plan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Proceeds from the exercise of stock options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268,531</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costs related to initial public offering</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(3,932)</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r>
      <w:tr>
        <w:trPr>
          <w:trHeight w:val="213"/>
        </w:trPr>
        <w:tc>
          <w:tcPr>
            <w:tcW w:w="6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264,749</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137,906</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74,665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27,472</w:t>
            </w:r>
          </w:p>
        </w:tc>
      </w:tr>
      <w:tr>
        <w:trPr>
          <w:trHeight w:val="23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165,378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 operating leases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4,313</w:t>
            </w:r>
          </w:p>
        </w:tc>
      </w:tr>
    </w:tbl>
    <w:p>
      <w:pPr>
        <w:spacing w:after="0" w:line="191"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4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Tenable Holdings, Inc. (the “Company,” “we,” "us," or “our”) is a provider of Cyber Exposure solutions, which is a discipline for managing, measuring and comparing cybersecurity risk in the digital era. Our platform offerings provide broad visibility into security issues such as vulnerabilities, misconfigurations, internal and regulatory compliance violations and other indicators of the state of an organization’s security across IT infrastructure and applications, cloud environments and industrial internet of things and operational technology environments.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All intercompany accounts and transactions have been eliminated in consolidation.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On July 30, 2018, we completed our initial public offering ("IPO"), in which we issued and sold 12,535,000 shares of common stock at a price to the public of $23.00 per share, including 1,635,000 shares of common stock purchased by our underwriters from the full exercise of their over-allotment option. All of the shares sold in the IPO were sold by the Company. We received net proceeds of $264.6 million after deducting underwriting discounts and commissions and other offering expenses.</w:t>
      </w:r>
    </w:p>
    <w:p>
      <w:pPr>
        <w:spacing w:after="0" w:line="204" w:lineRule="exact"/>
        <w:rPr>
          <w:sz w:val="20"/>
          <w:szCs w:val="20"/>
          <w:color w:val="auto"/>
        </w:rPr>
      </w:pPr>
    </w:p>
    <w:p>
      <w:pPr>
        <w:ind w:right="640" w:firstLine="324"/>
        <w:spacing w:after="0" w:line="250" w:lineRule="auto"/>
        <w:rPr>
          <w:sz w:val="20"/>
          <w:szCs w:val="20"/>
          <w:color w:val="auto"/>
        </w:rPr>
      </w:pPr>
      <w:r>
        <w:rPr>
          <w:rFonts w:ascii="Arial" w:cs="Arial" w:eastAsia="Arial" w:hAnsi="Arial"/>
          <w:sz w:val="18"/>
          <w:szCs w:val="18"/>
          <w:color w:val="auto"/>
        </w:rPr>
        <w:t>Upon the completion of our IPO, all 15,847,500 shares of our Series A Redeemable Convertible Preferred Stock ("Series A") and 39,538,354 shares of our Series B Redeemable Convertible Preferred Stock ("Series B") automatically converted into an aggregate</w:t>
      </w:r>
    </w:p>
    <w:p>
      <w:pPr>
        <w:spacing w:after="0" w:line="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of 55,385,854 shares of our common stock. Our Amended and Restated Certificate of Incorporation adopted in connection with the IPO authorizes a total of 500,000,000 shares of common stock and 10,000,000 shares of preferred stock.</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4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functional currency for all of our foreign subsidiaries is the U.S. dollar. Assets and liabilities denominated in other currencies are remeasured into U.S. dollars at current exchange rates for monetary assets and liabilities and at historical exchange rates for non-monetary assets and liabilities. We bill our customers in U.S. dollars. Expenses incurred in non U.S. dollar currencies are remeasured into U.S. dollars when incurred. Remeasurement losses in currencies other than the functional currency were $1.7 million, $1.1 million and $1.0 million in 2020, 2019 and 2018, respectively, and are included as a component of other expense,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860" w:firstLine="324"/>
        <w:spacing w:after="0" w:line="261" w:lineRule="auto"/>
        <w:rPr>
          <w:sz w:val="20"/>
          <w:szCs w:val="20"/>
          <w:color w:val="auto"/>
        </w:rPr>
      </w:pPr>
      <w:r>
        <w:rPr>
          <w:rFonts w:ascii="Arial" w:cs="Arial" w:eastAsia="Arial" w:hAnsi="Arial"/>
          <w:sz w:val="18"/>
          <w:szCs w:val="18"/>
          <w:color w:val="auto"/>
        </w:rPr>
        <w:t>We recognize revenue in order to depict the transfer of promised goods or services to customers in an amount that reflects the consideration we expect to be entitled in exchange for those goods or services. To achieve this, we apply the following steps:</w:t>
      </w:r>
    </w:p>
    <w:p>
      <w:pPr>
        <w:spacing w:after="0" w:line="3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25"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24282D"/>
        </w:rPr>
        <w:t>In situations where we enter into a contractual arrangement that includes non-standard terms and conditions, such as acceptance provisions or options to purchase additional products and services, as well as contract modifications, we apply judgment in identifying and assessing the impact on revenue recognition.</w:t>
      </w:r>
    </w:p>
    <w:p>
      <w:pPr>
        <w:spacing w:after="0" w:line="202" w:lineRule="exact"/>
        <w:rPr>
          <w:sz w:val="20"/>
          <w:szCs w:val="20"/>
          <w:color w:val="auto"/>
        </w:rPr>
      </w:pPr>
    </w:p>
    <w:p>
      <w:pPr>
        <w:ind w:right="180" w:firstLine="324"/>
        <w:spacing w:after="0" w:line="278" w:lineRule="auto"/>
        <w:rPr>
          <w:sz w:val="20"/>
          <w:szCs w:val="20"/>
          <w:color w:val="auto"/>
        </w:rPr>
      </w:pPr>
      <w:r>
        <w:rPr>
          <w:rFonts w:ascii="Arial" w:cs="Arial" w:eastAsia="Arial" w:hAnsi="Arial"/>
          <w:sz w:val="17"/>
          <w:szCs w:val="17"/>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Subscription arrangements generally have annual or multi-year contractual terms and allow customers to use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4"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right="940" w:firstLine="324"/>
        <w:spacing w:after="0" w:line="261" w:lineRule="auto"/>
        <w:rPr>
          <w:sz w:val="20"/>
          <w:szCs w:val="20"/>
          <w:color w:val="auto"/>
        </w:rPr>
      </w:pPr>
      <w:r>
        <w:rPr>
          <w:rFonts w:ascii="Arial" w:cs="Arial" w:eastAsia="Arial" w:hAnsi="Arial"/>
          <w:sz w:val="18"/>
          <w:szCs w:val="18"/>
          <w:color w:val="auto"/>
        </w:rPr>
        <w:t>We consider all highly liquid financial instruments with an original maturity of three months or less when purchased to be cash equivalents.</w:t>
      </w:r>
    </w:p>
    <w:p>
      <w:pPr>
        <w:spacing w:after="0" w:line="198"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At December 31, 2020 and 2019, cash and cash equivalents included $0.4 million of restricted cash, which is related to collateral for a lease and credit card deposits. At December 31, 2020 and 2019, cash and cash equivalents excluded $0.2 million and $0.3 million, respectively, of restricted cash, which is related to an account established as collateral for a lease arrangement and is included in other assets on the consolidated balance sheets.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We apply fair value accounting for all financial assets and liabilities that are recognized or disclosed at fair value in the financial statements on a recurring basis. We measure cash and cash equivalents and short-term investments at fair value using a fair value hierarchy of inputs. We approximate fair value by using the carrying amounts for accounts receivable, accounts payable and accrued expenses due to their short-term nature.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We currently invest in commercial paper, corporate bonds, and U.S. treasury and agency obligations. Our investments are classified as available-for-sale and recorded at fair value, with unrealized gains and losses reported in accumulated other comprehensive income within stockholders’ equity (deficit).</w:t>
      </w:r>
    </w:p>
    <w:p>
      <w:pPr>
        <w:spacing w:after="0" w:line="20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evaluate potential impairments of available-for-sale debt securities due to credit-related and non-credit-related factors, including market risk, and if it is more-likely-than-not that we would have to sell the security before the recovery of the amortized cost basis. Identified credit-related impairments would be recognized as a charge in the statement of operations.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Accounts receivable are recorded at the invoiced amount, less an allowance for doubtful accounts, and do not bear interest. We maintain an allowance for doubtful accounts at an amount estimated to be sufficient to cover the risk of collecting less than full payment of the receivables. At each balance sheet date, we evaluate our receivables and assess the allowance for doubtful accounts based on specific customer collection issues and historical write-off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Our allowance for doubtful accounts reflects our best estimate of expected future credit losses. We consider various factors that may impact our ability to collect on accounts receivable, including our historical collection experience, age of accounts receivable balances, current conditions, reasonable and supportable forecasts of future economic conditions, as well as other factors. However, given the uncertainty caused by the COVID -19 pandemic and other factors, these estimates may change and future credit losses may differ from our estimates. Expected credit losses from accounts receivable are recognized as expense in our statement of operations.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Sales commissions, including related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estimated the period of benefit based on the expected contract term including renewal periods, the lifecycle of our technology, and other factors. Sales commissions on contract renewals are capitalized and amortized ratably over the contract term as part of sales and marketing expense, with the exception of contracts with renewal periods that are one year or less, in which case the incremental costs are expensed as incurred.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Property and equipment, net is stated at historical cost less accumulated depreciation. Depreciation is computed using the straight-line method over the estimated useful lives of the assets: three years for computer software and equipment and five years for furniture and fixtures. Leasehold improvements are amortized using the straight-line method over the shorter of the estimated useful lives of the assets or the terms of the respective leases. Property and equipment, net includes right-of-use assets acquired under finance leases. Amortization of assets acquired under finance leases is included in depreciation expense. Repairs and maintenance costs are expensed as incurred.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determine if an arrangement contains a lease and the classification of that lease, if applicable, at inception. We have elected to not recognize a lease liability or right-of-use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w:t>
      </w:r>
    </w:p>
    <w:p>
      <w:pPr>
        <w:spacing w:after="0" w:line="20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are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evaluate our long-lived assets for impairment whenever events or changes in circumstance indicate that the carrying amount may not be fully recoverable. Recoverability of the long-lived assets is measured by a comparison of the carrying amount of the assets to future undiscounted net cash flows expected to be generated by the assets. If such assets are considered to be impaired, the impairment to be recognized is measured as the excess of the carrying amount over the fair value. There was no impairment of long-lived assets in 2020, 2019 or 2018.</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we make estimates and assumptions, especially with respect to intangible assets. Estimates in valuing certain identifiable intangible assets include, but are not limited to, projected revenue growth rates, future expected operating expenses,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excess of the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4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Advertising costs are expensed as they are incurred. We incurred advertising costs of $8.2 million, $5.3 million and $3.3 million in 2020, 2019 and 2018, respectively, which are included in sales and marketing expense in the consolidated statements of operations.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Research and development costs to develop software to be sold, leased or marketed are expensed as incurred up to the point of technological feasibility for the related software product. We have not capitalized development costs for software to be sold, leased or marketed to date, as the software development process is essentially completed concurrent with the establishment of technological feasibility. As such, these costs are expensed as incurred and recognized in research and development costs in the consolidated statements of operations.</w:t>
      </w:r>
    </w:p>
    <w:p>
      <w:pPr>
        <w:spacing w:after="0" w:line="205"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Software developed for internal use, with no substantive plans to market such software at the time of development, are capitalized and included in property and equipment, net in the consolidated balance sheets. Costs incurred during the preliminary planning and evaluation and post implementation stages of the project are expensed as incurred. Costs incurred during the application development stage of the project are capitalized. In 2020, 2019 and 2018, we capitalized $1.6 million, $4.2 million and $2.4 million, respectively, of development costs related to internal use software.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related to our restricted stock units ("RSUs"), purchase rights issued under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2018 Employee Stock Purchase Plan ("2018 ESPP"), stock options and restricted stock is calculated based on the fair value of the awards granted and is recognized on a straight-line basis over the requisite service period, which is generally two to four years. RSUs that include performance-based vesting conditions and are expensed using the accelerated attribution method. We account for forfeitures as they occur.</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fair value of RSUs is based on the estimated fair value of our common stock on the date of grant. The fair value of stock options and 2018 ESPP purchase rights is estimated on the grant date using the Black-Scholes option pricing model, which requires us to make assumptions and judgments, including the expected term, expected volatility, and risk-free interest rates. Prior to our IPO, we estimated the fair value of our common stock at the date of grant. Following our IPO, we use the market price of our common stock at the date of grant.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calculate basic and diluted net loss per share attributable to common stockholders in conformity with the two-class method required for participating securities. Under the two-class method, the net loss attributable to common stockholders is not allocated to the redeemable convertible preferred stock as the holders of our redeemable convertible preferred stock do not have a contractual obligation to share in losses.</w:t>
      </w:r>
    </w:p>
    <w:p>
      <w:pPr>
        <w:spacing w:after="0" w:line="20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 Net loss attributable to common stockholders is calculated by adjusting net loss by the current period accretion of redeemable convertible preferred stock.</w:t>
      </w:r>
    </w:p>
    <w:p>
      <w:pPr>
        <w:spacing w:after="0" w:line="204"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Upon the completion of our IPO, all of our Series A and Series B redeemable convertible preferred stock automatically converted into shares of our common stock.</w:t>
      </w:r>
    </w:p>
    <w:p>
      <w:pPr>
        <w:spacing w:after="0" w:line="19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Diluted earnings per share attributable to common stockholders is computed by giving effect to all potentially dilutive common stock equivalents in the period, including unvested RSUs, stock options, unvested restricted shares, redeemable convertible preferred stock and shares to be issued under our 2018 ESPP. As we have reported losses for all periods presented, all potentially dilutive securities have been excluded from the calculation of diluted net loss per share attributable to common stockholders as their effect would be antidilutive.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We operate as one operating segment as our chief executive officer, who is our chief operating decision maker, reviews financial information on a consolidated basis for purposes of making operating decisions, allocating resources, and evaluating financial performance.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Income taxes are accounted for under the asset and liability method. This method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A valuation allowance is provided if it is more likely than not that some or all of the deferred tax assets will not be realized.</w:t>
      </w:r>
    </w:p>
    <w:p>
      <w:pPr>
        <w:spacing w:after="0" w:line="204"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color w:val="auto"/>
        </w:rPr>
        <w:t xml:space="preserve">We adopted Accounting Standards Update ("ASU") No. 2016-13 —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on Financial Instruments, </w:t>
      </w:r>
      <w:r>
        <w:rPr>
          <w:rFonts w:ascii="Arial" w:cs="Arial" w:eastAsia="Arial" w:hAnsi="Arial"/>
          <w:sz w:val="18"/>
          <w:szCs w:val="18"/>
          <w:color w:val="auto"/>
        </w:rPr>
        <w:t>effective January 1, 2020 using the modified retrospective approach. The new standard replaces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 incurred loss impairment methodology with a methodology that reflects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current expected credit losses for financial assets, including trade receivables, which are not measured at fair value, through net income. The adoption of this guidance did not have a material impact on our condensed consolidated financial statements.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color w:val="auto"/>
        </w:rPr>
        <w:t xml:space="preserve">In December 2019, the Financial Accounting Standards Board ("FASB") issued ASU No. 2019-12 -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This ASU eliminates previously allowed exceptions and clarifies existing guidance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including in the areas of franchise taxes, the tax basis of goodwill and interim period effects of changes in tax laws. This guidance was effective for us beginning January 1, 2021. We do not expect the impact of adopting this standard to be material for our consolidated financial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54,622</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267,360</w:t>
            </w: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We derived 91%, 90% and 88% of revenue through our channel network in 2020, 2019 and 2018, respectively. One of our distributors accounted for 43%, 43% and 46% of revenue in 2020, 2019 and 2018, respectively. That same distributor accounted for 41% and 40% of accounts receivable at December 31, 2020 and 2019,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2020, 2019 and 2018, we recognized revenue of $274.3 million, $214.0 million and $154.9 million, respectively, that was included in the deferred revenue balance at the beginning of each of the respective periods.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jc w:val="both"/>
        <w:ind w:right="740" w:firstLine="324"/>
        <w:spacing w:after="0" w:line="256" w:lineRule="auto"/>
        <w:rPr>
          <w:sz w:val="20"/>
          <w:szCs w:val="20"/>
          <w:color w:val="auto"/>
        </w:rPr>
      </w:pPr>
      <w:r>
        <w:rPr>
          <w:rFonts w:ascii="Arial" w:cs="Arial" w:eastAsia="Arial" w:hAnsi="Arial"/>
          <w:sz w:val="18"/>
          <w:szCs w:val="18"/>
          <w:color w:val="auto"/>
        </w:rPr>
        <w:t>At December 31, 2020, the future estimated revenue related to unsatisfied performance obligations was $443.2 million, of which approximately 76% is expected to be recognized as revenue over the succeeding twelve months, and the remainder expected to be recognized over the four years thereafter.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6"/>
                <w:szCs w:val="16"/>
                <w:b w:val="1"/>
                <w:bCs w:val="1"/>
                <w:color w:val="auto"/>
              </w:rPr>
              <w:t>Year Ended December 31,</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rPr>
              <w:t>72,265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98"/>
              </w:rPr>
              <w:t>59,434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300" w:type="dxa"/>
            <w:vAlign w:val="bottom"/>
          </w:tcPr>
          <w:p>
            <w:pPr>
              <w:spacing w:after="0"/>
              <w:rPr>
                <w:sz w:val="19"/>
                <w:szCs w:val="19"/>
                <w:color w:val="auto"/>
              </w:rPr>
            </w:pPr>
          </w:p>
        </w:tc>
        <w:tc>
          <w:tcPr>
            <w:tcW w:w="1120" w:type="dxa"/>
            <w:vAlign w:val="bottom"/>
          </w:tcPr>
          <w:p>
            <w:pPr>
              <w:jc w:val="center"/>
              <w:ind w:left="353"/>
              <w:spacing w:after="0"/>
              <w:rPr>
                <w:sz w:val="20"/>
                <w:szCs w:val="20"/>
                <w:color w:val="auto"/>
              </w:rPr>
            </w:pPr>
            <w:r>
              <w:rPr>
                <w:rFonts w:ascii="Arial" w:cs="Arial" w:eastAsia="Arial" w:hAnsi="Arial"/>
                <w:sz w:val="18"/>
                <w:szCs w:val="18"/>
                <w:color w:val="auto"/>
              </w:rPr>
              <w:t>38,756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332"/>
              <w:spacing w:after="0"/>
              <w:rPr>
                <w:sz w:val="20"/>
                <w:szCs w:val="20"/>
                <w:color w:val="auto"/>
              </w:rPr>
            </w:pPr>
            <w:r>
              <w:rPr>
                <w:rFonts w:ascii="Arial" w:cs="Arial" w:eastAsia="Arial" w:hAnsi="Arial"/>
                <w:sz w:val="18"/>
                <w:szCs w:val="18"/>
                <w:color w:val="auto"/>
                <w:w w:val="98"/>
              </w:rPr>
              <w:t>40,172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98"/>
              </w:rPr>
              <w:t>(32,145)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rPr>
              <w:t>(27,341)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rPr>
              <w:t>78,876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98"/>
              </w:rPr>
              <w:t>72,265</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Cash and Cash Equivalents and Short-Term Investments</w:t>
      </w:r>
    </w:p>
    <w:p>
      <w:pPr>
        <w:spacing w:after="0" w:line="247"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6"/>
                <w:szCs w:val="16"/>
                <w:b w:val="1"/>
                <w:bCs w:val="1"/>
                <w:color w:val="auto"/>
              </w:rPr>
              <w:t>December 31, 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1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3"/>
                <w:szCs w:val="13"/>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28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9"/>
              </w:rPr>
              <w:t>Estimated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2"/>
              <w:spacing w:after="0"/>
              <w:rPr>
                <w:sz w:val="20"/>
                <w:szCs w:val="20"/>
                <w:color w:val="auto"/>
              </w:rPr>
            </w:pPr>
            <w:r>
              <w:rPr>
                <w:rFonts w:ascii="Arial" w:cs="Arial" w:eastAsia="Arial" w:hAnsi="Arial"/>
                <w:sz w:val="16"/>
                <w:szCs w:val="16"/>
                <w:b w:val="1"/>
                <w:bCs w:val="1"/>
                <w:color w:val="auto"/>
                <w:w w:val="98"/>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2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Commercial paper</w:t>
            </w: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cash equivalents</w:t>
            </w:r>
          </w:p>
        </w:tc>
        <w:tc>
          <w:tcPr>
            <w:tcW w:w="42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Commercial paper</w:t>
            </w:r>
          </w:p>
        </w:tc>
        <w:tc>
          <w:tcPr>
            <w:tcW w:w="420" w:type="dxa"/>
            <w:vAlign w:val="bottom"/>
            <w:gridSpan w:val="2"/>
          </w:tcPr>
          <w:p>
            <w:pPr>
              <w:jc w:val="right"/>
              <w:ind w:right="19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71,425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Treasury and agency obligations</w:t>
            </w: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short-term investments</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6"/>
                <w:szCs w:val="16"/>
                <w:b w:val="1"/>
                <w:bCs w:val="1"/>
                <w:color w:val="auto"/>
              </w:rPr>
              <w:t>December 31, 2019</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3"/>
                <w:szCs w:val="13"/>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280" w:type="dxa"/>
            <w:vAlign w:val="bottom"/>
          </w:tcPr>
          <w:p>
            <w:pPr>
              <w:jc w:val="center"/>
              <w:ind w:right="32"/>
              <w:spacing w:after="0" w:line="158" w:lineRule="exact"/>
              <w:rPr>
                <w:sz w:val="20"/>
                <w:szCs w:val="20"/>
                <w:color w:val="auto"/>
              </w:rPr>
            </w:pPr>
            <w:r>
              <w:rPr>
                <w:rFonts w:ascii="Arial" w:cs="Arial" w:eastAsia="Arial" w:hAnsi="Arial"/>
                <w:sz w:val="16"/>
                <w:szCs w:val="16"/>
                <w:b w:val="1"/>
                <w:bCs w:val="1"/>
                <w:color w:val="auto"/>
              </w:rPr>
              <w:t>Estimated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2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2"/>
              <w:spacing w:after="0"/>
              <w:rPr>
                <w:sz w:val="20"/>
                <w:szCs w:val="20"/>
                <w:color w:val="auto"/>
              </w:rPr>
            </w:pPr>
            <w:r>
              <w:rPr>
                <w:rFonts w:ascii="Arial" w:cs="Arial" w:eastAsia="Arial" w:hAnsi="Arial"/>
                <w:sz w:val="16"/>
                <w:szCs w:val="16"/>
                <w:b w:val="1"/>
                <w:bCs w:val="1"/>
                <w:color w:val="auto"/>
                <w:w w:val="98"/>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equivalents:</w:t>
            </w:r>
          </w:p>
        </w:tc>
        <w:tc>
          <w:tcPr>
            <w:tcW w:w="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2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 paper</w:t>
            </w: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42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420" w:type="dxa"/>
            <w:vAlign w:val="bottom"/>
            <w:gridSpan w:val="2"/>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61,371</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2"/>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U.S. Treasury and agency obligations</w:t>
            </w: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short-term investments</w:t>
            </w:r>
          </w:p>
        </w:tc>
        <w:tc>
          <w:tcPr>
            <w:tcW w:w="42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137,904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all of our short-term investments had maturities within the next twelve months.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Fair Value Measurements</w:t>
      </w:r>
    </w:p>
    <w:p>
      <w:pPr>
        <w:spacing w:after="0" w:line="247"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5"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460" w:hanging="328"/>
        <w:spacing w:after="0" w:line="28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4"/>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1"/>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r>
      <w:tr>
        <w:trPr>
          <w:trHeight w:val="229"/>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r>
      <w:tr>
        <w:trPr>
          <w:trHeight w:val="243"/>
        </w:trPr>
        <w:tc>
          <w:tcPr>
            <w:tcW w:w="5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71,425</w:t>
            </w:r>
          </w:p>
        </w:tc>
        <w:tc>
          <w:tcPr>
            <w:tcW w:w="100" w:type="dxa"/>
            <w:vAlign w:val="bottom"/>
          </w:tcPr>
          <w:p>
            <w:pPr>
              <w:spacing w:after="0"/>
              <w:rPr>
                <w:sz w:val="19"/>
                <w:szCs w:val="19"/>
                <w:color w:val="auto"/>
              </w:rPr>
            </w:pP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71,425</w:t>
            </w: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30"/>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37,693</w:t>
            </w:r>
          </w:p>
        </w:tc>
      </w:tr>
      <w:tr>
        <w:trPr>
          <w:trHeight w:val="243"/>
        </w:trPr>
        <w:tc>
          <w:tcPr>
            <w:tcW w:w="5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113,623</w:t>
            </w: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7"/>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December 31, 2019</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4"/>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1"/>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r>
      <w:tr>
        <w:trPr>
          <w:trHeight w:val="229"/>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w:t>
            </w:r>
          </w:p>
        </w:tc>
      </w:tr>
      <w:tr>
        <w:trPr>
          <w:trHeight w:val="243"/>
        </w:trPr>
        <w:tc>
          <w:tcPr>
            <w:tcW w:w="5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61,371</w:t>
            </w:r>
          </w:p>
        </w:tc>
        <w:tc>
          <w:tcPr>
            <w:tcW w:w="100" w:type="dxa"/>
            <w:vAlign w:val="bottom"/>
          </w:tcPr>
          <w:p>
            <w:pPr>
              <w:spacing w:after="0"/>
              <w:rPr>
                <w:sz w:val="19"/>
                <w:szCs w:val="19"/>
                <w:color w:val="auto"/>
              </w:rPr>
            </w:pP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61,371</w:t>
            </w: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w:t>
            </w:r>
          </w:p>
        </w:tc>
      </w:tr>
      <w:tr>
        <w:trPr>
          <w:trHeight w:val="229"/>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52,664</w:t>
            </w:r>
          </w:p>
        </w:tc>
      </w:tr>
      <w:tr>
        <w:trPr>
          <w:trHeight w:val="243"/>
        </w:trPr>
        <w:tc>
          <w:tcPr>
            <w:tcW w:w="5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at December 31, 2020 and 2019.</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Computer software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22,930</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21,234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16,953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finance leases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23"/>
        </w:trPr>
        <w:tc>
          <w:tcPr>
            <w:tcW w:w="826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44,557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(17,710)</w:t>
            </w:r>
          </w:p>
        </w:tc>
      </w:tr>
      <w:tr>
        <w:trPr>
          <w:trHeight w:val="223"/>
        </w:trPr>
        <w:tc>
          <w:tcPr>
            <w:tcW w:w="82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26,847</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Depreciation and amortization related to property and equipment was $8.1 million, $6.3 million and $5.6 million in 2020, 2019 and 2018, respectively.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Acquisition, Goodwill and 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On December 2, 2019, we acquired Indegy Ltd. (“Indegy”) to expand our OT-specific capabilities. Through a share purchase agreement, we acquired 100% of Indegy's equity in exchange for total cash consideration of $80.3 million, including cash acquired of $5.5 million and a working capital adjustment of $0.3 million paid in November 2020. As part of the acquisition, all unvested options to acquire ordinary shares of Indegy vested immediately, and all options to acquire ordinary shares of Indegy were canceled in exchange for a right to receive a portion of the cash consideration. We paid $1.8 million for unvested options, which is included in post-acquisition stock-based compensation expense in our consolidated statements of operations.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consideration was allocated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Other net tangible assets acquired</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15,700</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54,149</w:t>
            </w:r>
          </w:p>
        </w:tc>
      </w:tr>
      <w:tr>
        <w:trPr>
          <w:trHeight w:val="223"/>
        </w:trPr>
        <w:tc>
          <w:tcPr>
            <w:tcW w:w="9140" w:type="dxa"/>
            <w:vAlign w:val="bottom"/>
          </w:tcPr>
          <w:p>
            <w:pPr>
              <w:ind w:left="220"/>
              <w:spacing w:after="0"/>
              <w:rPr>
                <w:sz w:val="20"/>
                <w:szCs w:val="20"/>
                <w:color w:val="auto"/>
              </w:rPr>
            </w:pPr>
            <w:r>
              <w:rPr>
                <w:rFonts w:ascii="Arial" w:cs="Arial" w:eastAsia="Arial" w:hAnsi="Arial"/>
                <w:sz w:val="18"/>
                <w:szCs w:val="18"/>
                <w:color w:val="auto"/>
              </w:rPr>
              <w:t>Total purchase price allocation</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80,327</w:t>
            </w:r>
          </w:p>
        </w:tc>
      </w:tr>
      <w:tr>
        <w:trPr>
          <w:trHeight w:val="21"/>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and their estimated useful lives at the date of acquisition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Intangible Assets</w:t>
            </w:r>
          </w:p>
        </w:tc>
        <w:tc>
          <w:tcPr>
            <w:tcW w:w="0" w:type="dxa"/>
            <w:vAlign w:val="bottom"/>
          </w:tcPr>
          <w:p>
            <w:pPr>
              <w:spacing w:after="0"/>
              <w:rPr>
                <w:sz w:val="1"/>
                <w:szCs w:val="1"/>
                <w:color w:val="auto"/>
              </w:rPr>
            </w:pPr>
          </w:p>
        </w:tc>
      </w:tr>
      <w:tr>
        <w:trPr>
          <w:trHeight w:val="159"/>
        </w:trPr>
        <w:tc>
          <w:tcPr>
            <w:tcW w:w="8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Pr>
          <w:p>
            <w:pPr>
              <w:spacing w:after="0"/>
              <w:rPr>
                <w:sz w:val="14"/>
                <w:szCs w:val="14"/>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 Useful</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intangible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Indegy results of operations and pro forma results were not material to the consolidated statement of operations in 2019.</w:t>
      </w:r>
    </w:p>
    <w:p>
      <w:pPr>
        <w:spacing w:after="0" w:line="225"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In general and administrative expense, we recognized $0.3 million of acquisition-related transaction costs in 2020. In 2019, we recognized $4.0 million of acquisition-related transaction costs, including $2.1 million of expense related to the intercompany transfer of intellectual property.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54,138</w:t>
            </w:r>
          </w:p>
        </w:tc>
      </w:tr>
      <w:tr>
        <w:trPr>
          <w:trHeight w:val="230"/>
        </w:trPr>
        <w:tc>
          <w:tcPr>
            <w:tcW w:w="9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Working capital adjustment</w:t>
            </w:r>
          </w:p>
        </w:tc>
        <w:tc>
          <w:tcPr>
            <w:tcW w:w="8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54,414</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The acquired goodwill reflects the synergies we expect from integrating Indegy's capabilities into our enterprise platform</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offerings and from marketing and selling these new capabilities to our customers. None of the acquired goodwill is tax deductible.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58"/>
        </w:trPr>
        <w:tc>
          <w:tcPr>
            <w:tcW w:w="2360" w:type="dxa"/>
            <w:vAlign w:val="bottom"/>
          </w:tcPr>
          <w:p>
            <w:pPr>
              <w:spacing w:after="0"/>
              <w:rPr>
                <w:sz w:val="13"/>
                <w:szCs w:val="13"/>
                <w:color w:val="auto"/>
              </w:rPr>
            </w:pPr>
          </w:p>
        </w:tc>
        <w:tc>
          <w:tcPr>
            <w:tcW w:w="1360" w:type="dxa"/>
            <w:vAlign w:val="bottom"/>
            <w:gridSpan w:val="2"/>
          </w:tcPr>
          <w:p>
            <w:pPr>
              <w:jc w:val="right"/>
              <w:ind w:right="12"/>
              <w:spacing w:after="0" w:line="158"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22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Net Carrying</w:t>
            </w:r>
          </w:p>
        </w:tc>
        <w:tc>
          <w:tcPr>
            <w:tcW w:w="120" w:type="dxa"/>
            <w:vAlign w:val="bottom"/>
          </w:tcPr>
          <w:p>
            <w:pPr>
              <w:spacing w:after="0"/>
              <w:rPr>
                <w:sz w:val="13"/>
                <w:szCs w:val="13"/>
                <w:color w:val="auto"/>
              </w:rPr>
            </w:pPr>
          </w:p>
        </w:tc>
        <w:tc>
          <w:tcPr>
            <w:tcW w:w="13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22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Net Carrying</w:t>
            </w:r>
          </w:p>
        </w:tc>
      </w:tr>
      <w:tr>
        <w:trPr>
          <w:trHeight w:val="215"/>
        </w:trPr>
        <w:tc>
          <w:tcPr>
            <w:tcW w:w="2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15,316</w:t>
            </w:r>
          </w:p>
        </w:tc>
      </w:tr>
      <w:tr>
        <w:trPr>
          <w:trHeight w:val="229"/>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23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15,508</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acquired intangible assets was $2.3 million, $0.6 million, and $0.6 million in 2020, 2019 and 2018,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estimated future amortization of intangible assets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9140" w:type="dxa"/>
            <w:vAlign w:val="bottom"/>
          </w:tcPr>
          <w:p>
            <w:pPr>
              <w:jc w:val="right"/>
              <w:ind w:right="8471"/>
              <w:spacing w:after="0"/>
              <w:rPr>
                <w:sz w:val="20"/>
                <w:szCs w:val="20"/>
                <w:color w:val="auto"/>
              </w:rPr>
            </w:pPr>
            <w:r>
              <w:rPr>
                <w:rFonts w:ascii="Arial" w:cs="Arial" w:eastAsia="Arial" w:hAnsi="Arial"/>
                <w:sz w:val="18"/>
                <w:szCs w:val="18"/>
                <w:color w:val="auto"/>
              </w:rPr>
              <w:t>2021</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29"/>
        </w:trPr>
        <w:tc>
          <w:tcPr>
            <w:tcW w:w="9140" w:type="dxa"/>
            <w:vAlign w:val="bottom"/>
            <w:shd w:val="clear" w:color="auto" w:fill="CCEEFF"/>
          </w:tcPr>
          <w:p>
            <w:pPr>
              <w:jc w:val="right"/>
              <w:ind w:right="8471"/>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9140" w:type="dxa"/>
            <w:vAlign w:val="bottom"/>
          </w:tcPr>
          <w:p>
            <w:pPr>
              <w:jc w:val="right"/>
              <w:ind w:right="8471"/>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2,214</w:t>
            </w:r>
          </w:p>
        </w:tc>
      </w:tr>
      <w:tr>
        <w:trPr>
          <w:trHeight w:val="229"/>
        </w:trPr>
        <w:tc>
          <w:tcPr>
            <w:tcW w:w="9140" w:type="dxa"/>
            <w:vAlign w:val="bottom"/>
            <w:shd w:val="clear" w:color="auto" w:fill="CCEEFF"/>
          </w:tcPr>
          <w:p>
            <w:pPr>
              <w:jc w:val="right"/>
              <w:ind w:right="8471"/>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29"/>
        </w:trPr>
        <w:tc>
          <w:tcPr>
            <w:tcW w:w="9140" w:type="dxa"/>
            <w:vAlign w:val="bottom"/>
          </w:tcPr>
          <w:p>
            <w:pPr>
              <w:jc w:val="right"/>
              <w:ind w:right="8471"/>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r>
      <w:tr>
        <w:trPr>
          <w:trHeight w:val="223"/>
        </w:trPr>
        <w:tc>
          <w:tcPr>
            <w:tcW w:w="9140" w:type="dxa"/>
            <w:vAlign w:val="bottom"/>
          </w:tcPr>
          <w:p>
            <w:pPr>
              <w:jc w:val="right"/>
              <w:ind w:right="8451"/>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13,193</w:t>
            </w:r>
          </w:p>
        </w:tc>
      </w:tr>
      <w:tr>
        <w:trPr>
          <w:trHeight w:val="21"/>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Leases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Our leases have remaining terms of less than one year to just over eleven years, some of which include one or more options to renew, with renewal terms up to five years and some of which include options to terminate the leases within the next one to four years. The ROU assets and liabilities at December 31, 2020 assume we exercise the option to early terminate one of our leases in 2025.</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Amortization of ROU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2020, 2019 and 2018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74"/>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67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r>
      <w:tr>
        <w:trPr>
          <w:trHeight w:val="19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10.0 years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74"/>
              <w:spacing w:after="0"/>
              <w:rPr>
                <w:sz w:val="20"/>
                <w:szCs w:val="20"/>
                <w:color w:val="auto"/>
              </w:rPr>
            </w:pPr>
            <w:r>
              <w:rPr>
                <w:rFonts w:ascii="Arial" w:cs="Arial" w:eastAsia="Arial" w:hAnsi="Arial"/>
                <w:sz w:val="18"/>
                <w:szCs w:val="18"/>
                <w:color w:val="auto"/>
              </w:rPr>
              <w:t>10.0 years</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5.8%</w:t>
            </w:r>
          </w:p>
        </w:tc>
      </w:tr>
      <w:tr>
        <w:trPr>
          <w:trHeight w:val="453"/>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r>
      <w:tr>
        <w:trPr>
          <w:trHeight w:val="21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2018</w:t>
            </w:r>
          </w:p>
        </w:tc>
      </w:tr>
      <w:tr>
        <w:trPr>
          <w:trHeight w:val="19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39,170</w:t>
            </w:r>
          </w:p>
        </w:tc>
        <w:tc>
          <w:tcPr>
            <w:tcW w:w="40" w:type="dxa"/>
            <w:vAlign w:val="bottom"/>
          </w:tcPr>
          <w:p>
            <w:pPr>
              <w:spacing w:after="0"/>
              <w:rPr>
                <w:sz w:val="19"/>
                <w:szCs w:val="19"/>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15"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2020, we received proceeds from lease incentives of $14.2 million. The proceeds from lease incentives received are included with the change in the lease liabilities under the other current and noncurrent liabilities caption in the operating activities section of the statement of cash flows.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at December 31, 2020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9800" w:type="dxa"/>
            <w:vAlign w:val="bottom"/>
          </w:tcPr>
          <w:p>
            <w:pPr>
              <w:jc w:val="right"/>
              <w:ind w:right="9131"/>
              <w:spacing w:after="0"/>
              <w:rPr>
                <w:sz w:val="20"/>
                <w:szCs w:val="20"/>
                <w:color w:val="auto"/>
              </w:rPr>
            </w:pPr>
            <w:r>
              <w:rPr>
                <w:rFonts w:ascii="Arial" w:cs="Arial" w:eastAsia="Arial" w:hAnsi="Arial"/>
                <w:sz w:val="18"/>
                <w:szCs w:val="18"/>
                <w:color w:val="auto"/>
              </w:rPr>
              <w:t>2021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3,891</w:t>
            </w:r>
          </w:p>
        </w:tc>
      </w:tr>
      <w:tr>
        <w:trPr>
          <w:trHeight w:val="230"/>
        </w:trPr>
        <w:tc>
          <w:tcPr>
            <w:tcW w:w="9800" w:type="dxa"/>
            <w:vAlign w:val="bottom"/>
            <w:shd w:val="clear" w:color="auto" w:fill="CCEEFF"/>
          </w:tcPr>
          <w:p>
            <w:pPr>
              <w:jc w:val="right"/>
              <w:ind w:right="9131"/>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r>
      <w:tr>
        <w:trPr>
          <w:trHeight w:val="229"/>
        </w:trPr>
        <w:tc>
          <w:tcPr>
            <w:tcW w:w="9800" w:type="dxa"/>
            <w:vAlign w:val="bottom"/>
          </w:tcPr>
          <w:p>
            <w:pPr>
              <w:jc w:val="right"/>
              <w:ind w:right="9131"/>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7,711</w:t>
            </w:r>
          </w:p>
        </w:tc>
      </w:tr>
      <w:tr>
        <w:trPr>
          <w:trHeight w:val="230"/>
        </w:trPr>
        <w:tc>
          <w:tcPr>
            <w:tcW w:w="9800" w:type="dxa"/>
            <w:vAlign w:val="bottom"/>
            <w:shd w:val="clear" w:color="auto" w:fill="CCEEFF"/>
          </w:tcPr>
          <w:p>
            <w:pPr>
              <w:jc w:val="right"/>
              <w:ind w:right="9131"/>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r>
      <w:tr>
        <w:trPr>
          <w:trHeight w:val="229"/>
        </w:trPr>
        <w:tc>
          <w:tcPr>
            <w:tcW w:w="9800" w:type="dxa"/>
            <w:vAlign w:val="bottom"/>
          </w:tcPr>
          <w:p>
            <w:pPr>
              <w:jc w:val="right"/>
              <w:ind w:right="9131"/>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44,525</w:t>
            </w:r>
          </w:p>
        </w:tc>
      </w:tr>
      <w:tr>
        <w:trPr>
          <w:trHeight w:val="223"/>
        </w:trPr>
        <w:tc>
          <w:tcPr>
            <w:tcW w:w="980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79,478</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(21,134)</w:t>
            </w:r>
          </w:p>
        </w:tc>
      </w:tr>
      <w:tr>
        <w:trPr>
          <w:trHeight w:val="223"/>
        </w:trPr>
        <w:tc>
          <w:tcPr>
            <w:tcW w:w="9800" w:type="dxa"/>
            <w:vAlign w:val="bottom"/>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58,344</w:t>
            </w:r>
          </w:p>
        </w:tc>
      </w:tr>
      <w:tr>
        <w:trPr>
          <w:trHeight w:val="20"/>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Debt</w:t>
      </w:r>
    </w:p>
    <w:p>
      <w:pPr>
        <w:spacing w:after="0" w:line="247"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In July 2020, we entered into a new $45.0 million senior secured credit facility ("2020 Credit Facility") with Silicon Valley Bank in connection with the expiration of our $25.0 million revolving credit facility ("2017 Credit Facility"). The 2020 Credit Facility bears interest at either LIBOR plus 2%, with a 1% LIBOR floor, or the base rate plus 1%, and terminates on July 24, 2022. A commitment fee of 0.35% per annum is payable quarterly in arrears based on the unused portion. The obligations under 2020 Credit Facility are secured by a lien on our tangible and intangible property except intellectual property and certain subsidiaries and by a pledge of all of the equity interests of the Company's material direct and indirect domestic subsidiaries and 65% of each class of capital stock of any material first-tier foreign subsidiaries, subject to limited exceptions. The 2020 Credit Facility includes a $ 45.0 million uncommitted expansion, as well as a $10.0 million sublimit for the issuance of letters of credit and a swingline sub -facility of up to $10.0 million, and has a financial covenant requiring a minimum consolidated quick ratio of at least 1.5:1.0 on the last day of each quarter.</w:t>
      </w:r>
    </w:p>
    <w:p>
      <w:pPr>
        <w:spacing w:after="0" w:line="21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2020 and 2019, there were no amounts outstanding under our 2020 Credit Facility or, prior to its expiration, the 2017 Credit Facility. At December 31, 2020, we were in compliance with the financial covenant and our borrowing capacity was reduced by $5.5 million related to standby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Redeemable Convertible Preferred Stock and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October 2012, Tenable, Inc. (now a wholly owned subsidiary of Tenable Holdings, Inc.) issued 15,847,500 shares of Series A redeemable convertible preferred stock. In December 2015, we issued 15,847,500 shares, par value of $0.01, of Series A redeemable convertible preferred stock ("Series A") in exchange for Series A redeemable convertible preferred stock of Tenable, Inc. in connection with a recapitalization. This exchange was made on a one for one basis. In addition, we authorized 42,000,000 shares and issued 39,538,354 shares, par value of $0.01, of Series B redeemable convertible preferred stock ("Series B"). Upon completion of our IPO, Series A and Series B (together, the “Redeemable Convertible Preferred Stock”) automatically converted into an aggregate of 55,385,854 shares of our common stock.</w:t>
      </w:r>
    </w:p>
    <w:p>
      <w:pPr>
        <w:spacing w:after="0" w:line="207"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We accreted the Redeemable Convertible Preferred Stock to the redemption price at the redemption date using the effective interest method. Upon completion of our IPO, the accretion rights of the Redeemable Convertible Preferred Stock were terminated.</w:t>
      </w:r>
    </w:p>
    <w:p>
      <w:pPr>
        <w:spacing w:after="0" w:line="198" w:lineRule="exact"/>
        <w:rPr>
          <w:sz w:val="20"/>
          <w:szCs w:val="20"/>
          <w:color w:val="auto"/>
        </w:rPr>
      </w:pPr>
    </w:p>
    <w:p>
      <w:pPr>
        <w:ind w:right="560" w:firstLine="324"/>
        <w:spacing w:after="0" w:line="256" w:lineRule="auto"/>
        <w:rPr>
          <w:sz w:val="20"/>
          <w:szCs w:val="20"/>
          <w:color w:val="auto"/>
        </w:rPr>
      </w:pPr>
      <w:r>
        <w:rPr>
          <w:rFonts w:ascii="Arial" w:cs="Arial" w:eastAsia="Arial" w:hAnsi="Arial"/>
          <w:sz w:val="18"/>
          <w:szCs w:val="18"/>
          <w:color w:val="auto"/>
        </w:rPr>
        <w:t>Upon the completion of our IPO, we filed an Amended and Restated Certificate of Incorporation, authorizing a total of 500,000,000 shares of common stock and 10,000,000 shares of preferred stock. There were no shares of preferred stock issued or outstanding at December 31, 2020 or 2019.</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Stock-Based Compensation</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2018, our Board of Directors adopted, and our stockholders approved, our 2018 Equity Incentive Plan ("2018 Plan"). Under the evergreen provision in the 2018 Plan, in January 2020 we reserved an additional 4,929,361 shares of our common stock. At December 31, 2020, there were 17,766,262 shares available for grant.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6,911</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r>
      <w:tr>
        <w:trPr>
          <w:trHeight w:val="248"/>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At December 31, 2020, the unrecognized stock-based compensation expense related to unvested RSUs was $107.5 million, which is expected to be recognized over an estimated weighted average remaining period of 2.8 years.</w:t>
      </w:r>
    </w:p>
    <w:p>
      <w:pPr>
        <w:spacing w:after="0" w:line="198"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At December 31, 2020, the unrecognized stock-based compensation expense related to outstanding stock options was $10.4 million, which is expected to be recognized over an estimated remaining weighted average period of 1.3 years.</w:t>
      </w:r>
    </w:p>
    <w:p>
      <w:pPr>
        <w:spacing w:after="0" w:line="198"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At December 31, 2020, the unrecognized stock-based compensation expense related to unvested awards of restricted stock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RSU activity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3100" w:type="dxa"/>
            <w:vAlign w:val="bottom"/>
            <w:gridSpan w:val="5"/>
          </w:tcPr>
          <w:p>
            <w:pPr>
              <w:ind w:left="840"/>
              <w:spacing w:after="0"/>
              <w:rPr>
                <w:sz w:val="20"/>
                <w:szCs w:val="20"/>
                <w:color w:val="auto"/>
              </w:rPr>
            </w:pPr>
            <w:r>
              <w:rPr>
                <w:rFonts w:ascii="Arial" w:cs="Arial" w:eastAsia="Arial" w:hAnsi="Arial"/>
                <w:sz w:val="16"/>
                <w:szCs w:val="16"/>
                <w:b w:val="1"/>
                <w:bCs w:val="1"/>
                <w:color w:val="auto"/>
              </w:rPr>
              <w:t>Restricted Stock</w:t>
            </w:r>
          </w:p>
        </w:tc>
        <w:tc>
          <w:tcPr>
            <w:tcW w:w="2940" w:type="dxa"/>
            <w:vAlign w:val="bottom"/>
            <w:gridSpan w:val="4"/>
          </w:tcPr>
          <w:p>
            <w:pPr>
              <w:jc w:val="right"/>
              <w:ind w:right="1172"/>
              <w:spacing w:after="0"/>
              <w:rPr>
                <w:sz w:val="20"/>
                <w:szCs w:val="20"/>
                <w:color w:val="auto"/>
              </w:rPr>
            </w:pPr>
            <w:r>
              <w:rPr>
                <w:rFonts w:ascii="Arial" w:cs="Arial" w:eastAsia="Arial" w:hAnsi="Arial"/>
                <w:sz w:val="16"/>
                <w:szCs w:val="16"/>
                <w:b w:val="1"/>
                <w:bCs w:val="1"/>
                <w:color w:val="auto"/>
              </w:rPr>
              <w:t>RSUs</w:t>
            </w: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9"/>
              </w:rPr>
              <w:t>Weighted</w:t>
            </w:r>
          </w:p>
        </w:tc>
        <w:tc>
          <w:tcPr>
            <w:tcW w:w="14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Average</w:t>
            </w:r>
          </w:p>
        </w:tc>
        <w:tc>
          <w:tcPr>
            <w:tcW w:w="1640" w:type="dxa"/>
            <w:vAlign w:val="bottom"/>
            <w:gridSpan w:val="3"/>
            <w:vMerge w:val="restart"/>
          </w:tcPr>
          <w:p>
            <w:pPr>
              <w:ind w:left="400"/>
              <w:spacing w:after="0"/>
              <w:rPr>
                <w:sz w:val="20"/>
                <w:szCs w:val="20"/>
                <w:color w:val="auto"/>
              </w:rPr>
            </w:pPr>
            <w:r>
              <w:rPr>
                <w:rFonts w:ascii="Arial" w:cs="Arial" w:eastAsia="Arial" w:hAnsi="Arial"/>
                <w:sz w:val="16"/>
                <w:szCs w:val="16"/>
                <w:b w:val="1"/>
                <w:bCs w:val="1"/>
                <w:color w:val="auto"/>
              </w:rPr>
              <w:t>Number</w:t>
            </w:r>
          </w:p>
        </w:tc>
        <w:tc>
          <w:tcPr>
            <w:tcW w:w="130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 data)</w:t>
            </w: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Grant Date Fair</w:t>
            </w:r>
          </w:p>
        </w:tc>
        <w:tc>
          <w:tcPr>
            <w:tcW w:w="1640" w:type="dxa"/>
            <w:vAlign w:val="bottom"/>
            <w:gridSpan w:val="3"/>
            <w:vMerge w:val="continue"/>
          </w:tcPr>
          <w:p>
            <w:pPr>
              <w:spacing w:after="0"/>
              <w:rPr>
                <w:sz w:val="14"/>
                <w:szCs w:val="14"/>
                <w:color w:val="auto"/>
              </w:rPr>
            </w:pPr>
          </w:p>
        </w:tc>
        <w:tc>
          <w:tcPr>
            <w:tcW w:w="130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balance at December 31, 2018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balance at December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balance at December 31,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RSUs granted under our stock incentive plans generally vest over a period of two to four years. RSUs granted before July 30, 2018 vest upon the satisfaction of both service-based and performance-based vesting conditions. The performance-based condition was satisfied upon the completion of our IPO. RSUs granted after July 30, 2018 vest upon the satisfaction of a service-based vesting condition.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Weighted</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Weighted-Average</w:t>
            </w: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 data and</w:t>
            </w:r>
          </w:p>
        </w:tc>
        <w:tc>
          <w:tcPr>
            <w:tcW w:w="174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8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4"/>
                <w:szCs w:val="14"/>
                <w:color w:val="auto"/>
              </w:rPr>
            </w:pPr>
          </w:p>
        </w:tc>
        <w:tc>
          <w:tcPr>
            <w:tcW w:w="164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382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8"/>
              </w:rPr>
              <w:t>Average</w:t>
            </w:r>
          </w:p>
        </w:tc>
        <w:tc>
          <w:tcPr>
            <w:tcW w:w="18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Contractual Term (in</w:t>
            </w:r>
          </w:p>
        </w:tc>
        <w:tc>
          <w:tcPr>
            <w:tcW w:w="1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years)</w:t>
            </w:r>
          </w:p>
        </w:tc>
        <w:tc>
          <w:tcPr>
            <w:tcW w:w="17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2017</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77,020</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6,108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2018</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277,114</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98,378</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201,608</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73,277</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412,547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283,024</w:t>
            </w:r>
          </w:p>
        </w:tc>
        <w:tc>
          <w:tcPr>
            <w:tcW w:w="0" w:type="dxa"/>
            <w:vAlign w:val="bottom"/>
          </w:tcPr>
          <w:p>
            <w:pPr>
              <w:spacing w:after="0" w:line="20" w:lineRule="exact"/>
              <w:rPr>
                <w:sz w:val="1"/>
                <w:szCs w:val="1"/>
                <w:color w:val="auto"/>
              </w:rPr>
            </w:pPr>
          </w:p>
        </w:tc>
      </w:tr>
      <w:tr>
        <w:trPr>
          <w:trHeight w:val="204"/>
        </w:trPr>
        <w:tc>
          <w:tcPr>
            <w:tcW w:w="3820" w:type="dxa"/>
            <w:vAlign w:val="bottom"/>
          </w:tcPr>
          <w:p>
            <w:pPr>
              <w:ind w:left="180"/>
              <w:spacing w:after="0" w:line="203" w:lineRule="exact"/>
              <w:rPr>
                <w:sz w:val="20"/>
                <w:szCs w:val="20"/>
                <w:color w:val="auto"/>
              </w:rPr>
            </w:pPr>
            <w:r>
              <w:rPr>
                <w:rFonts w:ascii="Arial" w:cs="Arial" w:eastAsia="Arial" w:hAnsi="Arial"/>
                <w:sz w:val="18"/>
                <w:szCs w:val="18"/>
                <w:color w:val="auto"/>
              </w:rPr>
              <w:t>Exercisable at December 31, 2020</w:t>
            </w: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6,189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6.53</w:t>
            </w:r>
          </w:p>
        </w:tc>
        <w:tc>
          <w:tcPr>
            <w:tcW w:w="120" w:type="dxa"/>
            <w:vAlign w:val="bottom"/>
          </w:tcPr>
          <w:p>
            <w:pPr>
              <w:spacing w:after="0"/>
              <w:rPr>
                <w:sz w:val="17"/>
                <w:szCs w:val="17"/>
                <w:color w:val="auto"/>
              </w:rPr>
            </w:pPr>
          </w:p>
        </w:tc>
        <w:tc>
          <w:tcPr>
            <w:tcW w:w="1760" w:type="dxa"/>
            <w:vAlign w:val="bottom"/>
          </w:tcPr>
          <w:p>
            <w:pPr>
              <w:jc w:val="center"/>
              <w:spacing w:after="0" w:line="203" w:lineRule="exact"/>
              <w:rPr>
                <w:sz w:val="20"/>
                <w:szCs w:val="20"/>
                <w:color w:val="auto"/>
              </w:rPr>
            </w:pPr>
            <w:r>
              <w:rPr>
                <w:rFonts w:ascii="Arial" w:cs="Arial" w:eastAsia="Arial" w:hAnsi="Arial"/>
                <w:sz w:val="18"/>
                <w:szCs w:val="18"/>
                <w:color w:val="auto"/>
              </w:rPr>
              <w:t>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there were 9.4 million stock options outstanding that were vested and expected to vest.</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Stock options granted under our stock incentive plans have a maximum term of ten years, generally vest over a period of three to four years, and the exercise price cannot be less than the fair market value on the date of grant. In 2018, we granted stock options to employees that had a per share weighted average grant date fair value of $6.84. Estimating the fair value of stock options using the Black-Scholes option-pricing model requires assumptions as to the estimated term of the option, the risk-free interest rate, the expected volatility of the price of our common stock, the expected dividend yield, and the fair value of our underlying common stock prior to our IPO.</w:t>
      </w:r>
    </w:p>
    <w:p>
      <w:pPr>
        <w:spacing w:after="0" w:line="18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Following our IPO, we use the market price of our common stock at the date of grant. Prior to our IPO,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lack of an active public market for our common stock required an estimate of the fair value of the common stock for granting stock options and restricted shares, and for determining stock-based compensation expense. Contemporaneous third-party valuations were obtained to assist in determining the fair value of our common stock. The contemporaneous valuations were performed in accordance with applicable methodologies, approaches and assumptions of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p>
    <w:p>
      <w:pPr>
        <w:spacing w:after="0" w:line="187"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This is the period of time that the options granted are expected to remain unexercised. We employ the simplified method</w:t>
      </w:r>
      <w:r>
        <w:rPr>
          <w:rFonts w:ascii="Arial" w:cs="Arial" w:eastAsia="Arial" w:hAnsi="Arial"/>
          <w:sz w:val="18"/>
          <w:szCs w:val="18"/>
          <w:i w:val="1"/>
          <w:iCs w:val="1"/>
          <w:color w:val="auto"/>
        </w:rPr>
        <w:t xml:space="preserve"> </w:t>
      </w:r>
      <w:r>
        <w:rPr>
          <w:rFonts w:ascii="Arial" w:cs="Arial" w:eastAsia="Arial" w:hAnsi="Arial"/>
          <w:sz w:val="18"/>
          <w:szCs w:val="18"/>
          <w:color w:val="auto"/>
        </w:rPr>
        <w:t>to calculate the average expected term.</w:t>
      </w:r>
    </w:p>
    <w:p>
      <w:pPr>
        <w:spacing w:after="0" w:line="162"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Volatility is a measure of the amount by which a financial variable, such as a share price, has fluctuated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or is expected to fluctuate (expected volatility) during a period. We have identified several public entities of similar size, complexity, and stage of development and estimate our volatility based on the volatility of the common stock of these companies.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 option.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dividends and have no plans to do so in the foreseeable future.</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stock option was estimated on the grant date based on the following assumptions:</w:t>
      </w:r>
    </w:p>
    <w:p>
      <w:pPr>
        <w:spacing w:after="0" w:line="127"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3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294"/>
              <w:spacing w:after="0"/>
              <w:rPr>
                <w:sz w:val="20"/>
                <w:szCs w:val="20"/>
                <w:color w:val="auto"/>
              </w:rPr>
            </w:pPr>
            <w:r>
              <w:rPr>
                <w:rFonts w:ascii="Arial" w:cs="Arial" w:eastAsia="Arial" w:hAnsi="Arial"/>
                <w:sz w:val="18"/>
                <w:szCs w:val="18"/>
                <w:color w:val="auto"/>
                <w:w w:val="95"/>
              </w:rPr>
              <w:t>6.3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spacing w:after="0"/>
              <w:rPr>
                <w:sz w:val="20"/>
                <w:szCs w:val="20"/>
                <w:color w:val="auto"/>
              </w:rPr>
            </w:pPr>
            <w:r>
              <w:rPr>
                <w:rFonts w:ascii="Arial" w:cs="Arial" w:eastAsia="Arial" w:hAnsi="Arial"/>
                <w:sz w:val="18"/>
                <w:szCs w:val="18"/>
                <w:color w:val="auto"/>
              </w:rPr>
              <w:t>41.3%</w:t>
            </w:r>
          </w:p>
        </w:tc>
        <w:tc>
          <w:tcPr>
            <w:tcW w:w="1640" w:type="dxa"/>
            <w:vAlign w:val="bottom"/>
          </w:tcPr>
          <w:p>
            <w:pPr>
              <w:ind w:left="60"/>
              <w:spacing w:after="0"/>
              <w:rPr>
                <w:sz w:val="20"/>
                <w:szCs w:val="20"/>
                <w:color w:val="auto"/>
              </w:rPr>
            </w:pPr>
            <w:r>
              <w:rPr>
                <w:rFonts w:ascii="Arial" w:cs="Arial" w:eastAsia="Arial" w:hAnsi="Arial"/>
                <w:sz w:val="18"/>
                <w:szCs w:val="18"/>
                <w:color w:val="auto"/>
              </w:rPr>
              <w:t>— 43.3%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2.9%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spacing w:after="0"/>
              <w:rPr>
                <w:sz w:val="19"/>
                <w:szCs w:val="19"/>
                <w:color w:val="auto"/>
              </w:rPr>
            </w:pPr>
          </w:p>
        </w:tc>
        <w:tc>
          <w:tcPr>
            <w:tcW w:w="16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forfeiture rate</w:t>
            </w:r>
          </w:p>
        </w:tc>
        <w:tc>
          <w:tcPr>
            <w:tcW w:w="13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right="1274"/>
              <w:spacing w:after="0"/>
              <w:rPr>
                <w:sz w:val="20"/>
                <w:szCs w:val="20"/>
                <w:color w:val="auto"/>
              </w:rPr>
            </w:pPr>
            <w:r>
              <w:rPr>
                <w:rFonts w:ascii="Arial" w:cs="Arial" w:eastAsia="Arial" w:hAnsi="Arial"/>
                <w:sz w:val="14"/>
                <w:szCs w:val="14"/>
                <w:color w:val="auto"/>
              </w:rPr>
              <w:t>—</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2018, our board of directors adopted, and our stockholders approved, our 2018 ESPP. Under the evergreen provision, in January 2020 we reserved an additional 1,478,808 shares of our common stock for issuance. At December 31, 2020, there were 5,431,176 shares reserved for issuance under the 2018 ESPP.</w:t>
      </w:r>
    </w:p>
    <w:p>
      <w:pPr>
        <w:spacing w:after="0" w:line="20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 Additionally, in cases where the fair market value of a share of our common stock on the first day of a new purchase period within an offering is less than or equal to the fair market value of a share of our common stock at the beginning of the offering, that offering will be terminated and participants will be automatically enrolled in a new offering with a new 24-month duration with purchase periods every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In 2020, employees purchased 667,719 shares of our common stock at a weighted average price of $19.53 per share, resulting in $13.0 million of cash proceeds.</w:t>
      </w:r>
    </w:p>
    <w:p>
      <w:pPr>
        <w:spacing w:after="0" w:line="19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In 2019, employees purchased 776,809 shares of our common stock at a weighted average price of $19.48 resulting in $15.1 million of cash proceeds.</w:t>
      </w:r>
    </w:p>
    <w:p>
      <w:pPr>
        <w:spacing w:after="0" w:line="19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At December 31, 2020 and 2019 there was $ 6.5 million and $5.4 million, respectively, of employee contributions to the 2018 ESPP included in accrued compensation. At December 31, 2020, the unrecognized stock-based compensation expense related to our 2018 ESPP was $4.1 million, which is expected to be recognized over the remaining weighted average period of 0.6 years.</w:t>
      </w:r>
    </w:p>
    <w:p>
      <w:pPr>
        <w:spacing w:after="0" w:line="202"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194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94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94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6"/>
                <w:szCs w:val="16"/>
                <w:b w:val="1"/>
                <w:bCs w:val="1"/>
                <w:color w:val="auto"/>
              </w:rPr>
              <w:t>2018</w:t>
            </w:r>
          </w:p>
        </w:tc>
      </w:tr>
      <w:tr>
        <w:trPr>
          <w:trHeight w:val="224"/>
        </w:trPr>
        <w:tc>
          <w:tcPr>
            <w:tcW w:w="52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80" w:type="dxa"/>
            <w:vAlign w:val="bottom"/>
          </w:tcPr>
          <w:p>
            <w:pPr>
              <w:ind w:left="20"/>
              <w:spacing w:after="0"/>
              <w:rPr>
                <w:sz w:val="20"/>
                <w:szCs w:val="20"/>
                <w:color w:val="auto"/>
              </w:rPr>
            </w:pPr>
            <w:r>
              <w:rPr>
                <w:rFonts w:ascii="Arial" w:cs="Arial" w:eastAsia="Arial" w:hAnsi="Arial"/>
                <w:sz w:val="18"/>
                <w:szCs w:val="18"/>
                <w:color w:val="auto"/>
              </w:rPr>
              <w:t>— 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2.0</w:t>
            </w: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080" w:type="dxa"/>
            <w:vAlign w:val="bottom"/>
          </w:tcPr>
          <w:p>
            <w:pPr>
              <w:ind w:left="20"/>
              <w:spacing w:after="0"/>
              <w:rPr>
                <w:sz w:val="20"/>
                <w:szCs w:val="20"/>
                <w:color w:val="auto"/>
              </w:rPr>
            </w:pPr>
            <w:r>
              <w:rPr>
                <w:rFonts w:ascii="Arial" w:cs="Arial" w:eastAsia="Arial" w:hAnsi="Arial"/>
                <w:sz w:val="18"/>
                <w:szCs w:val="18"/>
                <w:color w:val="auto"/>
              </w:rPr>
              <w:t>— 2.1</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44.6%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33.5%</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tcPr>
          <w:p>
            <w:pPr>
              <w:ind w:left="20"/>
              <w:spacing w:after="0"/>
              <w:rPr>
                <w:sz w:val="20"/>
                <w:szCs w:val="20"/>
                <w:color w:val="auto"/>
              </w:rPr>
            </w:pPr>
            <w:r>
              <w:rPr>
                <w:rFonts w:ascii="Arial" w:cs="Arial" w:eastAsia="Arial" w:hAnsi="Arial"/>
                <w:sz w:val="18"/>
                <w:szCs w:val="18"/>
                <w:color w:val="auto"/>
              </w:rPr>
              <w:t>— 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2.5%</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80" w:type="dxa"/>
            <w:vAlign w:val="bottom"/>
          </w:tcPr>
          <w:p>
            <w:pPr>
              <w:ind w:left="20"/>
              <w:spacing w:after="0"/>
              <w:rPr>
                <w:sz w:val="20"/>
                <w:szCs w:val="20"/>
                <w:color w:val="auto"/>
              </w:rPr>
            </w:pPr>
            <w:r>
              <w:rPr>
                <w:rFonts w:ascii="Arial" w:cs="Arial" w:eastAsia="Arial" w:hAnsi="Arial"/>
                <w:sz w:val="18"/>
                <w:szCs w:val="18"/>
                <w:color w:val="auto"/>
              </w:rPr>
              <w:t>— 2.7%</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2021, we intend to use the volatility of Tenable stock when calculating the fair value of purchase rights under the 2018 ESPP.</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4"/>
        </w:trPr>
        <w:tc>
          <w:tcPr>
            <w:tcW w:w="6880" w:type="dxa"/>
            <w:vAlign w:val="bottom"/>
          </w:tcPr>
          <w:p>
            <w:pPr>
              <w:spacing w:after="0"/>
              <w:rPr>
                <w:sz w:val="20"/>
                <w:szCs w:val="20"/>
                <w:color w:val="auto"/>
              </w:rPr>
            </w:pPr>
            <w:r>
              <w:rPr>
                <w:rFonts w:ascii="Arial" w:cs="Arial" w:eastAsia="Arial" w:hAnsi="Arial"/>
                <w:sz w:val="16"/>
                <w:szCs w:val="16"/>
                <w:b w:val="1"/>
                <w:bCs w:val="1"/>
                <w:color w:val="auto"/>
              </w:rPr>
              <w:t>(in thousands, except per share data)</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2300" w:type="dxa"/>
            <w:vAlign w:val="bottom"/>
          </w:tcPr>
          <w:p>
            <w:pPr>
              <w:jc w:val="right"/>
              <w:ind w:right="899"/>
              <w:spacing w:after="0"/>
              <w:rPr>
                <w:sz w:val="20"/>
                <w:szCs w:val="20"/>
                <w:color w:val="auto"/>
              </w:rPr>
            </w:pPr>
            <w:r>
              <w:rPr>
                <w:rFonts w:ascii="Arial" w:cs="Arial" w:eastAsia="Arial" w:hAnsi="Arial"/>
                <w:sz w:val="16"/>
                <w:szCs w:val="16"/>
                <w:b w:val="1"/>
                <w:bCs w:val="1"/>
                <w:color w:val="auto"/>
              </w:rPr>
              <w:t>2019</w:t>
            </w: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8" w:lineRule="exact"/>
        <w:rPr>
          <w:sz w:val="20"/>
          <w:szCs w:val="20"/>
          <w:color w:val="auto"/>
        </w:rPr>
      </w:pPr>
    </w:p>
    <w:p>
      <w:pPr>
        <w:ind w:left="20"/>
        <w:spacing w:after="0"/>
        <w:tabs>
          <w:tab w:leader="none" w:pos="6900" w:val="left"/>
        </w:tabs>
        <w:rPr>
          <w:sz w:val="20"/>
          <w:szCs w:val="20"/>
          <w:color w:val="auto"/>
        </w:rPr>
      </w:pPr>
      <w:r>
        <w:rPr>
          <w:rFonts w:ascii="Arial" w:cs="Arial" w:eastAsia="Arial" w:hAnsi="Arial"/>
          <w:sz w:val="18"/>
          <w:szCs w:val="18"/>
          <w:color w:val="auto"/>
        </w:rPr>
        <w:t>Net loss attributable to common stockholders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00" w:lineRule="exact"/>
        <w:rPr>
          <w:sz w:val="20"/>
          <w:szCs w:val="20"/>
          <w:color w:val="auto"/>
        </w:rPr>
      </w:pPr>
    </w:p>
    <w:p>
      <w:pPr>
        <w:ind w:left="100" w:right="200" w:hanging="80"/>
        <w:spacing w:after="0" w:line="227" w:lineRule="auto"/>
        <w:rPr>
          <w:sz w:val="20"/>
          <w:szCs w:val="20"/>
          <w:color w:val="auto"/>
        </w:rPr>
      </w:pPr>
      <w:r>
        <w:rPr>
          <w:rFonts w:ascii="Arial" w:cs="Arial" w:eastAsia="Arial" w:hAnsi="Arial"/>
          <w:sz w:val="18"/>
          <w:szCs w:val="18"/>
          <w:color w:val="auto"/>
        </w:rPr>
        <w:t>Weighted-average shares used to compute net loss per share attributable to common stockholders, basic and diluted</w:t>
      </w:r>
    </w:p>
    <w:p>
      <w:pPr>
        <w:spacing w:after="0" w:line="40" w:lineRule="exact"/>
        <w:rPr>
          <w:sz w:val="20"/>
          <w:szCs w:val="20"/>
          <w:color w:val="auto"/>
        </w:rPr>
      </w:pPr>
    </w:p>
    <w:p>
      <w:pPr>
        <w:ind w:left="20"/>
        <w:spacing w:after="0"/>
        <w:tabs>
          <w:tab w:leader="none" w:pos="6900" w:val="left"/>
        </w:tabs>
        <w:rPr>
          <w:sz w:val="20"/>
          <w:szCs w:val="20"/>
          <w:color w:val="auto"/>
        </w:rPr>
      </w:pPr>
      <w:r>
        <w:rPr>
          <w:rFonts w:ascii="Arial" w:cs="Arial" w:eastAsia="Arial" w:hAnsi="Arial"/>
          <w:sz w:val="18"/>
          <w:szCs w:val="18"/>
          <w:color w:val="auto"/>
        </w:rPr>
        <w:t>Net loss per share attributable to common stockholders, basic and diluted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(42,731)</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(73,955)</w:t>
            </w:r>
          </w:p>
        </w:tc>
      </w:tr>
      <w:tr>
        <w:trPr>
          <w:trHeight w:val="21"/>
        </w:trPr>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14"/>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101,009</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53,669</w:t>
            </w:r>
          </w:p>
        </w:tc>
      </w:tr>
      <w:tr>
        <w:trPr>
          <w:trHeight w:val="20"/>
        </w:trPr>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(0.42)</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8743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-7620</wp:posOffset>
            </wp:positionV>
            <wp:extent cx="8743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-187960</wp:posOffset>
            </wp:positionV>
            <wp:extent cx="8743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-616585</wp:posOffset>
            </wp:positionV>
            <wp:extent cx="8743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520"/>
            <w:col w:w="3700"/>
          </w:cols>
          <w:pgMar w:left="320" w:top="140" w:right="339" w:bottom="1440" w:gutter="0" w:footer="0" w:header="0"/>
          <w:type w:val="continuous"/>
        </w:sectPr>
      </w:pPr>
    </w:p>
    <w:p>
      <w:pPr>
        <w:spacing w:after="0" w:line="15"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280" w:type="dxa"/>
            <w:vAlign w:val="bottom"/>
            <w:tcBorders>
              <w:bottom w:val="single" w:sz="8" w:color="auto"/>
            </w:tcBorders>
            <w:gridSpan w:val="5"/>
          </w:tcPr>
          <w:p>
            <w:pPr>
              <w:ind w:left="116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48"/>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Income Taxes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and international components of the loss before income taxes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(loss)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loss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(72,586)</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loss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components of the provision for income taxes were as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our effective tax rate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0" w:type="dxa"/>
            <w:vAlign w:val="bottom"/>
          </w:tcPr>
          <w:p>
            <w:pPr>
              <w:spacing w:after="0"/>
              <w:rPr>
                <w:sz w:val="18"/>
                <w:szCs w:val="18"/>
                <w:color w:val="auto"/>
              </w:rPr>
            </w:pPr>
          </w:p>
        </w:tc>
        <w:tc>
          <w:tcPr>
            <w:tcW w:w="3520" w:type="dxa"/>
            <w:vAlign w:val="bottom"/>
            <w:tcBorders>
              <w:bottom w:val="single" w:sz="8" w:color="auto"/>
            </w:tcBorders>
            <w:gridSpan w:val="5"/>
          </w:tcPr>
          <w:p>
            <w:pPr>
              <w:ind w:left="132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12"/>
        </w:trPr>
        <w:tc>
          <w:tcPr>
            <w:tcW w:w="66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State and local taxes</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0.5</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(9.4)</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(12.6)</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Gain on sale of intellectual property</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withholding tax</w:t>
            </w: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We maintain a valuation allowance on U.S. federal, state and foreign net deferred tax assets as the realization of our deferred tax assets is dependent upon future earnings, if any, the timing and amount of which are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deferred tax assets and liabilities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15"/>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19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89,053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65,494</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10,032</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10,451</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108,634</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(82,237)</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26,397</w:t>
            </w:r>
          </w:p>
        </w:tc>
      </w:tr>
      <w:tr>
        <w:trPr>
          <w:trHeight w:val="215"/>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(15,003)</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(10,086)</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(26,397)</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At December 31, 2020, we had net operating loss (“NOL”) carryforwards for federal, state and foreign tax purposes of $254.7 million, $188.5 million, and $209.8 million, respectively, which will begin to expire in 2030, as well as $13.9 million of federal, state and foreign research and development tax credits, foreign tax credits, minimum tax credits and certain states’ job creation tax credits. The federal research and development and foreign tax credits will begin to expire in 2032 and the state job creation tax credits will begin to expire in 2021.</w:t>
      </w:r>
    </w:p>
    <w:p>
      <w:pPr>
        <w:spacing w:after="0" w:line="205"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In December 2019, we sold acquired intellectual property through an intercompany transaction, which resulted in $6.3 million of current tax expense and $4.2 million of deferred tax expense in Israel.</w:t>
      </w:r>
    </w:p>
    <w:p>
      <w:pPr>
        <w:spacing w:after="0" w:line="198"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We are currently subject to the annual limitation under Sections 382 and 383 of the Internal Revenue Code. We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w:t>
      </w:r>
    </w:p>
    <w:p>
      <w:pPr>
        <w:spacing w:after="0" w:line="20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At December 31, 2020 and 2019, the total amount of gross unrecognized tax benefits was $7.1 million and $7.2 million, respectively, which, if recognized, would impact our effective tax rate by less than $0.1 million in each year. Interest and penalties associated with uncertain tax positions recognized as a component of income tax expense were immaterial in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gross unrecognized tax benefits, excluding accrued interest,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the beginning of the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Additions for tax positions in the current year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3,571</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prior year positions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Decrease in prior year positions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Unrecognized tax benefits at the end of the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w:t>
            </w:r>
          </w:p>
        </w:tc>
      </w:tr>
      <w:tr>
        <w:trPr>
          <w:trHeight w:val="21"/>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We file income tax returns in the United States, including various state jurisdictions. Our subsidiaries file income tax returns in various foreign jurisdictions. Tax years after 2014 remain open to examination by the major taxing jurisdictions in which we are subject to tax. At December 31, 2020, we were not under examination for income tax audits by the Internal Revenue Service or any state or foreign tax jurisdiction.</w:t>
      </w:r>
    </w:p>
    <w:p>
      <w:pPr>
        <w:spacing w:after="0" w:line="20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 It is not practicable for us to determine the amount of unrecognized tax expense on these reinvested international earnings.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Geographic Information</w:t>
      </w:r>
    </w:p>
    <w:p>
      <w:pPr>
        <w:spacing w:after="0" w:line="24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by region, based on the address of the end user as specified in our subscription, license or service agreements,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191,204</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102,155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53,839</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22,317</w:t>
            </w: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267,360</w:t>
            </w: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Customers located in the United States accounted for 61%, 63% and 67% of revenue in 2020, 2019 and 2018, respectively. No other country accounted for 10% or more of revenue in the periods presented.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r>
      <w:tr>
        <w:trPr>
          <w:trHeight w:val="21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r>
      <w:tr>
        <w:trPr>
          <w:trHeight w:val="248"/>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Benefit Plans</w:t>
      </w:r>
    </w:p>
    <w:p>
      <w:pPr>
        <w:spacing w:after="0" w:line="247"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We maintain a contributory defined contribution 401(k) plan for our U.S. employees, where company-matched contributions are fully vested. Additional contributory plans are in effect internationally, including in the U.K. and Ireland.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Our contribution expense for such plans was $6.5 million, $6.2 million and $4.8 million in 2020, 2019 and 2018,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Subsequent Events</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On February 10, 2021, we entered into a share purchase agreement to acquire Alsid SAS for a total purchase price of $98 million in cash, subject to customary purchase price adjustments. The acquisition is expected to close early in the second quarter of 2021, subject to regulatory approvals and the satisfaction of customary closing conditions.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Quarterly Results (unaudited)</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following tables summarize our unaudited quarterly consolidated statements of operations data for each of the eight quarters through the period ended December 31, 2020. The information for each of these quarters has been prepared on the same basis as our audited annual consolidated financial statements and reflect, in the opinion of management, all adjustments of a normal, recurring nature that are necessary for the fair presentation of the results of operations for these periods. This data should be read in conjunction with our consolidated financial statements included elsewhere in this Annual Report on Form 10-K. Historical results are not necessarily indicative of the results that may be expected in the future, and the quarterly results are not necessarily indicative of the results that may be expected for the full year or any other period.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 share amounts)</w:t>
            </w:r>
          </w:p>
        </w:tc>
        <w:tc>
          <w:tcPr>
            <w:tcW w:w="220" w:type="dxa"/>
            <w:vAlign w:val="bottom"/>
          </w:tcPr>
          <w:p>
            <w:pPr>
              <w:spacing w:after="0"/>
              <w:rPr>
                <w:sz w:val="13"/>
                <w:szCs w:val="13"/>
                <w:color w:val="auto"/>
              </w:rPr>
            </w:pPr>
          </w:p>
        </w:tc>
        <w:tc>
          <w:tcPr>
            <w:tcW w:w="134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3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3"/>
                <w:szCs w:val="13"/>
                <w:color w:val="auto"/>
              </w:rPr>
            </w:pPr>
          </w:p>
        </w:tc>
        <w:tc>
          <w:tcPr>
            <w:tcW w:w="14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3"/>
                <w:szCs w:val="13"/>
                <w:color w:val="auto"/>
              </w:rPr>
            </w:pPr>
          </w:p>
        </w:tc>
        <w:tc>
          <w:tcPr>
            <w:tcW w:w="1300" w:type="dxa"/>
            <w:vAlign w:val="bottom"/>
          </w:tcPr>
          <w:p>
            <w:pPr>
              <w:jc w:val="right"/>
              <w:ind w:right="111"/>
              <w:spacing w:after="0" w:line="15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504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118,082</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20,317</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97,765</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55,934</w:t>
            </w:r>
          </w:p>
        </w:tc>
        <w:tc>
          <w:tcPr>
            <w:tcW w:w="0" w:type="dxa"/>
            <w:vAlign w:val="bottom"/>
          </w:tcPr>
          <w:p>
            <w:pPr>
              <w:spacing w:after="0"/>
              <w:rPr>
                <w:sz w:val="1"/>
                <w:szCs w:val="1"/>
                <w:color w:val="auto"/>
              </w:rPr>
            </w:pPr>
          </w:p>
        </w:tc>
      </w:tr>
      <w:tr>
        <w:trPr>
          <w:trHeight w:val="230"/>
        </w:trPr>
        <w:tc>
          <w:tcPr>
            <w:tcW w:w="50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24,418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98,496</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 share amounts)</w:t>
            </w:r>
          </w:p>
        </w:tc>
        <w:tc>
          <w:tcPr>
            <w:tcW w:w="220" w:type="dxa"/>
            <w:vAlign w:val="bottom"/>
          </w:tcPr>
          <w:p>
            <w:pPr>
              <w:spacing w:after="0"/>
              <w:rPr>
                <w:sz w:val="13"/>
                <w:szCs w:val="13"/>
                <w:color w:val="auto"/>
              </w:rPr>
            </w:pPr>
          </w:p>
        </w:tc>
        <w:tc>
          <w:tcPr>
            <w:tcW w:w="134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3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3"/>
                <w:szCs w:val="13"/>
                <w:color w:val="auto"/>
              </w:rPr>
            </w:pPr>
          </w:p>
        </w:tc>
        <w:tc>
          <w:tcPr>
            <w:tcW w:w="14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3"/>
                <w:szCs w:val="13"/>
                <w:color w:val="auto"/>
              </w:rPr>
            </w:pPr>
          </w:p>
        </w:tc>
        <w:tc>
          <w:tcPr>
            <w:tcW w:w="1300" w:type="dxa"/>
            <w:vAlign w:val="bottom"/>
          </w:tcPr>
          <w:p>
            <w:pPr>
              <w:jc w:val="right"/>
              <w:ind w:right="111"/>
              <w:spacing w:after="0" w:line="15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504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97,049</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18,429</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62,632</w:t>
            </w:r>
          </w:p>
        </w:tc>
        <w:tc>
          <w:tcPr>
            <w:tcW w:w="0" w:type="dxa"/>
            <w:vAlign w:val="bottom"/>
          </w:tcPr>
          <w:p>
            <w:pPr>
              <w:spacing w:after="0"/>
              <w:rPr>
                <w:sz w:val="1"/>
                <w:szCs w:val="1"/>
                <w:color w:val="auto"/>
              </w:rPr>
            </w:pPr>
          </w:p>
        </w:tc>
      </w:tr>
      <w:tr>
        <w:trPr>
          <w:trHeight w:val="229"/>
        </w:trPr>
        <w:tc>
          <w:tcPr>
            <w:tcW w:w="50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22,668</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106,173</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(27,553)</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(26,504)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right="2540" w:hanging="323"/>
        <w:spacing w:after="0" w:line="388"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8" w:lineRule="exact"/>
        <w:rPr>
          <w:sz w:val="20"/>
          <w:szCs w:val="20"/>
          <w:color w:val="auto"/>
        </w:rPr>
      </w:pPr>
    </w:p>
    <w:p>
      <w:pPr>
        <w:ind w:right="80" w:firstLine="324"/>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10-K. Based on such evaluation, our Chief Executive Officer and Chief Financial Officer have concluded that as</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of December 31, 2020,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47"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of the Exchange Act. Our management evaluated the effectiveness of our internal control over financial reporting based on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concluded that our internal control over financial reporting was effective at December 31, 2020.</w:t>
      </w:r>
    </w:p>
    <w:p>
      <w:pPr>
        <w:spacing w:after="0" w:line="20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independent registered public accounting firm, Ernst &amp; Young LLP, has issued an audit report with respect to our internal control over financial reporting as of December 31, 2020, which is included in Part II, Item 8 of this Annual Report on Form 10-K.</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three months ended December 31, 2020 that materially affected, or are reasonably likely to materially affect, our internal control over financial reporting.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Officers and Directors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2021 annual meeting of stockholders, or the Proxy Statement, which is expected to be filed not later than 120 days after the end of our fiscal year ended December 31, 2020, under the captions "Information Regarding the Board of Directors and Corporate Governance," "Election of Directors" and "Executive Officers" and is incorporated in this report by reference.</w:t>
      </w:r>
    </w:p>
    <w:p>
      <w:pPr>
        <w:spacing w:after="0" w:line="18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7"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information required by this item will be set forth in the Proxy Statement under the captions "Executive Compensation" and "Non-Employee Director Compensation" and is incorporated herein by reference.</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information required by this item will be set forth in the Proxy Statement under the captions "Transactions with Related Persons" and "Independence of the Board of Directors" and is incorporated herein by reference.</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47"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The information required by this item will be set forth in the Proxy Statement under the caption "Ratification of Selection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(a)(1)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Index to Consolidated Financial Statements in Item 8 of this Annual Report on Form 10-K.</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(a)(2) Financial Statement Schedules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SCHEDULE II</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SUPPLEMENTARY CONSOLIDATED FINANCIAL STATEMENT SCHEDULE</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VALUATION AND QUALIFYING ACCOUNTS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Balance at Beginning</w:t>
            </w:r>
          </w:p>
        </w:tc>
        <w:tc>
          <w:tcPr>
            <w:tcW w:w="1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Additions Charged to</w:t>
            </w:r>
          </w:p>
        </w:tc>
        <w:tc>
          <w:tcPr>
            <w:tcW w:w="280" w:type="dxa"/>
            <w:vAlign w:val="bottom"/>
          </w:tcPr>
          <w:p>
            <w:pPr>
              <w:spacing w:after="0"/>
              <w:rPr>
                <w:sz w:val="16"/>
                <w:szCs w:val="16"/>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1"/>
                <w:szCs w:val="21"/>
                <w:b w:val="1"/>
                <w:bCs w:val="1"/>
                <w:color w:val="auto"/>
                <w:vertAlign w:val="superscript"/>
              </w:rPr>
              <w:t>(1)</w:t>
            </w:r>
          </w:p>
        </w:tc>
        <w:tc>
          <w:tcPr>
            <w:tcW w:w="280" w:type="dxa"/>
            <w:vAlign w:val="bottom"/>
          </w:tcPr>
          <w:p>
            <w:pPr>
              <w:spacing w:after="0"/>
              <w:rPr>
                <w:sz w:val="16"/>
                <w:szCs w:val="16"/>
                <w:color w:val="auto"/>
              </w:rPr>
            </w:pPr>
          </w:p>
        </w:tc>
        <w:tc>
          <w:tcPr>
            <w:tcW w:w="1560" w:type="dxa"/>
            <w:vAlign w:val="bottom"/>
          </w:tcPr>
          <w:p>
            <w:pPr>
              <w:jc w:val="right"/>
              <w:ind w:right="434"/>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of Year</w:t>
            </w:r>
          </w:p>
        </w:tc>
        <w:tc>
          <w:tcPr>
            <w:tcW w:w="1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94"/>
              <w:spacing w:after="0"/>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Allowance for Doubtful Accounts</w:t>
            </w:r>
          </w:p>
        </w:tc>
        <w:tc>
          <w:tcPr>
            <w:tcW w:w="4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write-offs of uncollectible accounts, net of recoveries.</w:t>
      </w:r>
    </w:p>
    <w:p>
      <w:pPr>
        <w:spacing w:after="0" w:line="245"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included in the financial statements or the notes to the financial statements.</w:t>
      </w:r>
    </w:p>
    <w:p>
      <w:pPr>
        <w:sectPr>
          <w:pgSz w:w="11900" w:h="16838" w:orient="portrait"/>
          <w:cols w:equalWidth="0" w:num="1">
            <w:col w:w="11240"/>
          </w:cols>
          <w:pgMar w:left="320" w:top="140" w:right="339" w:bottom="1440" w:gutter="0" w:footer="0" w:header="0"/>
        </w:sect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(a)(3) Exhibits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10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040" w:type="dxa"/>
            <w:vAlign w:val="bottom"/>
          </w:tcPr>
          <w:p>
            <w:pPr>
              <w:jc w:val="center"/>
              <w:ind w:right="1339"/>
              <w:spacing w:after="0"/>
              <w:rPr>
                <w:sz w:val="20"/>
                <w:szCs w:val="20"/>
                <w:color w:val="auto"/>
              </w:rPr>
            </w:pPr>
            <w:r>
              <w:rPr>
                <w:rFonts w:ascii="Arial" w:cs="Arial" w:eastAsia="Arial" w:hAnsi="Arial"/>
                <w:sz w:val="16"/>
                <w:szCs w:val="16"/>
                <w:b w:val="1"/>
                <w:bCs w:val="1"/>
                <w:color w:val="auto"/>
              </w:rPr>
              <w:t>Exhibit</w:t>
            </w:r>
          </w:p>
        </w:tc>
        <w:tc>
          <w:tcPr>
            <w:tcW w:w="2300" w:type="dxa"/>
            <w:vAlign w:val="bottom"/>
            <w:vMerge w:val="restart"/>
          </w:tcPr>
          <w:p>
            <w:pPr>
              <w:ind w:left="1420"/>
              <w:spacing w:after="0"/>
              <w:rPr>
                <w:sz w:val="20"/>
                <w:szCs w:val="20"/>
                <w:color w:val="auto"/>
              </w:rPr>
            </w:pPr>
            <w:r>
              <w:rPr>
                <w:rFonts w:ascii="Arial" w:cs="Arial" w:eastAsia="Arial" w:hAnsi="Arial"/>
                <w:sz w:val="16"/>
                <w:szCs w:val="16"/>
                <w:b w:val="1"/>
                <w:bCs w:val="1"/>
                <w:color w:val="auto"/>
                <w:w w:val="97"/>
              </w:rPr>
              <w:t>Description</w:t>
            </w:r>
          </w:p>
        </w:tc>
        <w:tc>
          <w:tcPr>
            <w:tcW w:w="0" w:type="dxa"/>
            <w:vAlign w:val="bottom"/>
          </w:tcPr>
          <w:p>
            <w:pPr>
              <w:spacing w:after="0"/>
              <w:rPr>
                <w:sz w:val="1"/>
                <w:szCs w:val="1"/>
                <w:color w:val="auto"/>
              </w:rPr>
            </w:pPr>
          </w:p>
        </w:tc>
      </w:tr>
      <w:tr>
        <w:trPr>
          <w:trHeight w:val="215"/>
        </w:trPr>
        <w:tc>
          <w:tcPr>
            <w:tcW w:w="2040" w:type="dxa"/>
            <w:vAlign w:val="bottom"/>
          </w:tcPr>
          <w:p>
            <w:pPr>
              <w:jc w:val="center"/>
              <w:ind w:right="1339"/>
              <w:spacing w:after="0"/>
              <w:rPr>
                <w:sz w:val="20"/>
                <w:szCs w:val="20"/>
                <w:color w:val="auto"/>
              </w:rPr>
            </w:pPr>
            <w:r>
              <w:rPr>
                <w:rFonts w:ascii="Arial" w:cs="Arial" w:eastAsia="Arial" w:hAnsi="Arial"/>
                <w:sz w:val="16"/>
                <w:szCs w:val="16"/>
                <w:b w:val="1"/>
                <w:bCs w:val="1"/>
                <w:color w:val="auto"/>
              </w:rPr>
              <w:t>Number</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44919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51" w:lineRule="exact"/>
        <w:rPr>
          <w:sz w:val="20"/>
          <w:szCs w:val="20"/>
          <w:color w:val="auto"/>
        </w:rPr>
      </w:pPr>
    </w:p>
    <w:p>
      <w:pPr>
        <w:ind w:left="1020" w:right="80" w:hanging="368"/>
        <w:spacing w:after="0" w:line="22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2.1</w:t>
      </w:r>
      <w:r>
        <w:rPr>
          <w:sz w:val="20"/>
          <w:szCs w:val="20"/>
          <w:color w:val="auto"/>
        </w:rPr>
        <w:tab/>
      </w:r>
      <w:hyperlink r:id="rId109">
        <w:r>
          <w:rPr>
            <w:rFonts w:ascii="Arial" w:cs="Arial" w:eastAsia="Arial" w:hAnsi="Arial"/>
            <w:sz w:val="16"/>
            <w:szCs w:val="16"/>
            <w:u w:val="single" w:color="auto"/>
            <w:color w:val="0000FF"/>
          </w:rPr>
          <w:t>Share Purchase Agreement, dated as of December 2, 2019, by and between</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Tenable, Inc., Indegy Ltd., the shareholders of Indegy set forth on Schedule I to the</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Purchase Agreement and Shareholder Representative Services LLC, as the</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representative of Indegy’s shareholders and optionholders thereunder.</w:t>
        </w:r>
      </w:hyperlink>
    </w:p>
    <w:p>
      <w:pPr>
        <w:spacing w:after="0" w:line="24" w:lineRule="exact"/>
        <w:rPr>
          <w:rFonts w:ascii="Arial" w:cs="Arial" w:eastAsia="Arial" w:hAnsi="Arial"/>
          <w:sz w:val="16"/>
          <w:szCs w:val="16"/>
          <w:u w:val="single" w:color="auto"/>
          <w:color w:val="0000FF"/>
        </w:rPr>
      </w:pPr>
    </w:p>
    <w:p>
      <w:pPr>
        <w:ind w:left="640"/>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3.1</w:t>
      </w:r>
      <w:r>
        <w:rPr>
          <w:sz w:val="20"/>
          <w:szCs w:val="20"/>
          <w:color w:val="auto"/>
        </w:rPr>
        <w:tab/>
      </w:r>
      <w:hyperlink r:id="rId110">
        <w:r>
          <w:rPr>
            <w:rFonts w:ascii="Arial" w:cs="Arial" w:eastAsia="Arial" w:hAnsi="Arial"/>
            <w:sz w:val="16"/>
            <w:szCs w:val="16"/>
            <w:u w:val="single" w:color="auto"/>
            <w:color w:val="0000FF"/>
          </w:rPr>
          <w:t>Amended and Restated Certificate of Incorporation of Tenable Holdings, Inc.</w:t>
        </w:r>
      </w:hyperlink>
    </w:p>
    <w:p>
      <w:pPr>
        <w:spacing w:after="0" w:line="356" w:lineRule="exact"/>
        <w:rPr>
          <w:rFonts w:ascii="Arial" w:cs="Arial" w:eastAsia="Arial" w:hAnsi="Arial"/>
          <w:sz w:val="16"/>
          <w:szCs w:val="16"/>
          <w:u w:val="single" w:color="auto"/>
          <w:color w:val="0000FF"/>
        </w:rPr>
      </w:pPr>
    </w:p>
    <w:p>
      <w:pPr>
        <w:ind w:left="640"/>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3.2</w:t>
      </w:r>
      <w:r>
        <w:rPr>
          <w:sz w:val="20"/>
          <w:szCs w:val="20"/>
          <w:color w:val="auto"/>
        </w:rPr>
        <w:tab/>
      </w:r>
      <w:hyperlink r:id="rId111">
        <w:r>
          <w:rPr>
            <w:rFonts w:ascii="Arial" w:cs="Arial" w:eastAsia="Arial" w:hAnsi="Arial"/>
            <w:sz w:val="16"/>
            <w:szCs w:val="16"/>
            <w:u w:val="single" w:color="auto"/>
            <w:color w:val="0000FF"/>
          </w:rPr>
          <w:t>Amended and Restated Bylaws of Tenable Holdings, Inc.</w:t>
        </w:r>
      </w:hyperlink>
    </w:p>
    <w:p>
      <w:pPr>
        <w:spacing w:after="0" w:line="356" w:lineRule="exact"/>
        <w:rPr>
          <w:rFonts w:ascii="Arial" w:cs="Arial" w:eastAsia="Arial" w:hAnsi="Arial"/>
          <w:sz w:val="16"/>
          <w:szCs w:val="16"/>
          <w:u w:val="single" w:color="auto"/>
          <w:color w:val="0000FF"/>
        </w:rPr>
      </w:pPr>
    </w:p>
    <w:p>
      <w:pPr>
        <w:ind w:left="640"/>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112">
        <w:r>
          <w:rPr>
            <w:rFonts w:ascii="Arial" w:cs="Arial" w:eastAsia="Arial" w:hAnsi="Arial"/>
            <w:sz w:val="16"/>
            <w:szCs w:val="16"/>
            <w:u w:val="single" w:color="auto"/>
            <w:color w:val="0000FF"/>
          </w:rPr>
          <w:t>Common Stock Certificate of Tenable Holdings, Inc</w:t>
        </w:r>
        <w:r>
          <w:rPr>
            <w:rFonts w:ascii="Arial" w:cs="Arial" w:eastAsia="Arial" w:hAnsi="Arial"/>
            <w:sz w:val="16"/>
            <w:szCs w:val="16"/>
            <w:color w:val="0000FF"/>
          </w:rPr>
          <w:t>.</w:t>
        </w:r>
      </w:hyperlink>
    </w:p>
    <w:p>
      <w:pPr>
        <w:spacing w:after="0" w:line="356" w:lineRule="exact"/>
        <w:rPr>
          <w:rFonts w:ascii="Arial" w:cs="Arial" w:eastAsia="Arial" w:hAnsi="Arial"/>
          <w:sz w:val="16"/>
          <w:szCs w:val="16"/>
          <w:u w:val="single" w:color="auto"/>
          <w:color w:val="0000FF"/>
        </w:rPr>
      </w:pPr>
    </w:p>
    <w:p>
      <w:pPr>
        <w:ind w:left="1020" w:right="40" w:hanging="368"/>
        <w:spacing w:after="0" w:line="232"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113">
        <w:r>
          <w:rPr>
            <w:rFonts w:ascii="Arial" w:cs="Arial" w:eastAsia="Arial" w:hAnsi="Arial"/>
            <w:sz w:val="16"/>
            <w:szCs w:val="16"/>
            <w:u w:val="single" w:color="auto"/>
            <w:color w:val="0000FF"/>
          </w:rPr>
          <w:t>Investors' Rights Agreement by and among Tenable Holdings, Inc. and certain of its</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stockholders, dated December 18, 2015</w:t>
        </w:r>
      </w:hyperlink>
    </w:p>
    <w:p>
      <w:pPr>
        <w:spacing w:after="0" w:line="184" w:lineRule="exact"/>
        <w:rPr>
          <w:sz w:val="20"/>
          <w:szCs w:val="20"/>
          <w:color w:val="auto"/>
        </w:rPr>
      </w:pPr>
    </w:p>
    <w:p>
      <w:pPr>
        <w:ind w:left="640"/>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4.3</w:t>
      </w:r>
      <w:r>
        <w:rPr>
          <w:sz w:val="20"/>
          <w:szCs w:val="20"/>
          <w:color w:val="auto"/>
        </w:rPr>
        <w:tab/>
      </w:r>
      <w:hyperlink r:id="rId114">
        <w:r>
          <w:rPr>
            <w:rFonts w:ascii="Arial" w:cs="Arial" w:eastAsia="Arial" w:hAnsi="Arial"/>
            <w:sz w:val="16"/>
            <w:szCs w:val="16"/>
            <w:u w:val="single" w:color="auto"/>
            <w:color w:val="0000FF"/>
          </w:rPr>
          <w:t>Description of Common Stock of Tenable Holdings, Inc.</w:t>
        </w:r>
      </w:hyperlink>
    </w:p>
    <w:p>
      <w:pPr>
        <w:spacing w:after="0" w:line="356" w:lineRule="exact"/>
        <w:rPr>
          <w:sz w:val="20"/>
          <w:szCs w:val="20"/>
          <w:color w:val="auto"/>
        </w:rPr>
      </w:pPr>
    </w:p>
    <w:p>
      <w:pPr>
        <w:jc w:val="both"/>
        <w:ind w:left="1020" w:hanging="553"/>
        <w:spacing w:after="0" w:line="225"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115">
        <w:r>
          <w:rPr>
            <w:rFonts w:ascii="Arial" w:cs="Arial" w:eastAsia="Arial" w:hAnsi="Arial"/>
            <w:sz w:val="16"/>
            <w:szCs w:val="16"/>
            <w:u w:val="single" w:color="auto"/>
            <w:color w:val="0000FF"/>
          </w:rPr>
          <w:t>2016 Stock Incentive Plan and Irish Supplement and Forms of Option Grant Notice</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and Agreement and Exercise Notice and Form of Restricted Stock Grant Notice and</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Agreement thereunder, as amended to date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3" w:lineRule="exact"/>
        <w:rPr>
          <w:rFonts w:ascii="Arial" w:cs="Arial" w:eastAsia="Arial" w:hAnsi="Arial"/>
          <w:sz w:val="16"/>
          <w:szCs w:val="16"/>
          <w:u w:val="single" w:color="auto"/>
          <w:color w:val="0000FF"/>
        </w:rPr>
      </w:pPr>
    </w:p>
    <w:p>
      <w:pPr>
        <w:jc w:val="center"/>
        <w:ind w:right="40"/>
        <w:spacing w:after="0"/>
        <w:rPr>
          <w:sz w:val="20"/>
          <w:szCs w:val="20"/>
          <w:color w:val="auto"/>
        </w:rPr>
      </w:pPr>
      <w:r>
        <w:rPr>
          <w:rFonts w:ascii="Arial" w:cs="Arial" w:eastAsia="Arial" w:hAnsi="Arial"/>
          <w:sz w:val="16"/>
          <w:szCs w:val="16"/>
          <w:b w:val="1"/>
          <w:bCs w:val="1"/>
          <w:color w:val="auto"/>
        </w:rPr>
        <w:t>Location</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23495</wp:posOffset>
            </wp:positionV>
            <wp:extent cx="25546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86" w:lineRule="exact"/>
        <w:rPr>
          <w:rFonts w:ascii="Arial" w:cs="Arial" w:eastAsia="Arial" w:hAnsi="Arial"/>
          <w:sz w:val="16"/>
          <w:szCs w:val="16"/>
          <w:u w:val="single" w:color="auto"/>
          <w:color w:val="0000FF"/>
        </w:rPr>
      </w:pPr>
    </w:p>
    <w:p>
      <w:pPr>
        <w:ind w:right="260"/>
        <w:spacing w:after="0" w:line="225" w:lineRule="auto"/>
        <w:rPr>
          <w:sz w:val="20"/>
          <w:szCs w:val="20"/>
          <w:color w:val="auto"/>
        </w:rPr>
      </w:pPr>
      <w:r>
        <w:rPr>
          <w:rFonts w:ascii="Arial" w:cs="Arial" w:eastAsia="Arial" w:hAnsi="Arial"/>
          <w:sz w:val="16"/>
          <w:szCs w:val="16"/>
          <w:color w:val="auto"/>
        </w:rPr>
        <w:t>Previously filed as Exhibit 10.1 to the Company's Current Report on Form 8-K (File No. 001-38600) on December 2, 2019</w:t>
      </w:r>
    </w:p>
    <w:p>
      <w:pPr>
        <w:spacing w:after="0" w:line="185" w:lineRule="exact"/>
        <w:rPr>
          <w:rFonts w:ascii="Arial" w:cs="Arial" w:eastAsia="Arial" w:hAnsi="Arial"/>
          <w:sz w:val="16"/>
          <w:szCs w:val="16"/>
          <w:u w:val="single" w:color="auto"/>
          <w:color w:val="0000FF"/>
        </w:rPr>
      </w:pPr>
    </w:p>
    <w:p>
      <w:pPr>
        <w:ind w:right="260"/>
        <w:spacing w:after="0" w:line="225"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23" w:lineRule="exact"/>
        <w:rPr>
          <w:rFonts w:ascii="Arial" w:cs="Arial" w:eastAsia="Arial" w:hAnsi="Arial"/>
          <w:sz w:val="16"/>
          <w:szCs w:val="16"/>
          <w:u w:val="single" w:color="auto"/>
          <w:color w:val="0000FF"/>
        </w:rPr>
      </w:pPr>
    </w:p>
    <w:p>
      <w:pPr>
        <w:ind w:right="420"/>
        <w:spacing w:after="0" w:line="225"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23" w:lineRule="exact"/>
        <w:rPr>
          <w:rFonts w:ascii="Arial" w:cs="Arial" w:eastAsia="Arial" w:hAnsi="Arial"/>
          <w:sz w:val="16"/>
          <w:szCs w:val="16"/>
          <w:u w:val="single" w:color="auto"/>
          <w:color w:val="0000FF"/>
        </w:rPr>
      </w:pPr>
    </w:p>
    <w:p>
      <w:pPr>
        <w:ind w:right="420"/>
        <w:spacing w:after="0" w:line="225"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23" w:lineRule="exact"/>
        <w:rPr>
          <w:rFonts w:ascii="Arial" w:cs="Arial" w:eastAsia="Arial" w:hAnsi="Arial"/>
          <w:sz w:val="16"/>
          <w:szCs w:val="16"/>
          <w:u w:val="single" w:color="auto"/>
          <w:color w:val="0000FF"/>
        </w:rPr>
      </w:pPr>
    </w:p>
    <w:p>
      <w:pPr>
        <w:ind w:right="420"/>
        <w:spacing w:after="0" w:line="225" w:lineRule="auto"/>
        <w:rPr>
          <w:sz w:val="20"/>
          <w:szCs w:val="20"/>
          <w:color w:val="auto"/>
        </w:rPr>
      </w:pPr>
      <w:r>
        <w:rPr>
          <w:rFonts w:ascii="Arial" w:cs="Arial" w:eastAsia="Arial" w:hAnsi="Arial"/>
          <w:sz w:val="16"/>
          <w:szCs w:val="16"/>
          <w:color w:val="auto"/>
        </w:rPr>
        <w:t>Previously filed as Exhibit 4.2 to the Company's Registration Statement on Form S-1 (File No. 333-226002) on July 16, 2018</w:t>
      </w:r>
    </w:p>
    <w:p>
      <w:pPr>
        <w:spacing w:after="0" w:line="23" w:lineRule="exact"/>
        <w:rPr>
          <w:rFonts w:ascii="Arial" w:cs="Arial" w:eastAsia="Arial" w:hAnsi="Arial"/>
          <w:sz w:val="16"/>
          <w:szCs w:val="16"/>
          <w:u w:val="single" w:color="auto"/>
          <w:color w:val="0000FF"/>
        </w:rPr>
      </w:pPr>
    </w:p>
    <w:p>
      <w:pPr>
        <w:jc w:val="both"/>
        <w:ind w:right="60"/>
        <w:spacing w:after="0" w:line="225" w:lineRule="auto"/>
        <w:rPr>
          <w:sz w:val="20"/>
          <w:szCs w:val="20"/>
          <w:color w:val="auto"/>
        </w:rPr>
      </w:pPr>
      <w:r>
        <w:rPr>
          <w:rFonts w:ascii="Arial" w:cs="Arial" w:eastAsia="Arial" w:hAnsi="Arial"/>
          <w:sz w:val="16"/>
          <w:szCs w:val="16"/>
          <w:color w:val="auto"/>
        </w:rPr>
        <w:t>Previously filed as Exhibit 4.3 to the Company's Annual Report on Form 10-K (File No. 001-38600) on February 28, 2020</w:t>
      </w:r>
    </w:p>
    <w:p>
      <w:pPr>
        <w:spacing w:after="0" w:line="23" w:lineRule="exact"/>
        <w:rPr>
          <w:rFonts w:ascii="Arial" w:cs="Arial" w:eastAsia="Arial" w:hAnsi="Arial"/>
          <w:sz w:val="16"/>
          <w:szCs w:val="16"/>
          <w:u w:val="single" w:color="auto"/>
          <w:color w:val="0000FF"/>
        </w:rPr>
      </w:pPr>
    </w:p>
    <w:p>
      <w:pPr>
        <w:ind w:right="420"/>
        <w:spacing w:after="0" w:line="225" w:lineRule="auto"/>
        <w:rPr>
          <w:sz w:val="20"/>
          <w:szCs w:val="20"/>
          <w:color w:val="auto"/>
        </w:rPr>
      </w:pPr>
      <w:r>
        <w:rPr>
          <w:rFonts w:ascii="Arial" w:cs="Arial" w:eastAsia="Arial" w:hAnsi="Arial"/>
          <w:sz w:val="16"/>
          <w:szCs w:val="16"/>
          <w:color w:val="auto"/>
        </w:rPr>
        <w:t>Previously filed as Exhibit 10.1 to the Company's Registration Statement on Form S-8 (File No. 333-226347) on July 26, 2018</w:t>
      </w:r>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7020" w:space="180"/>
            <w:col w:w="4040"/>
          </w:cols>
          <w:pgMar w:left="320" w:top="140"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65" w:lineRule="exact"/>
        <w:rPr>
          <w:rFonts w:ascii="Arial" w:cs="Arial" w:eastAsia="Arial" w:hAnsi="Arial"/>
          <w:sz w:val="16"/>
          <w:szCs w:val="16"/>
          <w:u w:val="single" w:color="auto"/>
          <w:color w:val="0000FF"/>
        </w:rPr>
      </w:pPr>
    </w:p>
    <w:p>
      <w:pPr>
        <w:jc w:val="center"/>
        <w:ind w:right="-319"/>
        <w:spacing w:after="0"/>
        <w:rPr>
          <w:sz w:val="20"/>
          <w:szCs w:val="20"/>
          <w:color w:val="auto"/>
        </w:rPr>
      </w:pPr>
      <w:r>
        <w:rPr>
          <w:rFonts w:ascii="Arial" w:cs="Arial" w:eastAsia="Arial" w:hAnsi="Arial"/>
          <w:sz w:val="17"/>
          <w:szCs w:val="17"/>
          <w:color w:val="auto"/>
        </w:rPr>
        <w:t>94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6080" w:type="dxa"/>
            <w:vAlign w:val="bottom"/>
            <w:gridSpan w:val="28"/>
          </w:tcPr>
          <w:p>
            <w:pPr>
              <w:spacing w:after="0"/>
              <w:rPr>
                <w:rFonts w:ascii="Arial" w:cs="Arial" w:eastAsia="Arial" w:hAnsi="Arial"/>
                <w:sz w:val="16"/>
                <w:szCs w:val="16"/>
                <w:color w:val="0000FF"/>
              </w:rPr>
            </w:pPr>
            <w:hyperlink r:id="rId118">
              <w:r>
                <w:rPr>
                  <w:rFonts w:ascii="Arial" w:cs="Arial" w:eastAsia="Arial" w:hAnsi="Arial"/>
                  <w:sz w:val="16"/>
                  <w:szCs w:val="16"/>
                  <w:color w:val="0000FF"/>
                </w:rPr>
                <w:t>2012 Stock Incentive Plan and Form of Notice of Stock Option Grant and Form of</w:t>
              </w:r>
            </w:hyperlink>
          </w:p>
        </w:tc>
      </w:tr>
      <w:tr>
        <w:trPr>
          <w:trHeight w:val="142"/>
        </w:trPr>
        <w:tc>
          <w:tcPr>
            <w:tcW w:w="800" w:type="dxa"/>
            <w:vAlign w:val="bottom"/>
          </w:tcPr>
          <w:p>
            <w:pPr>
              <w:spacing w:after="0"/>
              <w:rPr>
                <w:sz w:val="12"/>
                <w:szCs w:val="12"/>
                <w:color w:val="auto"/>
              </w:rPr>
            </w:pPr>
          </w:p>
        </w:tc>
        <w:tc>
          <w:tcPr>
            <w:tcW w:w="5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Stock Option Agreement and Notice of Exercise and Common Stock Purchase</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56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Agreement thereunder, as amended to date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6080" w:type="dxa"/>
            <w:vAlign w:val="bottom"/>
            <w:gridSpan w:val="28"/>
          </w:tcPr>
          <w:p>
            <w:pPr>
              <w:spacing w:after="0"/>
              <w:rPr>
                <w:rFonts w:ascii="Arial" w:cs="Arial" w:eastAsia="Arial" w:hAnsi="Arial"/>
                <w:sz w:val="16"/>
                <w:szCs w:val="16"/>
                <w:color w:val="0000FF"/>
              </w:rPr>
            </w:pPr>
            <w:hyperlink r:id="rId119">
              <w:r>
                <w:rPr>
                  <w:rFonts w:ascii="Arial" w:cs="Arial" w:eastAsia="Arial" w:hAnsi="Arial"/>
                  <w:sz w:val="16"/>
                  <w:szCs w:val="16"/>
                  <w:color w:val="0000FF"/>
                </w:rPr>
                <w:t>2002 Stock Incentive Plan and Form of Notice of Option Grant and Form of Stock</w:t>
              </w:r>
            </w:hyperlink>
          </w:p>
        </w:tc>
      </w:tr>
      <w:tr>
        <w:trPr>
          <w:trHeight w:val="20"/>
        </w:trPr>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6080" w:type="dxa"/>
            <w:vAlign w:val="bottom"/>
            <w:gridSpan w:val="28"/>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Option Agreement and Form of Notice of Stock Option Exercise and Form of Stock</w:t>
              </w:r>
            </w:hyperlink>
          </w:p>
        </w:tc>
      </w:tr>
      <w:tr>
        <w:trPr>
          <w:trHeight w:val="142"/>
        </w:trPr>
        <w:tc>
          <w:tcPr>
            <w:tcW w:w="800" w:type="dxa"/>
            <w:vAlign w:val="bottom"/>
          </w:tcPr>
          <w:p>
            <w:pPr>
              <w:spacing w:after="0"/>
              <w:rPr>
                <w:sz w:val="12"/>
                <w:szCs w:val="12"/>
                <w:color w:val="auto"/>
              </w:rPr>
            </w:pPr>
          </w:p>
        </w:tc>
        <w:tc>
          <w:tcPr>
            <w:tcW w:w="36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Award Agreement thereunder, as amended to date</w:t>
              </w:r>
            </w:hyperlink>
          </w:p>
        </w:tc>
        <w:tc>
          <w:tcPr>
            <w:tcW w:w="23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6080" w:type="dxa"/>
            <w:vAlign w:val="bottom"/>
            <w:gridSpan w:val="28"/>
          </w:tcPr>
          <w:p>
            <w:pPr>
              <w:spacing w:after="0"/>
              <w:rPr>
                <w:rFonts w:ascii="Arial" w:cs="Arial" w:eastAsia="Arial" w:hAnsi="Arial"/>
                <w:sz w:val="16"/>
                <w:szCs w:val="16"/>
                <w:color w:val="0000FF"/>
              </w:rPr>
            </w:pPr>
            <w:hyperlink r:id="rId120">
              <w:r>
                <w:rPr>
                  <w:rFonts w:ascii="Arial" w:cs="Arial" w:eastAsia="Arial" w:hAnsi="Arial"/>
                  <w:sz w:val="16"/>
                  <w:szCs w:val="16"/>
                  <w:color w:val="0000FF"/>
                </w:rPr>
                <w:t>2018 Equity Incentive Plan and Forms of Stock Option Grant Notice and Agreement</w:t>
              </w:r>
            </w:hyperlink>
          </w:p>
        </w:tc>
      </w:tr>
      <w:tr>
        <w:trPr>
          <w:trHeight w:val="142"/>
        </w:trPr>
        <w:tc>
          <w:tcPr>
            <w:tcW w:w="800" w:type="dxa"/>
            <w:vAlign w:val="bottom"/>
          </w:tcPr>
          <w:p>
            <w:pPr>
              <w:spacing w:after="0"/>
              <w:rPr>
                <w:sz w:val="12"/>
                <w:szCs w:val="12"/>
                <w:color w:val="auto"/>
              </w:rPr>
            </w:pPr>
          </w:p>
        </w:tc>
        <w:tc>
          <w:tcPr>
            <w:tcW w:w="47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and Restricted Stock Unit Grant Notice and Agreement thereunder</w:t>
              </w:r>
            </w:hyperlink>
          </w:p>
        </w:tc>
        <w:tc>
          <w:tcPr>
            <w:tcW w:w="128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3"/>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6080" w:type="dxa"/>
            <w:vAlign w:val="bottom"/>
            <w:gridSpan w:val="28"/>
          </w:tcPr>
          <w:p>
            <w:pPr>
              <w:spacing w:after="0"/>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2018 Employee Stock Purchase Plan</w:t>
              </w:r>
            </w:hyperlink>
          </w:p>
        </w:tc>
      </w:tr>
      <w:tr>
        <w:trPr>
          <w:trHeight w:val="505"/>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6080" w:type="dxa"/>
            <w:vAlign w:val="bottom"/>
            <w:gridSpan w:val="28"/>
          </w:tcPr>
          <w:p>
            <w:pPr>
              <w:spacing w:after="0"/>
              <w:rPr>
                <w:rFonts w:ascii="Arial" w:cs="Arial" w:eastAsia="Arial" w:hAnsi="Arial"/>
                <w:sz w:val="16"/>
                <w:szCs w:val="16"/>
                <w:color w:val="0000FF"/>
              </w:rPr>
            </w:pPr>
            <w:hyperlink r:id="rId122">
              <w:r>
                <w:rPr>
                  <w:rFonts w:ascii="Arial" w:cs="Arial" w:eastAsia="Arial" w:hAnsi="Arial"/>
                  <w:sz w:val="16"/>
                  <w:szCs w:val="16"/>
                  <w:color w:val="0000FF"/>
                </w:rPr>
                <w:t>Form of Indemnification Agreement by and between Tenable Holdings, Inc. and</w:t>
              </w:r>
            </w:hyperlink>
          </w:p>
        </w:tc>
      </w:tr>
      <w:tr>
        <w:trPr>
          <w:trHeight w:val="142"/>
        </w:trPr>
        <w:tc>
          <w:tcPr>
            <w:tcW w:w="800" w:type="dxa"/>
            <w:vAlign w:val="bottom"/>
          </w:tcPr>
          <w:p>
            <w:pPr>
              <w:spacing w:after="0"/>
              <w:rPr>
                <w:sz w:val="12"/>
                <w:szCs w:val="12"/>
                <w:color w:val="auto"/>
              </w:rPr>
            </w:pPr>
          </w:p>
        </w:tc>
        <w:tc>
          <w:tcPr>
            <w:tcW w:w="56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each of its directors and executive officers</w:t>
              </w:r>
            </w:hyperlink>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6080" w:type="dxa"/>
            <w:vAlign w:val="bottom"/>
            <w:gridSpan w:val="28"/>
          </w:tcPr>
          <w:p>
            <w:pPr>
              <w:spacing w:after="0"/>
              <w:rPr>
                <w:rFonts w:ascii="Arial" w:cs="Arial" w:eastAsia="Arial" w:hAnsi="Arial"/>
                <w:sz w:val="16"/>
                <w:szCs w:val="16"/>
                <w:color w:val="0000FF"/>
              </w:rPr>
            </w:pPr>
            <w:hyperlink r:id="rId123">
              <w:r>
                <w:rPr>
                  <w:rFonts w:ascii="Arial" w:cs="Arial" w:eastAsia="Arial" w:hAnsi="Arial"/>
                  <w:sz w:val="16"/>
                  <w:szCs w:val="16"/>
                  <w:color w:val="0000FF"/>
                </w:rPr>
                <w:t>Amended and Restated Employment Agreement, dated as of February 20, 2019, by</w:t>
              </w:r>
            </w:hyperlink>
          </w:p>
        </w:tc>
      </w:tr>
      <w:tr>
        <w:trPr>
          <w:trHeight w:val="142"/>
        </w:trPr>
        <w:tc>
          <w:tcPr>
            <w:tcW w:w="800" w:type="dxa"/>
            <w:vAlign w:val="bottom"/>
          </w:tcPr>
          <w:p>
            <w:pPr>
              <w:spacing w:after="0"/>
              <w:rPr>
                <w:sz w:val="12"/>
                <w:szCs w:val="12"/>
                <w:color w:val="auto"/>
              </w:rPr>
            </w:pPr>
          </w:p>
        </w:tc>
        <w:tc>
          <w:tcPr>
            <w:tcW w:w="60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and between Tenable, Inc. and Amit Yoran</w:t>
              </w:r>
            </w:hyperlink>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10.8+</w:t>
            </w:r>
          </w:p>
        </w:tc>
        <w:tc>
          <w:tcPr>
            <w:tcW w:w="6080" w:type="dxa"/>
            <w:vAlign w:val="bottom"/>
            <w:gridSpan w:val="28"/>
          </w:tcPr>
          <w:p>
            <w:pPr>
              <w:spacing w:after="0"/>
              <w:rPr>
                <w:rFonts w:ascii="Arial" w:cs="Arial" w:eastAsia="Arial" w:hAnsi="Arial"/>
                <w:sz w:val="16"/>
                <w:szCs w:val="16"/>
                <w:color w:val="0000FF"/>
              </w:rPr>
            </w:pPr>
            <w:hyperlink r:id="rId124">
              <w:r>
                <w:rPr>
                  <w:rFonts w:ascii="Arial" w:cs="Arial" w:eastAsia="Arial" w:hAnsi="Arial"/>
                  <w:sz w:val="16"/>
                  <w:szCs w:val="16"/>
                  <w:color w:val="0000FF"/>
                </w:rPr>
                <w:t>Amended and Restated Employment Agreement, dated as of February 20, 2019, by</w:t>
              </w:r>
            </w:hyperlink>
          </w:p>
        </w:tc>
      </w:tr>
      <w:tr>
        <w:trPr>
          <w:trHeight w:val="142"/>
        </w:trPr>
        <w:tc>
          <w:tcPr>
            <w:tcW w:w="800" w:type="dxa"/>
            <w:vAlign w:val="bottom"/>
          </w:tcPr>
          <w:p>
            <w:pPr>
              <w:spacing w:after="0"/>
              <w:rPr>
                <w:sz w:val="12"/>
                <w:szCs w:val="12"/>
                <w:color w:val="auto"/>
              </w:rPr>
            </w:pPr>
          </w:p>
        </w:tc>
        <w:tc>
          <w:tcPr>
            <w:tcW w:w="60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and between Tenable, Inc. and Stephen A. Vintz</w:t>
              </w:r>
            </w:hyperlink>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6080" w:type="dxa"/>
            <w:vAlign w:val="bottom"/>
            <w:gridSpan w:val="28"/>
          </w:tcPr>
          <w:p>
            <w:pPr>
              <w:spacing w:after="0"/>
              <w:rPr>
                <w:rFonts w:ascii="Arial" w:cs="Arial" w:eastAsia="Arial" w:hAnsi="Arial"/>
                <w:sz w:val="16"/>
                <w:szCs w:val="16"/>
                <w:color w:val="0000FF"/>
              </w:rPr>
            </w:pPr>
            <w:hyperlink r:id="rId125">
              <w:r>
                <w:rPr>
                  <w:rFonts w:ascii="Arial" w:cs="Arial" w:eastAsia="Arial" w:hAnsi="Arial"/>
                  <w:sz w:val="16"/>
                  <w:szCs w:val="16"/>
                  <w:color w:val="0000FF"/>
                </w:rPr>
                <w:t>Amended and Restated Employment Agreement, dated as of February 20, 2019, by</w:t>
              </w:r>
            </w:hyperlink>
          </w:p>
        </w:tc>
      </w:tr>
      <w:tr>
        <w:trPr>
          <w:trHeight w:val="142"/>
        </w:trPr>
        <w:tc>
          <w:tcPr>
            <w:tcW w:w="800" w:type="dxa"/>
            <w:vAlign w:val="bottom"/>
          </w:tcPr>
          <w:p>
            <w:pPr>
              <w:spacing w:after="0"/>
              <w:rPr>
                <w:sz w:val="12"/>
                <w:szCs w:val="12"/>
                <w:color w:val="auto"/>
              </w:rPr>
            </w:pPr>
          </w:p>
        </w:tc>
        <w:tc>
          <w:tcPr>
            <w:tcW w:w="60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and between Tenable, Inc. and Stephen A. Riddick</w:t>
              </w:r>
            </w:hyperlink>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20" w:type="dxa"/>
            <w:vAlign w:val="bottom"/>
            <w:tcBorders>
              <w:left w:val="single" w:sz="8" w:color="0000FF"/>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10.10</w:t>
            </w:r>
          </w:p>
        </w:tc>
        <w:tc>
          <w:tcPr>
            <w:tcW w:w="6080" w:type="dxa"/>
            <w:vAlign w:val="bottom"/>
            <w:gridSpan w:val="28"/>
          </w:tcPr>
          <w:p>
            <w:pPr>
              <w:spacing w:after="0"/>
              <w:rPr>
                <w:rFonts w:ascii="Arial" w:cs="Arial" w:eastAsia="Arial" w:hAnsi="Arial"/>
                <w:sz w:val="16"/>
                <w:szCs w:val="16"/>
                <w:color w:val="0000FF"/>
              </w:rPr>
            </w:pPr>
            <w:hyperlink r:id="rId126">
              <w:r>
                <w:rPr>
                  <w:rFonts w:ascii="Arial" w:cs="Arial" w:eastAsia="Arial" w:hAnsi="Arial"/>
                  <w:sz w:val="16"/>
                  <w:szCs w:val="16"/>
                  <w:color w:val="0000FF"/>
                </w:rPr>
                <w:t>Loan and Security Agreement, dated as of May 4, 2017, by and between Tenable</w:t>
              </w:r>
            </w:hyperlink>
          </w:p>
        </w:tc>
      </w:tr>
      <w:tr>
        <w:trPr>
          <w:trHeight w:val="142"/>
        </w:trPr>
        <w:tc>
          <w:tcPr>
            <w:tcW w:w="800" w:type="dxa"/>
            <w:vAlign w:val="bottom"/>
          </w:tcPr>
          <w:p>
            <w:pPr>
              <w:spacing w:after="0"/>
              <w:rPr>
                <w:sz w:val="12"/>
                <w:szCs w:val="12"/>
                <w:color w:val="auto"/>
              </w:rPr>
            </w:pPr>
          </w:p>
        </w:tc>
        <w:tc>
          <w:tcPr>
            <w:tcW w:w="58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Network Security, Inc. and Silicon Valley Bank</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10.11#</w:t>
            </w:r>
          </w:p>
        </w:tc>
        <w:tc>
          <w:tcPr>
            <w:tcW w:w="6080" w:type="dxa"/>
            <w:vAlign w:val="bottom"/>
            <w:gridSpan w:val="28"/>
          </w:tcPr>
          <w:p>
            <w:pPr>
              <w:spacing w:after="0"/>
              <w:rPr>
                <w:rFonts w:ascii="Arial" w:cs="Arial" w:eastAsia="Arial" w:hAnsi="Arial"/>
                <w:sz w:val="16"/>
                <w:szCs w:val="16"/>
                <w:color w:val="0000FF"/>
              </w:rPr>
            </w:pPr>
            <w:hyperlink r:id="rId127">
              <w:r>
                <w:rPr>
                  <w:rFonts w:ascii="Arial" w:cs="Arial" w:eastAsia="Arial" w:hAnsi="Arial"/>
                  <w:sz w:val="16"/>
                  <w:szCs w:val="16"/>
                  <w:color w:val="0000FF"/>
                </w:rPr>
                <w:t>Distribution Agreement, dated as of September 10, 2012, by and between Tenable</w:t>
              </w:r>
            </w:hyperlink>
          </w:p>
        </w:tc>
      </w:tr>
      <w:tr>
        <w:trPr>
          <w:trHeight w:val="142"/>
        </w:trPr>
        <w:tc>
          <w:tcPr>
            <w:tcW w:w="80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Network Security, Inc. and Ingram Micro, Inc.</w:t>
              </w:r>
            </w:hyperlink>
          </w:p>
        </w:tc>
        <w:tc>
          <w:tcPr>
            <w:tcW w:w="26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58"/>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10.12</w:t>
            </w:r>
          </w:p>
        </w:tc>
        <w:tc>
          <w:tcPr>
            <w:tcW w:w="6080" w:type="dxa"/>
            <w:vAlign w:val="bottom"/>
            <w:gridSpan w:val="28"/>
          </w:tcPr>
          <w:p>
            <w:pPr>
              <w:spacing w:after="0"/>
              <w:rPr>
                <w:rFonts w:ascii="Arial" w:cs="Arial" w:eastAsia="Arial" w:hAnsi="Arial"/>
                <w:sz w:val="16"/>
                <w:szCs w:val="16"/>
                <w:color w:val="0000FF"/>
              </w:rPr>
            </w:pPr>
            <w:hyperlink r:id="rId128">
              <w:r>
                <w:rPr>
                  <w:rFonts w:ascii="Arial" w:cs="Arial" w:eastAsia="Arial" w:hAnsi="Arial"/>
                  <w:sz w:val="16"/>
                  <w:szCs w:val="16"/>
                  <w:color w:val="0000FF"/>
                </w:rPr>
                <w:t>Second Amendment to Loan and Security Agreement, dated as of July 1, 2020, by</w:t>
              </w:r>
            </w:hyperlink>
          </w:p>
        </w:tc>
      </w:tr>
      <w:tr>
        <w:trPr>
          <w:trHeight w:val="142"/>
        </w:trPr>
        <w:tc>
          <w:tcPr>
            <w:tcW w:w="800" w:type="dxa"/>
            <w:vAlign w:val="bottom"/>
          </w:tcPr>
          <w:p>
            <w:pPr>
              <w:spacing w:after="0"/>
              <w:rPr>
                <w:sz w:val="12"/>
                <w:szCs w:val="12"/>
                <w:color w:val="auto"/>
              </w:rPr>
            </w:pPr>
          </w:p>
        </w:tc>
        <w:tc>
          <w:tcPr>
            <w:tcW w:w="59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and between Tenable, Inc. and Silicon Valley Bank</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10.13</w:t>
            </w:r>
          </w:p>
        </w:tc>
        <w:tc>
          <w:tcPr>
            <w:tcW w:w="6080" w:type="dxa"/>
            <w:vAlign w:val="bottom"/>
            <w:gridSpan w:val="28"/>
          </w:tcPr>
          <w:p>
            <w:pPr>
              <w:spacing w:after="0"/>
              <w:rPr>
                <w:rFonts w:ascii="Arial" w:cs="Arial" w:eastAsia="Arial" w:hAnsi="Arial"/>
                <w:sz w:val="16"/>
                <w:szCs w:val="16"/>
                <w:color w:val="0000FF"/>
              </w:rPr>
            </w:pPr>
            <w:hyperlink r:id="rId129">
              <w:r>
                <w:rPr>
                  <w:rFonts w:ascii="Arial" w:cs="Arial" w:eastAsia="Arial" w:hAnsi="Arial"/>
                  <w:sz w:val="16"/>
                  <w:szCs w:val="16"/>
                  <w:color w:val="0000FF"/>
                </w:rPr>
                <w:t>Credit Agreement, dated as of July 24, 2020, by and among Tenable Holdings, Inc.,</w:t>
              </w:r>
            </w:hyperlink>
          </w:p>
        </w:tc>
      </w:tr>
      <w:tr>
        <w:trPr>
          <w:trHeight w:val="142"/>
        </w:trPr>
        <w:tc>
          <w:tcPr>
            <w:tcW w:w="800" w:type="dxa"/>
            <w:vAlign w:val="bottom"/>
          </w:tcPr>
          <w:p>
            <w:pPr>
              <w:spacing w:after="0"/>
              <w:rPr>
                <w:sz w:val="12"/>
                <w:szCs w:val="12"/>
                <w:color w:val="auto"/>
              </w:rPr>
            </w:pPr>
          </w:p>
        </w:tc>
        <w:tc>
          <w:tcPr>
            <w:tcW w:w="600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as guarantor, Tenable, Inc., as borrower, the several lenders from time to time party</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598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thereto, and Silicon Valley Bank, as administrative agent, issuing lender and</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542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swingline lender, and as lead arranger</w:t>
              </w:r>
            </w:hyperlink>
          </w:p>
        </w:tc>
        <w:tc>
          <w:tcPr>
            <w:tcW w:w="22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6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31"/>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21.1</w:t>
            </w:r>
          </w:p>
        </w:tc>
        <w:tc>
          <w:tcPr>
            <w:tcW w:w="2720" w:type="dxa"/>
            <w:vAlign w:val="bottom"/>
            <w:tcBorders>
              <w:top w:val="single" w:sz="8" w:color="0000FF"/>
            </w:tcBorders>
            <w:gridSpan w:val="3"/>
          </w:tcPr>
          <w:p>
            <w:pPr>
              <w:spacing w:after="0"/>
              <w:rPr>
                <w:rFonts w:ascii="Arial" w:cs="Arial" w:eastAsia="Arial" w:hAnsi="Arial"/>
                <w:sz w:val="16"/>
                <w:szCs w:val="16"/>
                <w:color w:val="0000FF"/>
              </w:rPr>
            </w:pPr>
            <w:hyperlink w:anchor="page99">
              <w:r>
                <w:rPr>
                  <w:rFonts w:ascii="Arial" w:cs="Arial" w:eastAsia="Arial" w:hAnsi="Arial"/>
                  <w:sz w:val="16"/>
                  <w:szCs w:val="16"/>
                  <w:u w:val="single" w:color="auto"/>
                  <w:color w:val="0000FF"/>
                </w:rPr>
                <w:t>Subsidiaries of Tenable Holdings, Inc</w:t>
              </w:r>
              <w:r>
                <w:rPr>
                  <w:rFonts w:ascii="Arial" w:cs="Arial" w:eastAsia="Arial" w:hAnsi="Arial"/>
                  <w:sz w:val="16"/>
                  <w:szCs w:val="16"/>
                  <w:color w:val="0000FF"/>
                </w:rPr>
                <w:t>.</w:t>
              </w:r>
            </w:hyperlink>
          </w:p>
        </w:tc>
        <w:tc>
          <w:tcPr>
            <w:tcW w:w="3360" w:type="dxa"/>
            <w:vAlign w:val="bottom"/>
            <w:gridSpan w:val="25"/>
          </w:tcPr>
          <w:p>
            <w:pPr>
              <w:spacing w:after="0"/>
              <w:rPr>
                <w:sz w:val="20"/>
                <w:szCs w:val="20"/>
                <w:color w:val="auto"/>
              </w:rPr>
            </w:pPr>
          </w:p>
        </w:tc>
      </w:tr>
      <w:tr>
        <w:trPr>
          <w:trHeight w:val="216"/>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23.1</w:t>
            </w:r>
          </w:p>
        </w:tc>
        <w:tc>
          <w:tcPr>
            <w:tcW w:w="6080" w:type="dxa"/>
            <w:vAlign w:val="bottom"/>
            <w:gridSpan w:val="28"/>
          </w:tcPr>
          <w:p>
            <w:pPr>
              <w:spacing w:after="0"/>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Consent of Ernst &amp; Young LLP, independent registered public accounting firm</w:t>
              </w:r>
            </w:hyperlink>
          </w:p>
        </w:tc>
      </w:tr>
      <w:tr>
        <w:trPr>
          <w:trHeight w:val="216"/>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24.1</w:t>
            </w:r>
          </w:p>
        </w:tc>
        <w:tc>
          <w:tcPr>
            <w:tcW w:w="6080" w:type="dxa"/>
            <w:vAlign w:val="bottom"/>
            <w:gridSpan w:val="28"/>
          </w:tcPr>
          <w:p>
            <w:pPr>
              <w:spacing w:after="0"/>
              <w:rPr>
                <w:rFonts w:ascii="Arial" w:cs="Arial" w:eastAsia="Arial" w:hAnsi="Arial"/>
                <w:sz w:val="16"/>
                <w:szCs w:val="16"/>
                <w:u w:val="single" w:color="auto"/>
                <w:color w:val="0000FF"/>
              </w:rPr>
            </w:pPr>
            <w:hyperlink w:anchor="page97">
              <w:r>
                <w:rPr>
                  <w:rFonts w:ascii="Arial" w:cs="Arial" w:eastAsia="Arial" w:hAnsi="Arial"/>
                  <w:sz w:val="16"/>
                  <w:szCs w:val="16"/>
                  <w:u w:val="single" w:color="auto"/>
                  <w:color w:val="0000FF"/>
                </w:rPr>
                <w:t>Power of Attorney</w:t>
              </w:r>
            </w:hyperlink>
          </w:p>
        </w:tc>
      </w:tr>
      <w:tr>
        <w:trPr>
          <w:trHeight w:val="182"/>
        </w:trPr>
        <w:tc>
          <w:tcPr>
            <w:tcW w:w="800" w:type="dxa"/>
            <w:vAlign w:val="bottom"/>
          </w:tcPr>
          <w:p>
            <w:pPr>
              <w:jc w:val="right"/>
              <w:ind w:right="79"/>
              <w:spacing w:after="0" w:line="181" w:lineRule="exact"/>
              <w:rPr>
                <w:sz w:val="20"/>
                <w:szCs w:val="20"/>
                <w:color w:val="auto"/>
              </w:rPr>
            </w:pPr>
            <w:r>
              <w:rPr>
                <w:rFonts w:ascii="Arial" w:cs="Arial" w:eastAsia="Arial" w:hAnsi="Arial"/>
                <w:sz w:val="16"/>
                <w:szCs w:val="16"/>
                <w:color w:val="auto"/>
              </w:rPr>
              <w:t>31.1</w:t>
            </w:r>
          </w:p>
        </w:tc>
        <w:tc>
          <w:tcPr>
            <w:tcW w:w="6080" w:type="dxa"/>
            <w:vAlign w:val="bottom"/>
            <w:gridSpan w:val="28"/>
          </w:tcPr>
          <w:p>
            <w:pPr>
              <w:spacing w:after="0" w:line="181" w:lineRule="exact"/>
              <w:rPr>
                <w:rFonts w:ascii="Arial" w:cs="Arial" w:eastAsia="Arial" w:hAnsi="Arial"/>
                <w:sz w:val="16"/>
                <w:szCs w:val="16"/>
                <w:color w:val="0000FF"/>
              </w:rPr>
            </w:pPr>
            <w:hyperlink w:anchor="page101">
              <w:r>
                <w:rPr>
                  <w:rFonts w:ascii="Arial" w:cs="Arial" w:eastAsia="Arial" w:hAnsi="Arial"/>
                  <w:sz w:val="16"/>
                  <w:szCs w:val="16"/>
                  <w:color w:val="0000FF"/>
                </w:rPr>
                <w:t>Certification of the Principal Executive Officer pursuant to Rules 13a-14(a) and 15d-</w:t>
              </w:r>
            </w:hyperlink>
          </w:p>
        </w:tc>
      </w:tr>
      <w:tr>
        <w:trPr>
          <w:trHeight w:val="142"/>
        </w:trPr>
        <w:tc>
          <w:tcPr>
            <w:tcW w:w="80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w:anchor="page101">
              <w:r>
                <w:rPr>
                  <w:rFonts w:ascii="Arial" w:cs="Arial" w:eastAsia="Arial" w:hAnsi="Arial"/>
                  <w:sz w:val="16"/>
                  <w:szCs w:val="16"/>
                  <w:color w:val="0000FF"/>
                </w:rPr>
                <w:t>14(a) under the Exchange Act, as adopted pursuant to Section 302 of the Sarbanes</w:t>
              </w:r>
            </w:hyperlink>
          </w:p>
        </w:tc>
        <w:tc>
          <w:tcPr>
            <w:tcW w:w="60" w:type="dxa"/>
            <w:vAlign w:val="bottom"/>
            <w:tcBorders>
              <w:bottom w:val="single" w:sz="8" w:color="0000FF"/>
            </w:tcBorders>
            <w:gridSpan w:val="3"/>
          </w:tcPr>
          <w:p>
            <w:pPr>
              <w:jc w:val="right"/>
              <w:ind w:right="40"/>
              <w:spacing w:after="0"/>
              <w:rPr>
                <w:rFonts w:ascii="Arial" w:cs="Arial" w:eastAsia="Arial" w:hAnsi="Arial"/>
                <w:sz w:val="1"/>
                <w:szCs w:val="1"/>
                <w:color w:val="0000FF"/>
                <w:w w:val="4294967282"/>
              </w:rPr>
            </w:pPr>
            <w:hyperlink w:anchor="page101">
              <w:r>
                <w:rPr>
                  <w:rFonts w:ascii="Arial" w:cs="Arial" w:eastAsia="Arial" w:hAnsi="Arial"/>
                  <w:sz w:val="1"/>
                  <w:szCs w:val="1"/>
                  <w:color w:val="0000FF"/>
                  <w:w w:val="4294967282"/>
                </w:rPr>
                <w:t>-</w:t>
              </w:r>
            </w:hyperlink>
          </w:p>
        </w:tc>
      </w:tr>
      <w:tr>
        <w:trPr>
          <w:trHeight w:val="142"/>
        </w:trPr>
        <w:tc>
          <w:tcPr>
            <w:tcW w:w="800" w:type="dxa"/>
            <w:vAlign w:val="bottom"/>
          </w:tcPr>
          <w:p>
            <w:pPr>
              <w:spacing w:after="0"/>
              <w:rPr>
                <w:sz w:val="12"/>
                <w:szCs w:val="12"/>
                <w:color w:val="auto"/>
              </w:rPr>
            </w:pPr>
          </w:p>
        </w:tc>
        <w:tc>
          <w:tcPr>
            <w:tcW w:w="1280" w:type="dxa"/>
            <w:vAlign w:val="bottom"/>
            <w:tcBorders>
              <w:bottom w:val="single" w:sz="8" w:color="0000FF"/>
            </w:tcBorders>
          </w:tcPr>
          <w:p>
            <w:pPr>
              <w:spacing w:after="0" w:line="142" w:lineRule="exact"/>
              <w:rPr>
                <w:rFonts w:ascii="Arial" w:cs="Arial" w:eastAsia="Arial" w:hAnsi="Arial"/>
                <w:sz w:val="16"/>
                <w:szCs w:val="16"/>
                <w:color w:val="0000FF"/>
                <w:w w:val="99"/>
              </w:rPr>
            </w:pPr>
            <w:hyperlink w:anchor="page101">
              <w:r>
                <w:rPr>
                  <w:rFonts w:ascii="Arial" w:cs="Arial" w:eastAsia="Arial" w:hAnsi="Arial"/>
                  <w:sz w:val="16"/>
                  <w:szCs w:val="16"/>
                  <w:color w:val="0000FF"/>
                  <w:w w:val="99"/>
                </w:rPr>
                <w:t>Oxley Act of 2002</w:t>
              </w:r>
            </w:hyperlink>
          </w:p>
        </w:tc>
        <w:tc>
          <w:tcPr>
            <w:tcW w:w="4800" w:type="dxa"/>
            <w:vAlign w:val="bottom"/>
            <w:gridSpan w:val="27"/>
          </w:tcPr>
          <w:p>
            <w:pPr>
              <w:spacing w:after="0"/>
              <w:rPr>
                <w:sz w:val="12"/>
                <w:szCs w:val="12"/>
                <w:color w:val="auto"/>
              </w:rPr>
            </w:pPr>
          </w:p>
        </w:tc>
      </w:tr>
      <w:tr>
        <w:trPr>
          <w:trHeight w:val="196"/>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31.2</w:t>
            </w:r>
          </w:p>
        </w:tc>
        <w:tc>
          <w:tcPr>
            <w:tcW w:w="6080" w:type="dxa"/>
            <w:vAlign w:val="bottom"/>
            <w:gridSpan w:val="28"/>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Certification of the Principal Financial Officer pursuant to Rules 13a-14(a) and 15d-</w:t>
              </w:r>
            </w:hyperlink>
          </w:p>
        </w:tc>
      </w:tr>
      <w:tr>
        <w:trPr>
          <w:trHeight w:val="142"/>
        </w:trPr>
        <w:tc>
          <w:tcPr>
            <w:tcW w:w="800" w:type="dxa"/>
            <w:vAlign w:val="bottom"/>
          </w:tcPr>
          <w:p>
            <w:pPr>
              <w:spacing w:after="0"/>
              <w:rPr>
                <w:sz w:val="12"/>
                <w:szCs w:val="12"/>
                <w:color w:val="auto"/>
              </w:rPr>
            </w:pPr>
          </w:p>
        </w:tc>
        <w:tc>
          <w:tcPr>
            <w:tcW w:w="596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w:anchor="page102">
              <w:r>
                <w:rPr>
                  <w:rFonts w:ascii="Arial" w:cs="Arial" w:eastAsia="Arial" w:hAnsi="Arial"/>
                  <w:sz w:val="16"/>
                  <w:szCs w:val="16"/>
                  <w:color w:val="0000FF"/>
                </w:rPr>
                <w:t>14(a) under the Exchange Act, as adopted pursuant to Section 302 of the Sarbanes</w:t>
              </w:r>
            </w:hyperlink>
          </w:p>
        </w:tc>
        <w:tc>
          <w:tcPr>
            <w:tcW w:w="120" w:type="dxa"/>
            <w:vAlign w:val="bottom"/>
            <w:tcBorders>
              <w:bottom w:val="single" w:sz="8" w:color="0000FF"/>
            </w:tcBorders>
            <w:gridSpan w:val="6"/>
          </w:tcPr>
          <w:p>
            <w:pPr>
              <w:jc w:val="right"/>
              <w:ind w:right="40"/>
              <w:spacing w:after="0" w:line="142" w:lineRule="exact"/>
              <w:rPr>
                <w:rFonts w:ascii="Arial" w:cs="Arial" w:eastAsia="Arial" w:hAnsi="Arial"/>
                <w:sz w:val="16"/>
                <w:szCs w:val="16"/>
                <w:color w:val="0000FF"/>
              </w:rPr>
            </w:pPr>
            <w:hyperlink w:anchor="page102">
              <w:r>
                <w:rPr>
                  <w:rFonts w:ascii="Arial" w:cs="Arial" w:eastAsia="Arial" w:hAnsi="Arial"/>
                  <w:sz w:val="16"/>
                  <w:szCs w:val="16"/>
                  <w:color w:val="0000FF"/>
                </w:rPr>
                <w:t>-</w:t>
              </w:r>
            </w:hyperlink>
          </w:p>
        </w:tc>
      </w:tr>
      <w:tr>
        <w:trPr>
          <w:trHeight w:val="142"/>
        </w:trPr>
        <w:tc>
          <w:tcPr>
            <w:tcW w:w="800" w:type="dxa"/>
            <w:vAlign w:val="bottom"/>
          </w:tcPr>
          <w:p>
            <w:pPr>
              <w:spacing w:after="0"/>
              <w:rPr>
                <w:sz w:val="12"/>
                <w:szCs w:val="12"/>
                <w:color w:val="auto"/>
              </w:rPr>
            </w:pPr>
          </w:p>
        </w:tc>
        <w:tc>
          <w:tcPr>
            <w:tcW w:w="1280" w:type="dxa"/>
            <w:vAlign w:val="bottom"/>
            <w:tcBorders>
              <w:bottom w:val="single" w:sz="8" w:color="0000FF"/>
            </w:tcBorders>
          </w:tcPr>
          <w:p>
            <w:pPr>
              <w:spacing w:after="0" w:line="142" w:lineRule="exact"/>
              <w:rPr>
                <w:rFonts w:ascii="Arial" w:cs="Arial" w:eastAsia="Arial" w:hAnsi="Arial"/>
                <w:sz w:val="16"/>
                <w:szCs w:val="16"/>
                <w:color w:val="0000FF"/>
                <w:w w:val="99"/>
              </w:rPr>
            </w:pPr>
            <w:hyperlink w:anchor="page102">
              <w:r>
                <w:rPr>
                  <w:rFonts w:ascii="Arial" w:cs="Arial" w:eastAsia="Arial" w:hAnsi="Arial"/>
                  <w:sz w:val="16"/>
                  <w:szCs w:val="16"/>
                  <w:color w:val="0000FF"/>
                  <w:w w:val="99"/>
                </w:rPr>
                <w:t>Oxley Act of 2002</w:t>
              </w:r>
            </w:hyperlink>
          </w:p>
        </w:tc>
        <w:tc>
          <w:tcPr>
            <w:tcW w:w="4800" w:type="dxa"/>
            <w:vAlign w:val="bottom"/>
            <w:gridSpan w:val="27"/>
          </w:tcPr>
          <w:p>
            <w:pPr>
              <w:spacing w:after="0"/>
              <w:rPr>
                <w:sz w:val="12"/>
                <w:szCs w:val="12"/>
                <w:color w:val="auto"/>
              </w:rPr>
            </w:pPr>
          </w:p>
        </w:tc>
      </w:tr>
      <w:tr>
        <w:trPr>
          <w:trHeight w:val="196"/>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32.1*</w:t>
            </w:r>
          </w:p>
        </w:tc>
        <w:tc>
          <w:tcPr>
            <w:tcW w:w="6080" w:type="dxa"/>
            <w:vAlign w:val="bottom"/>
            <w:gridSpan w:val="28"/>
          </w:tcPr>
          <w:p>
            <w:pPr>
              <w:spacing w:after="0"/>
              <w:rPr>
                <w:rFonts w:ascii="Arial" w:cs="Arial" w:eastAsia="Arial" w:hAnsi="Arial"/>
                <w:sz w:val="16"/>
                <w:szCs w:val="16"/>
                <w:color w:val="0000FF"/>
              </w:rPr>
            </w:pPr>
            <w:hyperlink w:anchor="page103">
              <w:r>
                <w:rPr>
                  <w:rFonts w:ascii="Arial" w:cs="Arial" w:eastAsia="Arial" w:hAnsi="Arial"/>
                  <w:sz w:val="16"/>
                  <w:szCs w:val="16"/>
                  <w:color w:val="0000FF"/>
                </w:rPr>
                <w:t>Certification of the Principal Executive Officer and the Principal Financial Officer</w:t>
              </w:r>
            </w:hyperlink>
          </w:p>
        </w:tc>
      </w:tr>
      <w:tr>
        <w:trPr>
          <w:trHeight w:val="142"/>
        </w:trPr>
        <w:tc>
          <w:tcPr>
            <w:tcW w:w="800" w:type="dxa"/>
            <w:vAlign w:val="bottom"/>
          </w:tcPr>
          <w:p>
            <w:pPr>
              <w:spacing w:after="0"/>
              <w:rPr>
                <w:sz w:val="12"/>
                <w:szCs w:val="12"/>
                <w:color w:val="auto"/>
              </w:rPr>
            </w:pPr>
          </w:p>
        </w:tc>
        <w:tc>
          <w:tcPr>
            <w:tcW w:w="57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w:anchor="page103">
              <w:r>
                <w:rPr>
                  <w:rFonts w:ascii="Arial" w:cs="Arial" w:eastAsia="Arial" w:hAnsi="Arial"/>
                  <w:sz w:val="16"/>
                  <w:szCs w:val="16"/>
                  <w:color w:val="0000FF"/>
                </w:rPr>
                <w:t>pursuant to 18 U.S.C. Section 1350, as adopted pursuant to Section 906 of the</w:t>
              </w:r>
            </w:hyperlink>
          </w:p>
        </w:tc>
        <w:tc>
          <w:tcPr>
            <w:tcW w:w="380" w:type="dxa"/>
            <w:vAlign w:val="bottom"/>
            <w:gridSpan w:val="12"/>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w:anchor="page103">
              <w:r>
                <w:rPr>
                  <w:rFonts w:ascii="Arial" w:cs="Arial" w:eastAsia="Arial" w:hAnsi="Arial"/>
                  <w:sz w:val="16"/>
                  <w:szCs w:val="16"/>
                  <w:color w:val="0000FF"/>
                  <w:w w:val="99"/>
                </w:rPr>
                <w:t>Sarbanes-Oxley Act of 2002</w:t>
              </w:r>
            </w:hyperlink>
          </w:p>
        </w:tc>
        <w:tc>
          <w:tcPr>
            <w:tcW w:w="3620" w:type="dxa"/>
            <w:vAlign w:val="bottom"/>
            <w:tcBorders>
              <w:top w:val="single" w:sz="8" w:color="0000FF"/>
            </w:tcBorders>
            <w:gridSpan w:val="12"/>
          </w:tcPr>
          <w:p>
            <w:pPr>
              <w:spacing w:after="0"/>
              <w:rPr>
                <w:sz w:val="12"/>
                <w:szCs w:val="12"/>
                <w:color w:val="auto"/>
              </w:rPr>
            </w:pPr>
          </w:p>
        </w:tc>
        <w:tc>
          <w:tcPr>
            <w:tcW w:w="440" w:type="dxa"/>
            <w:vAlign w:val="bottom"/>
            <w:gridSpan w:val="14"/>
          </w:tcPr>
          <w:p>
            <w:pPr>
              <w:spacing w:after="0"/>
              <w:rPr>
                <w:sz w:val="12"/>
                <w:szCs w:val="12"/>
                <w:color w:val="auto"/>
              </w:rPr>
            </w:pPr>
          </w:p>
        </w:tc>
      </w:tr>
      <w:tr>
        <w:trPr>
          <w:trHeight w:val="198"/>
        </w:trPr>
        <w:tc>
          <w:tcPr>
            <w:tcW w:w="800" w:type="dxa"/>
            <w:vAlign w:val="bottom"/>
          </w:tcPr>
          <w:p>
            <w:pPr>
              <w:jc w:val="right"/>
              <w:ind w:right="79"/>
              <w:spacing w:after="0"/>
              <w:rPr>
                <w:sz w:val="20"/>
                <w:szCs w:val="20"/>
                <w:color w:val="auto"/>
              </w:rPr>
            </w:pPr>
            <w:r>
              <w:rPr>
                <w:rFonts w:ascii="Arial" w:cs="Arial" w:eastAsia="Arial" w:hAnsi="Arial"/>
                <w:sz w:val="16"/>
                <w:szCs w:val="16"/>
                <w:color w:val="auto"/>
              </w:rPr>
              <w:t>101.INS</w:t>
            </w:r>
          </w:p>
        </w:tc>
        <w:tc>
          <w:tcPr>
            <w:tcW w:w="6080" w:type="dxa"/>
            <w:vAlign w:val="bottom"/>
            <w:gridSpan w:val="28"/>
          </w:tcPr>
          <w:p>
            <w:pPr>
              <w:spacing w:after="0"/>
              <w:rPr>
                <w:sz w:val="20"/>
                <w:szCs w:val="20"/>
                <w:color w:val="auto"/>
              </w:rPr>
            </w:pPr>
            <w:r>
              <w:rPr>
                <w:rFonts w:ascii="Arial" w:cs="Arial" w:eastAsia="Arial" w:hAnsi="Arial"/>
                <w:sz w:val="16"/>
                <w:szCs w:val="16"/>
                <w:color w:val="auto"/>
              </w:rPr>
              <w:t>XBRL Instance Document - the instance document does not appear in the</w:t>
            </w:r>
          </w:p>
        </w:tc>
      </w:tr>
      <w:tr>
        <w:trPr>
          <w:trHeight w:val="162"/>
        </w:trPr>
        <w:tc>
          <w:tcPr>
            <w:tcW w:w="800" w:type="dxa"/>
            <w:vAlign w:val="bottom"/>
          </w:tcPr>
          <w:p>
            <w:pPr>
              <w:spacing w:after="0"/>
              <w:rPr>
                <w:sz w:val="14"/>
                <w:szCs w:val="14"/>
                <w:color w:val="auto"/>
              </w:rPr>
            </w:pPr>
          </w:p>
        </w:tc>
        <w:tc>
          <w:tcPr>
            <w:tcW w:w="6080" w:type="dxa"/>
            <w:vAlign w:val="bottom"/>
            <w:gridSpan w:val="28"/>
          </w:tcPr>
          <w:p>
            <w:pPr>
              <w:spacing w:after="0" w:line="162" w:lineRule="exact"/>
              <w:rPr>
                <w:sz w:val="20"/>
                <w:szCs w:val="20"/>
                <w:color w:val="auto"/>
              </w:rPr>
            </w:pPr>
            <w:r>
              <w:rPr>
                <w:rFonts w:ascii="Arial" w:cs="Arial" w:eastAsia="Arial" w:hAnsi="Arial"/>
                <w:sz w:val="16"/>
                <w:szCs w:val="16"/>
                <w:color w:val="auto"/>
              </w:rPr>
              <w:t>Interactive Data File because its XBRL tags are embedded within the inline XBRL</w:t>
            </w:r>
          </w:p>
        </w:tc>
      </w:tr>
      <w:tr>
        <w:trPr>
          <w:trHeight w:val="195"/>
        </w:trPr>
        <w:tc>
          <w:tcPr>
            <w:tcW w:w="800" w:type="dxa"/>
            <w:vAlign w:val="bottom"/>
          </w:tcPr>
          <w:p>
            <w:pPr>
              <w:spacing w:after="0"/>
              <w:rPr>
                <w:sz w:val="16"/>
                <w:szCs w:val="16"/>
                <w:color w:val="auto"/>
              </w:rPr>
            </w:pPr>
          </w:p>
        </w:tc>
        <w:tc>
          <w:tcPr>
            <w:tcW w:w="6080" w:type="dxa"/>
            <w:vAlign w:val="bottom"/>
            <w:gridSpan w:val="28"/>
          </w:tcPr>
          <w:p>
            <w:pPr>
              <w:spacing w:after="0"/>
              <w:rPr>
                <w:sz w:val="20"/>
                <w:szCs w:val="20"/>
                <w:color w:val="auto"/>
              </w:rPr>
            </w:pPr>
            <w:r>
              <w:rPr>
                <w:rFonts w:ascii="Arial" w:cs="Arial" w:eastAsia="Arial" w:hAnsi="Arial"/>
                <w:sz w:val="16"/>
                <w:szCs w:val="16"/>
                <w:color w:val="auto"/>
              </w:rPr>
              <w:t>document</w:t>
            </w:r>
          </w:p>
        </w:tc>
      </w:tr>
      <w:tr>
        <w:trPr>
          <w:trHeight w:val="216"/>
        </w:trPr>
        <w:tc>
          <w:tcPr>
            <w:tcW w:w="800" w:type="dxa"/>
            <w:vAlign w:val="bottom"/>
          </w:tcPr>
          <w:p>
            <w:pPr>
              <w:jc w:val="right"/>
              <w:ind w:right="79"/>
              <w:spacing w:after="0"/>
              <w:rPr>
                <w:sz w:val="20"/>
                <w:szCs w:val="20"/>
                <w:color w:val="auto"/>
              </w:rPr>
            </w:pPr>
            <w:r>
              <w:rPr>
                <w:rFonts w:ascii="Arial" w:cs="Arial" w:eastAsia="Arial" w:hAnsi="Arial"/>
                <w:sz w:val="16"/>
                <w:szCs w:val="16"/>
                <w:color w:val="auto"/>
                <w:w w:val="95"/>
              </w:rPr>
              <w:t>101.SCH</w:t>
            </w:r>
          </w:p>
        </w:tc>
        <w:tc>
          <w:tcPr>
            <w:tcW w:w="6080" w:type="dxa"/>
            <w:vAlign w:val="bottom"/>
            <w:gridSpan w:val="28"/>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00" w:type="dxa"/>
            <w:vAlign w:val="bottom"/>
          </w:tcPr>
          <w:p>
            <w:pPr>
              <w:jc w:val="right"/>
              <w:ind w:right="79"/>
              <w:spacing w:after="0"/>
              <w:rPr>
                <w:sz w:val="20"/>
                <w:szCs w:val="20"/>
                <w:color w:val="auto"/>
              </w:rPr>
            </w:pPr>
            <w:r>
              <w:rPr>
                <w:rFonts w:ascii="Arial" w:cs="Arial" w:eastAsia="Arial" w:hAnsi="Arial"/>
                <w:sz w:val="16"/>
                <w:szCs w:val="16"/>
                <w:color w:val="auto"/>
                <w:w w:val="99"/>
              </w:rPr>
              <w:t>101.CAL</w:t>
            </w:r>
          </w:p>
        </w:tc>
        <w:tc>
          <w:tcPr>
            <w:tcW w:w="6080" w:type="dxa"/>
            <w:vAlign w:val="bottom"/>
            <w:gridSpan w:val="28"/>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00" w:type="dxa"/>
            <w:vAlign w:val="bottom"/>
          </w:tcPr>
          <w:p>
            <w:pPr>
              <w:jc w:val="right"/>
              <w:ind w:right="79"/>
              <w:spacing w:after="0"/>
              <w:rPr>
                <w:sz w:val="20"/>
                <w:szCs w:val="20"/>
                <w:color w:val="auto"/>
              </w:rPr>
            </w:pPr>
            <w:r>
              <w:rPr>
                <w:rFonts w:ascii="Arial" w:cs="Arial" w:eastAsia="Arial" w:hAnsi="Arial"/>
                <w:sz w:val="16"/>
                <w:szCs w:val="16"/>
                <w:color w:val="auto"/>
                <w:w w:val="98"/>
              </w:rPr>
              <w:t>101.DEF</w:t>
            </w:r>
          </w:p>
        </w:tc>
        <w:tc>
          <w:tcPr>
            <w:tcW w:w="6080" w:type="dxa"/>
            <w:vAlign w:val="bottom"/>
            <w:gridSpan w:val="28"/>
          </w:tcPr>
          <w:p>
            <w:pPr>
              <w:spacing w:after="0"/>
              <w:rPr>
                <w:sz w:val="20"/>
                <w:szCs w:val="20"/>
                <w:color w:val="auto"/>
              </w:rPr>
            </w:pPr>
            <w:r>
              <w:rPr>
                <w:rFonts w:ascii="Arial" w:cs="Arial" w:eastAsia="Arial" w:hAnsi="Arial"/>
                <w:sz w:val="16"/>
                <w:szCs w:val="16"/>
                <w:color w:val="auto"/>
              </w:rPr>
              <w:t>Inline XBRL Taxonomy Extension Definition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00"/>
        <w:spacing w:after="0" w:line="225" w:lineRule="auto"/>
        <w:rPr>
          <w:sz w:val="20"/>
          <w:szCs w:val="20"/>
          <w:color w:val="auto"/>
        </w:rPr>
      </w:pPr>
      <w:r>
        <w:rPr>
          <w:rFonts w:ascii="Arial" w:cs="Arial" w:eastAsia="Arial" w:hAnsi="Arial"/>
          <w:sz w:val="16"/>
          <w:szCs w:val="16"/>
          <w:color w:val="auto"/>
        </w:rPr>
        <w:t>Previously filed as Exhibit 10.2 to the Company's Registration Statement on Form S-8 (File No. 333-226347) on July 26, 2018</w:t>
      </w:r>
    </w:p>
    <w:p>
      <w:pPr>
        <w:spacing w:after="0" w:line="23" w:lineRule="exact"/>
        <w:rPr>
          <w:sz w:val="20"/>
          <w:szCs w:val="20"/>
          <w:color w:val="auto"/>
        </w:rPr>
      </w:pPr>
    </w:p>
    <w:p>
      <w:pPr>
        <w:ind w:right="300"/>
        <w:spacing w:after="0" w:line="225" w:lineRule="auto"/>
        <w:rPr>
          <w:sz w:val="20"/>
          <w:szCs w:val="20"/>
          <w:color w:val="auto"/>
        </w:rPr>
      </w:pPr>
      <w:r>
        <w:rPr>
          <w:rFonts w:ascii="Arial" w:cs="Arial" w:eastAsia="Arial" w:hAnsi="Arial"/>
          <w:sz w:val="16"/>
          <w:szCs w:val="16"/>
          <w:color w:val="auto"/>
        </w:rPr>
        <w:t>Previously filed as Exhibit 10.3 to the Company's Registration Statement on Form S-8 (File No. 333-226347) on July 26, 2018</w:t>
      </w:r>
    </w:p>
    <w:p>
      <w:pPr>
        <w:spacing w:after="0" w:line="23" w:lineRule="exact"/>
        <w:rPr>
          <w:sz w:val="20"/>
          <w:szCs w:val="20"/>
          <w:color w:val="auto"/>
        </w:rPr>
      </w:pPr>
    </w:p>
    <w:p>
      <w:pPr>
        <w:ind w:right="300"/>
        <w:spacing w:after="0" w:line="225" w:lineRule="auto"/>
        <w:rPr>
          <w:sz w:val="20"/>
          <w:szCs w:val="20"/>
          <w:color w:val="auto"/>
        </w:rPr>
      </w:pPr>
      <w:r>
        <w:rPr>
          <w:rFonts w:ascii="Arial" w:cs="Arial" w:eastAsia="Arial" w:hAnsi="Arial"/>
          <w:sz w:val="16"/>
          <w:szCs w:val="16"/>
          <w:color w:val="auto"/>
        </w:rPr>
        <w:t>Previously filed as Exhibit 10.4 to the Company's Registration Statement on Form S-8 (File No. 333-226347) on July 26, 2018</w:t>
      </w:r>
    </w:p>
    <w:p>
      <w:pPr>
        <w:spacing w:after="0" w:line="23" w:lineRule="exact"/>
        <w:rPr>
          <w:sz w:val="20"/>
          <w:szCs w:val="20"/>
          <w:color w:val="auto"/>
        </w:rPr>
      </w:pPr>
    </w:p>
    <w:p>
      <w:pPr>
        <w:ind w:right="300"/>
        <w:spacing w:after="0" w:line="225" w:lineRule="auto"/>
        <w:rPr>
          <w:sz w:val="20"/>
          <w:szCs w:val="20"/>
          <w:color w:val="auto"/>
        </w:rPr>
      </w:pPr>
      <w:r>
        <w:rPr>
          <w:rFonts w:ascii="Arial" w:cs="Arial" w:eastAsia="Arial" w:hAnsi="Arial"/>
          <w:sz w:val="16"/>
          <w:szCs w:val="16"/>
          <w:color w:val="auto"/>
        </w:rPr>
        <w:t>Previously filed as Exhibit 10.5 to the Company's Registration Statement on Form S-8 (File No. 333-226347) on July 26, 2018</w:t>
      </w:r>
    </w:p>
    <w:p>
      <w:pPr>
        <w:spacing w:after="0" w:line="23" w:lineRule="exact"/>
        <w:rPr>
          <w:sz w:val="20"/>
          <w:szCs w:val="20"/>
          <w:color w:val="auto"/>
        </w:rPr>
      </w:pPr>
    </w:p>
    <w:p>
      <w:pPr>
        <w:ind w:right="300"/>
        <w:spacing w:after="0" w:line="225" w:lineRule="auto"/>
        <w:rPr>
          <w:sz w:val="20"/>
          <w:szCs w:val="20"/>
          <w:color w:val="auto"/>
        </w:rPr>
      </w:pPr>
      <w:r>
        <w:rPr>
          <w:rFonts w:ascii="Arial" w:cs="Arial" w:eastAsia="Arial" w:hAnsi="Arial"/>
          <w:sz w:val="16"/>
          <w:szCs w:val="16"/>
          <w:color w:val="auto"/>
        </w:rPr>
        <w:t>Previously filed as Exhibit 10.6 to the Company's Registration Statement on Form S-1 (File No. 333-226002) on July 16, 2018</w:t>
      </w:r>
    </w:p>
    <w:p>
      <w:pPr>
        <w:spacing w:after="0" w:line="23" w:lineRule="exact"/>
        <w:rPr>
          <w:sz w:val="20"/>
          <w:szCs w:val="20"/>
          <w:color w:val="auto"/>
        </w:rPr>
      </w:pPr>
    </w:p>
    <w:p>
      <w:pPr>
        <w:ind w:right="140"/>
        <w:spacing w:after="0" w:line="225" w:lineRule="auto"/>
        <w:rPr>
          <w:sz w:val="20"/>
          <w:szCs w:val="20"/>
          <w:color w:val="auto"/>
        </w:rPr>
      </w:pPr>
      <w:r>
        <w:rPr>
          <w:rFonts w:ascii="Arial" w:cs="Arial" w:eastAsia="Arial" w:hAnsi="Arial"/>
          <w:sz w:val="16"/>
          <w:szCs w:val="16"/>
          <w:color w:val="auto"/>
        </w:rPr>
        <w:t>Previously filed as Exhibit 10.1 to the Company's Current Report on Form 8-K (File No. 001-38600) on February 22, 2019</w:t>
      </w:r>
    </w:p>
    <w:p>
      <w:pPr>
        <w:spacing w:after="0" w:line="23" w:lineRule="exact"/>
        <w:rPr>
          <w:sz w:val="20"/>
          <w:szCs w:val="20"/>
          <w:color w:val="auto"/>
        </w:rPr>
      </w:pPr>
    </w:p>
    <w:p>
      <w:pPr>
        <w:ind w:right="140"/>
        <w:spacing w:after="0" w:line="225" w:lineRule="auto"/>
        <w:rPr>
          <w:sz w:val="20"/>
          <w:szCs w:val="20"/>
          <w:color w:val="auto"/>
        </w:rPr>
      </w:pPr>
      <w:r>
        <w:rPr>
          <w:rFonts w:ascii="Arial" w:cs="Arial" w:eastAsia="Arial" w:hAnsi="Arial"/>
          <w:sz w:val="16"/>
          <w:szCs w:val="16"/>
          <w:color w:val="auto"/>
        </w:rPr>
        <w:t>Previously filed as Exhibit 10.2 to the Company's Current Report on Form 8-K (File No. 001-38600) on February 22, 2019</w:t>
      </w:r>
    </w:p>
    <w:p>
      <w:pPr>
        <w:spacing w:after="0" w:line="23" w:lineRule="exact"/>
        <w:rPr>
          <w:sz w:val="20"/>
          <w:szCs w:val="20"/>
          <w:color w:val="auto"/>
        </w:rPr>
      </w:pPr>
    </w:p>
    <w:p>
      <w:pPr>
        <w:ind w:right="140"/>
        <w:spacing w:after="0" w:line="225" w:lineRule="auto"/>
        <w:rPr>
          <w:sz w:val="20"/>
          <w:szCs w:val="20"/>
          <w:color w:val="auto"/>
        </w:rPr>
      </w:pPr>
      <w:r>
        <w:rPr>
          <w:rFonts w:ascii="Arial" w:cs="Arial" w:eastAsia="Arial" w:hAnsi="Arial"/>
          <w:sz w:val="16"/>
          <w:szCs w:val="16"/>
          <w:color w:val="auto"/>
        </w:rPr>
        <w:t>Previously filed as Exhibit 10.3 to the Company's Current Report on Form 8-K (File No. 001-38600) on February 22, 2019</w:t>
      </w:r>
    </w:p>
    <w:p>
      <w:pPr>
        <w:spacing w:after="0" w:line="23" w:lineRule="exact"/>
        <w:rPr>
          <w:sz w:val="20"/>
          <w:szCs w:val="20"/>
          <w:color w:val="auto"/>
        </w:rPr>
      </w:pPr>
    </w:p>
    <w:p>
      <w:pPr>
        <w:jc w:val="both"/>
        <w:ind w:right="300"/>
        <w:spacing w:after="0" w:line="225" w:lineRule="auto"/>
        <w:rPr>
          <w:sz w:val="20"/>
          <w:szCs w:val="20"/>
          <w:color w:val="auto"/>
        </w:rPr>
      </w:pPr>
      <w:r>
        <w:rPr>
          <w:rFonts w:ascii="Arial" w:cs="Arial" w:eastAsia="Arial" w:hAnsi="Arial"/>
          <w:sz w:val="16"/>
          <w:szCs w:val="16"/>
          <w:color w:val="auto"/>
        </w:rPr>
        <w:t>Previously filed as Exhibit 10.11 to the Company's Registration Statement on Form S-1 (File No. 333-226002) on July 16, 2018</w:t>
      </w:r>
    </w:p>
    <w:p>
      <w:pPr>
        <w:spacing w:after="0" w:line="23" w:lineRule="exact"/>
        <w:rPr>
          <w:sz w:val="20"/>
          <w:szCs w:val="20"/>
          <w:color w:val="auto"/>
        </w:rPr>
      </w:pPr>
    </w:p>
    <w:p>
      <w:pPr>
        <w:jc w:val="both"/>
        <w:ind w:right="300"/>
        <w:spacing w:after="0" w:line="225" w:lineRule="auto"/>
        <w:rPr>
          <w:sz w:val="20"/>
          <w:szCs w:val="20"/>
          <w:color w:val="auto"/>
        </w:rPr>
      </w:pPr>
      <w:r>
        <w:rPr>
          <w:rFonts w:ascii="Arial" w:cs="Arial" w:eastAsia="Arial" w:hAnsi="Arial"/>
          <w:sz w:val="16"/>
          <w:szCs w:val="16"/>
          <w:color w:val="auto"/>
        </w:rPr>
        <w:t>Previously filed as Exhibit 10.12 to the Company's Registration Statement on Form S-1 (File No. 333-226002) on July 16, 2018</w:t>
      </w:r>
    </w:p>
    <w:p>
      <w:pPr>
        <w:spacing w:after="0" w:line="23"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Previously filed as Exhibit 10.1 to the Company's 10-Q (File No. 001-38600) on July 30, 2020</w:t>
      </w:r>
    </w:p>
    <w:p>
      <w:pPr>
        <w:spacing w:after="0" w:line="22" w:lineRule="exact"/>
        <w:rPr>
          <w:sz w:val="20"/>
          <w:szCs w:val="20"/>
          <w:color w:val="auto"/>
        </w:rPr>
      </w:pPr>
    </w:p>
    <w:p>
      <w:pPr>
        <w:ind w:right="120"/>
        <w:spacing w:after="0" w:line="232" w:lineRule="auto"/>
        <w:rPr>
          <w:sz w:val="20"/>
          <w:szCs w:val="20"/>
          <w:color w:val="auto"/>
        </w:rPr>
      </w:pPr>
      <w:r>
        <w:rPr>
          <w:rFonts w:ascii="Arial" w:cs="Arial" w:eastAsia="Arial" w:hAnsi="Arial"/>
          <w:sz w:val="16"/>
          <w:szCs w:val="16"/>
          <w:color w:val="auto"/>
        </w:rPr>
        <w:t>Previously filed as Exhibit 10.1 to the Company's 8-K (File No. 001-38600) on July 28, 2020</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722" w:lineRule="exact"/>
        <w:rPr>
          <w:sz w:val="20"/>
          <w:szCs w:val="20"/>
          <w:color w:val="auto"/>
        </w:rPr>
      </w:pPr>
    </w:p>
    <w:p>
      <w:pPr>
        <w:sectPr>
          <w:pgSz w:w="11900" w:h="16838" w:orient="portrait"/>
          <w:cols w:equalWidth="0" w:num="2">
            <w:col w:w="7060" w:space="140"/>
            <w:col w:w="3920"/>
          </w:cols>
          <w:pgMar w:left="320" w:top="1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20" w:type="dxa"/>
            <w:vAlign w:val="bottom"/>
          </w:tcPr>
          <w:p>
            <w:pPr>
              <w:jc w:val="right"/>
              <w:spacing w:after="0"/>
              <w:rPr>
                <w:sz w:val="20"/>
                <w:szCs w:val="20"/>
                <w:color w:val="auto"/>
              </w:rPr>
            </w:pPr>
            <w:r>
              <w:rPr>
                <w:rFonts w:ascii="Arial" w:cs="Arial" w:eastAsia="Arial" w:hAnsi="Arial"/>
                <w:sz w:val="16"/>
                <w:szCs w:val="16"/>
                <w:color w:val="auto"/>
              </w:rPr>
              <w:t>101.LAB</w:t>
            </w:r>
          </w:p>
        </w:tc>
        <w:tc>
          <w:tcPr>
            <w:tcW w:w="4900" w:type="dxa"/>
            <w:vAlign w:val="bottom"/>
          </w:tcPr>
          <w:p>
            <w:pPr>
              <w:ind w:left="8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720" w:type="dxa"/>
            <w:vAlign w:val="bottom"/>
          </w:tcPr>
          <w:p>
            <w:pPr>
              <w:jc w:val="right"/>
              <w:spacing w:after="0"/>
              <w:rPr>
                <w:sz w:val="20"/>
                <w:szCs w:val="20"/>
                <w:color w:val="auto"/>
              </w:rPr>
            </w:pPr>
            <w:r>
              <w:rPr>
                <w:rFonts w:ascii="Arial" w:cs="Arial" w:eastAsia="Arial" w:hAnsi="Arial"/>
                <w:sz w:val="16"/>
                <w:szCs w:val="16"/>
                <w:color w:val="auto"/>
                <w:w w:val="96"/>
              </w:rPr>
              <w:t>101.PRE</w:t>
            </w:r>
          </w:p>
        </w:tc>
        <w:tc>
          <w:tcPr>
            <w:tcW w:w="4900" w:type="dxa"/>
            <w:vAlign w:val="bottom"/>
          </w:tcPr>
          <w:p>
            <w:pPr>
              <w:ind w:left="8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1" w:lineRule="exact"/>
        <w:rPr>
          <w:sz w:val="20"/>
          <w:szCs w:val="20"/>
          <w:color w:val="auto"/>
        </w:rPr>
      </w:pPr>
    </w:p>
    <w:p>
      <w:pPr>
        <w:ind w:left="1020" w:right="4220" w:hanging="423"/>
        <w:spacing w:after="0" w:line="225"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101.SCH, 101.CAL, 101.DEF, 101.LAB and 101.PRE)</w:t>
      </w:r>
    </w:p>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54" w:lineRule="exact"/>
        <w:rPr>
          <w:sz w:val="20"/>
          <w:szCs w:val="20"/>
          <w:color w:val="auto"/>
        </w:rPr>
      </w:pPr>
    </w:p>
    <w:p>
      <w:pPr>
        <w:jc w:val="both"/>
        <w:ind w:firstLine="8"/>
        <w:spacing w:after="0" w:line="253" w:lineRule="auto"/>
        <w:tabs>
          <w:tab w:leader="none" w:pos="34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93"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13" w:lineRule="exact"/>
        <w:rPr>
          <w:sz w:val="20"/>
          <w:szCs w:val="20"/>
          <w:color w:val="auto"/>
        </w:rPr>
      </w:pPr>
    </w:p>
    <w:p>
      <w:pPr>
        <w:ind w:right="200" w:firstLine="8"/>
        <w:spacing w:after="0" w:line="260" w:lineRule="auto"/>
        <w:tabs>
          <w:tab w:leader="none" w:pos="3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Confidential treatment has been granted as to certain portions, indicated by asterisks, which portions have been omitted and filed separately with the Securities and Exchange Commission.</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TENABLE HOLDINGS, INC.</w:t>
      </w:r>
    </w:p>
    <w:p>
      <w:pPr>
        <w:spacing w:after="0" w:line="355" w:lineRule="exact"/>
        <w:rPr>
          <w:sz w:val="20"/>
          <w:szCs w:val="20"/>
          <w:color w:val="auto"/>
        </w:rPr>
      </w:pPr>
    </w:p>
    <w:p>
      <w:pPr>
        <w:ind w:left="20"/>
        <w:spacing w:after="0"/>
        <w:tabs>
          <w:tab w:leader="none" w:pos="640" w:val="left"/>
          <w:tab w:leader="none" w:pos="4220" w:val="left"/>
          <w:tab w:leader="none" w:pos="4660" w:val="left"/>
        </w:tabs>
        <w:rPr>
          <w:sz w:val="20"/>
          <w:szCs w:val="20"/>
          <w:color w:val="auto"/>
        </w:rPr>
      </w:pPr>
      <w:r>
        <w:rPr>
          <w:rFonts w:ascii="Arial" w:cs="Arial" w:eastAsia="Arial" w:hAnsi="Arial"/>
          <w:sz w:val="18"/>
          <w:szCs w:val="18"/>
          <w:color w:val="auto"/>
        </w:rPr>
        <w:t>Date:</w:t>
        <w:tab/>
        <w:t>February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6350</wp:posOffset>
            </wp:positionV>
            <wp:extent cx="32143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Chairman and Chief Executive Officer</w:t>
      </w:r>
    </w:p>
    <w:p>
      <w:pPr>
        <w:spacing w:after="0" w:line="333" w:lineRule="exact"/>
        <w:rPr>
          <w:sz w:val="20"/>
          <w:szCs w:val="20"/>
          <w:color w:val="auto"/>
        </w:rPr>
      </w:pPr>
    </w:p>
    <w:p>
      <w:pPr>
        <w:ind w:left="20"/>
        <w:spacing w:after="0"/>
        <w:tabs>
          <w:tab w:leader="none" w:pos="640" w:val="left"/>
          <w:tab w:leader="none" w:pos="4220" w:val="left"/>
          <w:tab w:leader="none" w:pos="4660" w:val="left"/>
        </w:tabs>
        <w:rPr>
          <w:sz w:val="20"/>
          <w:szCs w:val="20"/>
          <w:color w:val="auto"/>
        </w:rPr>
      </w:pPr>
      <w:r>
        <w:rPr>
          <w:rFonts w:ascii="Arial" w:cs="Arial" w:eastAsia="Arial" w:hAnsi="Arial"/>
          <w:sz w:val="18"/>
          <w:szCs w:val="18"/>
          <w:color w:val="auto"/>
        </w:rPr>
        <w:t>Date:</w:t>
        <w:tab/>
        <w:t>February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6350</wp:posOffset>
            </wp:positionV>
            <wp:extent cx="32143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Amit Yoran, Stephen A. Vintz and Stephen A. Riddick, jointly and severally, as his or her true and lawful attorneys-in-fact and agents, with full power of substitution and resubstitution, for him or her and in his or her name, place and stead, in any and all capacities, to sign this Annual Report on Form 10-K of Tenable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40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58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Date</w:t>
            </w:r>
          </w:p>
        </w:tc>
      </w:tr>
      <w:tr>
        <w:trPr>
          <w:trHeight w:val="47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Amit Yoran</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Amit Yoran</w:t>
            </w:r>
          </w:p>
        </w:tc>
        <w:tc>
          <w:tcPr>
            <w:tcW w:w="1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000" w:type="dxa"/>
            <w:vAlign w:val="bottom"/>
          </w:tcPr>
          <w:p>
            <w:pPr>
              <w:spacing w:after="0"/>
              <w:rPr>
                <w:sz w:val="19"/>
                <w:szCs w:val="19"/>
                <w:color w:val="auto"/>
              </w:rPr>
            </w:pPr>
          </w:p>
        </w:tc>
      </w:tr>
      <w:tr>
        <w:trPr>
          <w:trHeight w:val="49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Stephen A. Vintz</w:t>
            </w:r>
          </w:p>
        </w:tc>
        <w:tc>
          <w:tcPr>
            <w:tcW w:w="1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2000" w:type="dxa"/>
            <w:vAlign w:val="bottom"/>
          </w:tcPr>
          <w:p>
            <w:pPr>
              <w:spacing w:after="0"/>
              <w:rPr>
                <w:sz w:val="19"/>
                <w:szCs w:val="19"/>
                <w:color w:val="auto"/>
              </w:rPr>
            </w:pPr>
          </w:p>
        </w:tc>
      </w:tr>
      <w:tr>
        <w:trPr>
          <w:trHeight w:val="49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Arthur W. Coviello, Jr.</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Arthur W. Coviello, Jr.</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9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Kimberly L. Hammonds</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Kimberly L. Hammonds</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0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C. Huffard, Jr.</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John C. Huffard, Jr.</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0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Jerry M. Kennelly</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Jerry M. Kennelly</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9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Ping Li</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Ping Li</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9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Brooke Seawell</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A. Brooke Seawell</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9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M. Wells</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Richard M. Wells</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9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Linda K. Zecher</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February 22, 2021</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Linda K. Zecher</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140" w:right="3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TENABLE HOLDINGS, INC.</w:t>
      </w:r>
    </w:p>
    <w:p>
      <w:pPr>
        <w:sectPr>
          <w:pgSz w:w="11900" w:h="16838" w:orient="portrait"/>
          <w:cols w:equalWidth="0" w:num="1">
            <w:col w:w="11220"/>
          </w:cols>
          <w:pgMar w:left="340" w:top="118" w:right="339"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Subsidiary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Tenable, Inc.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Tenable Network Security Ireland Limited</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Indegy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Tenable Public Sector LLC</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Incorporation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4900" w:space="720"/>
            <w:col w:w="5600"/>
          </w:cols>
          <w:pgMar w:left="340" w:top="118" w:right="33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333333"/>
        </w:rPr>
        <w:t>We consent to the incorporation by reference in the following Registration Statements:</w:t>
      </w:r>
    </w:p>
    <w:p>
      <w:pPr>
        <w:spacing w:after="0" w:line="158" w:lineRule="exact"/>
        <w:rPr>
          <w:sz w:val="20"/>
          <w:szCs w:val="20"/>
          <w:color w:val="auto"/>
        </w:rPr>
      </w:pPr>
    </w:p>
    <w:p>
      <w:pPr>
        <w:ind w:left="760" w:hanging="36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333333"/>
        </w:rPr>
        <w:t>Registration Statement (Form S-3 No. 333-240164) of Tenable Holdings, Inc.,</w:t>
      </w:r>
    </w:p>
    <w:p>
      <w:pPr>
        <w:spacing w:after="0" w:line="279" w:lineRule="exact"/>
        <w:rPr>
          <w:rFonts w:ascii="Arial" w:cs="Arial" w:eastAsia="Arial" w:hAnsi="Arial"/>
          <w:sz w:val="18"/>
          <w:szCs w:val="18"/>
          <w:color w:val="auto"/>
        </w:rPr>
      </w:pPr>
    </w:p>
    <w:p>
      <w:pPr>
        <w:ind w:left="760" w:right="340" w:hanging="364"/>
        <w:spacing w:after="0" w:line="261"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333333"/>
        </w:rPr>
        <w:t>Registration Statement (Form S-8 No. 333-236759) pertaining to the Tenable Holdings, Inc. 2018 Equity Incentive Plan, and the Tenable Holdings, Inc. 2018 Employee Stock Purchase Plan,</w:t>
      </w:r>
    </w:p>
    <w:p>
      <w:pPr>
        <w:spacing w:after="0" w:line="251" w:lineRule="exact"/>
        <w:rPr>
          <w:rFonts w:ascii="Arial" w:cs="Arial" w:eastAsia="Arial" w:hAnsi="Arial"/>
          <w:sz w:val="18"/>
          <w:szCs w:val="18"/>
          <w:color w:val="auto"/>
        </w:rPr>
      </w:pPr>
    </w:p>
    <w:p>
      <w:pPr>
        <w:ind w:left="760" w:right="60" w:hanging="364"/>
        <w:spacing w:after="0" w:line="254"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333333"/>
        </w:rPr>
        <w:t>Registration Statement (Form S-8 No. 333-226347) pertaining to the Tenable Holdings, Inc. 2002 Stock Incentive Plan, as amended and restated; the Tenable Holdings, Inc. 2012 Stock Incentive Plan, as amended and restated; the Tenable Holdings, Inc. 2016 Stock Incentive Plan, as amended and restated; the Tenable Holdings, Inc. 2018 Equity Incentive Plan; and the Tenable Holdings, Inc. 2018 Employee Stock Purchase Plan, and</w:t>
      </w:r>
    </w:p>
    <w:p>
      <w:pPr>
        <w:spacing w:after="0" w:line="257" w:lineRule="exact"/>
        <w:rPr>
          <w:rFonts w:ascii="Arial" w:cs="Arial" w:eastAsia="Arial" w:hAnsi="Arial"/>
          <w:sz w:val="18"/>
          <w:szCs w:val="18"/>
          <w:color w:val="auto"/>
        </w:rPr>
      </w:pPr>
    </w:p>
    <w:p>
      <w:pPr>
        <w:ind w:left="760" w:right="380" w:hanging="364"/>
        <w:spacing w:after="0" w:line="261"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333333"/>
        </w:rPr>
        <w:t>Registration Statement (Form S-8 No. 333-230040) pertaining to the Tenable Holdings, Inc. 2018 Equity Incentive Plan and the Tenable Holdings, Inc. 2018 Employee Stock Purchase Plan;</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333333"/>
        </w:rPr>
        <w:t xml:space="preserve">of our reports dated February 22, 2021, with respect to the consolidated financial statements and schedule of Tenable Holdings, Inc. and the effectiveness of internal control over financial reporting of Tenable Holdings, Inc. included in this Annual Report (Form 10-K) for the year ended December 31, </w:t>
      </w:r>
      <w:r>
        <w:rPr>
          <w:rFonts w:ascii="Arial" w:cs="Arial" w:eastAsia="Arial" w:hAnsi="Arial"/>
          <w:sz w:val="18"/>
          <w:szCs w:val="18"/>
          <w:color w:val="000000"/>
        </w:rPr>
        <w:t>2020</w:t>
      </w:r>
      <w:r>
        <w:rPr>
          <w:rFonts w:ascii="Arial" w:cs="Arial" w:eastAsia="Arial" w:hAnsi="Arial"/>
          <w:sz w:val="18"/>
          <w:szCs w:val="18"/>
          <w:color w:val="333333"/>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2021</w:t>
      </w:r>
    </w:p>
    <w:p>
      <w:pPr>
        <w:sectPr>
          <w:pgSz w:w="11900" w:h="16838" w:orient="portrait"/>
          <w:cols w:equalWidth="0" w:num="1">
            <w:col w:w="11240"/>
          </w:cols>
          <w:pgMar w:left="320" w:top="11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117"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17"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240" w:hanging="328"/>
        <w:spacing w:after="0" w:line="261"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300" w:hanging="320"/>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February 22, 2021</w:t>
            </w:r>
          </w:p>
        </w:tc>
        <w:tc>
          <w:tcPr>
            <w:tcW w:w="7280" w:type="dxa"/>
            <w:vAlign w:val="bottom"/>
            <w:gridSpan w:val="2"/>
          </w:tcPr>
          <w:p>
            <w:pPr>
              <w:ind w:left="1800"/>
              <w:spacing w:after="0"/>
              <w:rPr>
                <w:sz w:val="20"/>
                <w:szCs w:val="20"/>
                <w:color w:val="auto"/>
              </w:rPr>
            </w:pPr>
            <w:r>
              <w:rPr>
                <w:rFonts w:ascii="Arial" w:cs="Arial" w:eastAsia="Arial" w:hAnsi="Arial"/>
                <w:sz w:val="18"/>
                <w:szCs w:val="18"/>
                <w:color w:val="auto"/>
              </w:rPr>
              <w:t>By:  /s/ Amit Yoran</w:t>
            </w:r>
          </w:p>
        </w:tc>
      </w:tr>
      <w:tr>
        <w:trPr>
          <w:trHeight w:val="223"/>
        </w:trPr>
        <w:tc>
          <w:tcPr>
            <w:tcW w:w="39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Amit Yoran</w:t>
            </w:r>
          </w:p>
        </w:tc>
      </w:tr>
      <w:tr>
        <w:trPr>
          <w:trHeight w:val="224"/>
        </w:trPr>
        <w:tc>
          <w:tcPr>
            <w:tcW w:w="39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35"/>
        </w:trPr>
        <w:tc>
          <w:tcPr>
            <w:tcW w:w="3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17"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17"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240" w:hanging="328"/>
        <w:spacing w:after="0" w:line="261"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300" w:hanging="320"/>
        <w:spacing w:after="0" w:line="256"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February 22, 2021</w:t>
            </w:r>
          </w:p>
        </w:tc>
        <w:tc>
          <w:tcPr>
            <w:tcW w:w="7280" w:type="dxa"/>
            <w:vAlign w:val="bottom"/>
            <w:gridSpan w:val="2"/>
          </w:tcPr>
          <w:p>
            <w:pPr>
              <w:ind w:left="1800"/>
              <w:spacing w:after="0"/>
              <w:rPr>
                <w:sz w:val="20"/>
                <w:szCs w:val="20"/>
                <w:color w:val="auto"/>
              </w:rPr>
            </w:pPr>
            <w:r>
              <w:rPr>
                <w:rFonts w:ascii="Arial" w:cs="Arial" w:eastAsia="Arial" w:hAnsi="Arial"/>
                <w:sz w:val="18"/>
                <w:szCs w:val="18"/>
                <w:color w:val="auto"/>
              </w:rPr>
              <w:t>By:  /s/ Stephen A. Vintz</w:t>
            </w:r>
          </w:p>
        </w:tc>
      </w:tr>
      <w:tr>
        <w:trPr>
          <w:trHeight w:val="223"/>
        </w:trPr>
        <w:tc>
          <w:tcPr>
            <w:tcW w:w="39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24"/>
        </w:trPr>
        <w:tc>
          <w:tcPr>
            <w:tcW w:w="39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3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ectPr>
          <w:pgSz w:w="11900" w:h="16838" w:orient="portrait"/>
          <w:cols w:equalWidth="0" w:num="1">
            <w:col w:w="11240"/>
          </w:cols>
          <w:pgMar w:left="320" w:top="11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8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Annual Report on Form 10-K of Tenable Holdings, Inc. for the fiscal year ended December 31, 2020 fully complies with the requirements of Section 13(a) or 15(d) of the Securities Exchange Act of 1934 and that information contained in such Annual Report on Form 10-K fairly presents, in all material respects, the financial condition and results of operations of Tenable Holdings, Inc.</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00"/>
              <w:spacing w:after="0"/>
              <w:rPr>
                <w:sz w:val="20"/>
                <w:szCs w:val="20"/>
                <w:color w:val="auto"/>
              </w:rPr>
            </w:pPr>
            <w:r>
              <w:rPr>
                <w:rFonts w:ascii="Arial" w:cs="Arial" w:eastAsia="Arial" w:hAnsi="Arial"/>
                <w:sz w:val="18"/>
                <w:szCs w:val="18"/>
                <w:color w:val="auto"/>
              </w:rPr>
              <w:t>February 22, 2021</w:t>
            </w:r>
          </w:p>
        </w:tc>
        <w:tc>
          <w:tcPr>
            <w:tcW w:w="2220" w:type="dxa"/>
            <w:vAlign w:val="bottom"/>
          </w:tcPr>
          <w:p>
            <w:pPr>
              <w:ind w:left="18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Amit Yoran</w:t>
            </w:r>
          </w:p>
        </w:tc>
      </w:tr>
      <w:tr>
        <w:trPr>
          <w:trHeight w:val="223"/>
        </w:trPr>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Amit Yoran</w:t>
            </w:r>
          </w:p>
        </w:tc>
      </w:tr>
      <w:tr>
        <w:trPr>
          <w:trHeight w:val="224"/>
        </w:trPr>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35"/>
        </w:trPr>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00"/>
              <w:spacing w:after="0"/>
              <w:rPr>
                <w:sz w:val="20"/>
                <w:szCs w:val="20"/>
                <w:color w:val="auto"/>
              </w:rPr>
            </w:pPr>
            <w:r>
              <w:rPr>
                <w:rFonts w:ascii="Arial" w:cs="Arial" w:eastAsia="Arial" w:hAnsi="Arial"/>
                <w:sz w:val="18"/>
                <w:szCs w:val="18"/>
                <w:color w:val="auto"/>
              </w:rPr>
              <w:t>February 22, 2021</w:t>
            </w:r>
          </w:p>
        </w:tc>
        <w:tc>
          <w:tcPr>
            <w:tcW w:w="2220" w:type="dxa"/>
            <w:vAlign w:val="bottom"/>
          </w:tcPr>
          <w:p>
            <w:pPr>
              <w:ind w:left="18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23"/>
        </w:trPr>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24"/>
        </w:trPr>
        <w:tc>
          <w:tcPr>
            <w:tcW w:w="5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2"/>
    </w:lvl>
  </w:abstractNum>
  <w:abstractNum w:abstractNumId="22">
    <w:nsid w:val="7724C67E"/>
    <w:multiLevelType w:val="hybridMultilevel"/>
    <w:lvl w:ilvl="0">
      <w:lvlJc w:val="left"/>
      <w:lvlText w:val="(%1)"/>
      <w:numFmt w:val="decimal"/>
      <w:start w:val="3"/>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04"/>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09" Type="http://schemas.openxmlformats.org/officeDocument/2006/relationships/hyperlink" Target="http://www.sec.gov/Archives/edgar/data/1660280/000166028019000038/ex101.htm" TargetMode="External"/><Relationship Id="rId110" Type="http://schemas.openxmlformats.org/officeDocument/2006/relationships/hyperlink" Target="http://www.sec.gov/Archives/edgar/data/1660280/000119312518231446/d562353dex31.htm" TargetMode="External"/><Relationship Id="rId111" Type="http://schemas.openxmlformats.org/officeDocument/2006/relationships/hyperlink" Target="http://www.sec.gov/Archives/edgar/data/1660280/000119312518209705/d548092dex34.htm" TargetMode="External"/><Relationship Id="rId112" Type="http://schemas.openxmlformats.org/officeDocument/2006/relationships/hyperlink" Target="http://www.sec.gov/Archives/edgar/data/1660280/000119312518218215/d548092dex41.htm" TargetMode="External"/><Relationship Id="rId113" Type="http://schemas.openxmlformats.org/officeDocument/2006/relationships/hyperlink" Target="http://www.sec.gov/Archives/edgar/data/0001660280/000119312518209705/d548092dex42.htm" TargetMode="External"/><Relationship Id="rId114" Type="http://schemas.openxmlformats.org/officeDocument/2006/relationships/hyperlink" Target="http://www.sec.gov/Archives/edgar/data/1660280/000166028020000012/ex41descriptionoftenab.htm" TargetMode="External"/><Relationship Id="rId115" Type="http://schemas.openxmlformats.org/officeDocument/2006/relationships/hyperlink" Target="http://www.sec.gov/Archives/edgar/data/1660280/000119312518226924/d494510dex101.htm" TargetMode="External"/><Relationship Id="rId118" Type="http://schemas.openxmlformats.org/officeDocument/2006/relationships/hyperlink" Target="http://www.sec.gov/Archives/edgar/data/1660280/000119312518226924/d494510dex102.htm" TargetMode="External"/><Relationship Id="rId119" Type="http://schemas.openxmlformats.org/officeDocument/2006/relationships/hyperlink" Target="http://www.sec.gov/Archives/edgar/data/1660280/000119312518226924/d494510dex103.htm" TargetMode="External"/><Relationship Id="rId120" Type="http://schemas.openxmlformats.org/officeDocument/2006/relationships/hyperlink" Target="http://www.sec.gov/Archives/edgar/data/1660280/000119312518226924/d494510dex104.htm" TargetMode="External"/><Relationship Id="rId121" Type="http://schemas.openxmlformats.org/officeDocument/2006/relationships/hyperlink" Target="http://www.sec.gov/Archives/edgar/data/1660280/000119312518226924/d494510dex105.htm" TargetMode="External"/><Relationship Id="rId122" Type="http://schemas.openxmlformats.org/officeDocument/2006/relationships/hyperlink" Target="http://www.sec.gov/Archives/edgar/data/0001660280/000119312518209705/d548092dex106.htm" TargetMode="External"/><Relationship Id="rId123" Type="http://schemas.openxmlformats.org/officeDocument/2006/relationships/hyperlink" Target="http://www.sec.gov/Archives/edgar/data/1660280/000166028019000005/yoranamendedandrestatedemp.htm" TargetMode="External"/><Relationship Id="rId124" Type="http://schemas.openxmlformats.org/officeDocument/2006/relationships/hyperlink" Target="http://www.sec.gov/Archives/edgar/data/1660280/000166028019000005/vintz-amendedandrestatedem.htm" TargetMode="External"/><Relationship Id="rId125" Type="http://schemas.openxmlformats.org/officeDocument/2006/relationships/hyperlink" Target="http://www.sec.gov/Archives/edgar/data/1660280/000166028019000005/riddick-amendedandrestated.htm" TargetMode="External"/><Relationship Id="rId126" Type="http://schemas.openxmlformats.org/officeDocument/2006/relationships/hyperlink" Target="http://www.sec.gov/Archives/edgar/data/0001660280/000119312518209705/d548092dex1011.htm" TargetMode="External"/><Relationship Id="rId127" Type="http://schemas.openxmlformats.org/officeDocument/2006/relationships/hyperlink" Target="http://www.sec.gov/Archives/edgar/data/0001660280/000119312518209705/d548092dex1012.htm" TargetMode="External"/><Relationship Id="rId128" Type="http://schemas.openxmlformats.org/officeDocument/2006/relationships/hyperlink" Target="http://www.sec.gov/Archives/edgar/data/1660280/000166028020000092/secondamendmenttolsa.htm" TargetMode="External"/><Relationship Id="rId129" Type="http://schemas.openxmlformats.org/officeDocument/2006/relationships/hyperlink" Target="http://www.sec.gov/Archives/edgar/data/1660280/000166028020000090/a2020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2021-02-23T05:28:36Z</dcterms:created>
  <dcterms:modified xsi:type="dcterms:W3CDTF">2021-02-23T05:28:36Z</dcterms:modified>
</cp:coreProperties>
</file>