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879557.xml.htm"/>
      <w:bookmarkStart w:id="1" w:name="kswkform4_177887955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KEANE MARGARET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TENABLE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6100 MERRIWEATHER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COLUMBIA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21044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Tenable Holdings, Inc.</w:t>
              </w:r>
            </w:hyperlink>
            <w:r>
              <w:rPr/>
              <w:t xml:space="preserve"> [ </w:t>
            </w:r>
            <w:r>
              <w:rPr>
                <w:rFonts w:ascii="Times;serif" w:hAnsi="Times;serif"/>
                <w:color w:val="0000FF"/>
                <w:sz w:val="24"/>
                <w:shd w:fill="FFFFFF" w:val="clear"/>
              </w:rPr>
              <w:t>TENB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05/13/2026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6,062</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17,043</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9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606"/>
        <w:gridCol w:w="906"/>
        <w:gridCol w:w="801"/>
        <w:gridCol w:w="891"/>
        <w:gridCol w:w="681"/>
        <w:gridCol w:w="801"/>
        <w:gridCol w:w="936"/>
        <w:gridCol w:w="831"/>
        <w:gridCol w:w="846"/>
      </w:tblGrid>
      <w:tr>
        <w:trPr>
          <w:tblHeader w:val="true"/>
        </w:trPr>
        <w:tc>
          <w:tcPr>
            <w:tcW w:w="122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6,062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6,062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9,718</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9,718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9,718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Issuer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100% of the shares underlying the RSUs vested as of May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100% of the shares underlying the RSUs vest on the earlier of May 13, 2027 or the Issuer's next annual shareholder meeting, subject to the Reporting Person's continuous service with the Issuer as of the applicable vesting date, and subject to accelerated vesting in specified circumstances.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Bartholomew,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4718" TargetMode="External"/><Relationship Id="rId5" Type="http://schemas.openxmlformats.org/officeDocument/2006/relationships/hyperlink" Target="http://www.sec.gov/cgi-bin/browse-edgar?action=getcompany&amp;CIK=00016602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670</Words>
  <Characters>3595</Characters>
  <CharactersWithSpaces>4184</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