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7421.xml.htm"/>
      <w:bookmarkStart w:id="1" w:name="kswkform4_17913174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Bell Charles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TENABLE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MERRIWEATHER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Tenable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TENB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third of the RSUs shall vest on each of October 5, 2027, October 5, 2028 and October 5, 2029, subject to the Reporting Person's continued service as a director through the applicable vesting dates and accelerated vesting in specified circumstances.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759" TargetMode="External"/><Relationship Id="rId5" Type="http://schemas.openxmlformats.org/officeDocument/2006/relationships/hyperlink" Target="http://www.sec.gov/cgi-bin/browse-edgar?action=getcompany&amp;CIK=0001660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3427</Characters>
  <CharactersWithSpaces>3984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