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9"/>
          <w:szCs w:val="19"/>
          <w:b w:val="1"/>
          <w:bCs w:val="1"/>
          <w:color w:val="231F20"/>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231F20"/>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231F20"/>
        </w:rPr>
        <w:t>Washington, D.C. 20549</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12"/>
          <w:szCs w:val="12"/>
          <w:b w:val="1"/>
          <w:bCs w:val="1"/>
          <w:color w:val="auto"/>
        </w:rPr>
        <w:t>__________________</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231F20"/>
        </w:rPr>
        <w:t>FORM 8-K</w:t>
      </w:r>
    </w:p>
    <w:p>
      <w:pPr>
        <w:spacing w:after="0" w:line="38" w:lineRule="exact"/>
        <w:rPr>
          <w:sz w:val="24"/>
          <w:szCs w:val="24"/>
          <w:color w:val="auto"/>
        </w:rPr>
      </w:pPr>
    </w:p>
    <w:p>
      <w:pPr>
        <w:ind w:left="5040"/>
        <w:spacing w:after="0"/>
        <w:rPr>
          <w:sz w:val="20"/>
          <w:szCs w:val="20"/>
          <w:color w:val="auto"/>
        </w:rPr>
      </w:pPr>
      <w:r>
        <w:rPr>
          <w:rFonts w:ascii="Arial" w:cs="Arial" w:eastAsia="Arial" w:hAnsi="Arial"/>
          <w:sz w:val="12"/>
          <w:szCs w:val="12"/>
          <w:b w:val="1"/>
          <w:bCs w:val="1"/>
          <w:color w:val="231F20"/>
        </w:rPr>
        <w:t>__________________</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0"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 xml:space="preserve">Date of report (Date of earliest event reported): </w:t>
      </w:r>
      <w:r>
        <w:rPr>
          <w:rFonts w:ascii="Arial" w:cs="Arial" w:eastAsia="Arial" w:hAnsi="Arial"/>
          <w:sz w:val="11"/>
          <w:szCs w:val="11"/>
          <w:b w:val="1"/>
          <w:bCs w:val="1"/>
          <w:color w:val="auto"/>
        </w:rPr>
        <w:t>May 21, 2026</w:t>
      </w:r>
    </w:p>
    <w:p>
      <w:pPr>
        <w:spacing w:after="0" w:line="158" w:lineRule="exact"/>
        <w:rPr>
          <w:sz w:val="24"/>
          <w:szCs w:val="24"/>
          <w:color w:val="auto"/>
        </w:rPr>
      </w:pPr>
    </w:p>
    <w:p>
      <w:pPr>
        <w:ind w:left="5040"/>
        <w:spacing w:after="0"/>
        <w:rPr>
          <w:sz w:val="20"/>
          <w:szCs w:val="20"/>
          <w:color w:val="auto"/>
        </w:rPr>
      </w:pPr>
      <w:r>
        <w:rPr>
          <w:rFonts w:ascii="Arial" w:cs="Arial" w:eastAsia="Arial" w:hAnsi="Arial"/>
          <w:sz w:val="12"/>
          <w:szCs w:val="12"/>
          <w:b w:val="1"/>
          <w:bCs w:val="1"/>
          <w:color w:val="231F20"/>
        </w:rPr>
        <w:t>__________________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231F20"/>
        </w:rPr>
        <w:t>TENABLE HOLDINGS,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231F20"/>
        </w:rPr>
        <w:t>(Exact name of registrant as specified in its charter)</w:t>
      </w:r>
    </w:p>
    <w:p>
      <w:pPr>
        <w:ind w:left="5040"/>
        <w:spacing w:after="0"/>
        <w:rPr>
          <w:sz w:val="20"/>
          <w:szCs w:val="20"/>
          <w:color w:val="auto"/>
        </w:rPr>
      </w:pPr>
      <w:r>
        <w:rPr>
          <w:rFonts w:ascii="Arial" w:cs="Arial" w:eastAsia="Arial" w:hAnsi="Arial"/>
          <w:sz w:val="12"/>
          <w:szCs w:val="12"/>
          <w:b w:val="1"/>
          <w:bCs w:val="1"/>
          <w:color w:val="231F20"/>
        </w:rPr>
        <w:t>__________________</w:t>
      </w:r>
    </w:p>
    <w:p>
      <w:pPr>
        <w:sectPr>
          <w:pgSz w:w="11900" w:h="16838" w:orient="portrait"/>
          <w:cols w:equalWidth="0" w:num="1">
            <w:col w:w="11240"/>
          </w:cols>
          <w:pgMar w:left="300" w:top="891" w:right="359" w:bottom="1440" w:gutter="0" w:footer="0" w:header="0"/>
        </w:sectPr>
      </w:pPr>
    </w:p>
    <w:p>
      <w:pPr>
        <w:spacing w:after="0" w:line="88" w:lineRule="exact"/>
        <w:rPr>
          <w:sz w:val="24"/>
          <w:szCs w:val="24"/>
          <w:color w:val="auto"/>
        </w:rPr>
      </w:pPr>
    </w:p>
    <w:p>
      <w:pPr>
        <w:ind w:left="16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001-38600</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47-5580846</w:t>
      </w:r>
    </w:p>
    <w:p>
      <w:pPr>
        <w:spacing w:after="0" w:line="33" w:lineRule="exact"/>
        <w:rPr>
          <w:sz w:val="24"/>
          <w:szCs w:val="24"/>
          <w:color w:val="auto"/>
        </w:rPr>
      </w:pPr>
    </w:p>
    <w:p>
      <w:pPr>
        <w:sectPr>
          <w:pgSz w:w="11900" w:h="16838" w:orient="portrait"/>
          <w:cols w:equalWidth="0" w:num="3">
            <w:col w:w="4680" w:space="720"/>
            <w:col w:w="3000" w:space="720"/>
            <w:col w:w="2120"/>
          </w:cols>
          <w:pgMar w:left="300" w:top="891" w:right="359" w:bottom="1440" w:gutter="0" w:footer="0" w:header="0"/>
          <w:type w:val="continuous"/>
        </w:sectPr>
      </w:pPr>
    </w:p>
    <w:p>
      <w:pPr>
        <w:ind w:left="640"/>
        <w:spacing w:after="0"/>
        <w:rPr>
          <w:sz w:val="20"/>
          <w:szCs w:val="20"/>
          <w:color w:val="auto"/>
        </w:rPr>
      </w:pPr>
      <w:r>
        <w:rPr>
          <w:rFonts w:ascii="Arial" w:cs="Arial" w:eastAsia="Arial" w:hAnsi="Arial"/>
          <w:sz w:val="8"/>
          <w:szCs w:val="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Number)</w:t>
      </w:r>
    </w:p>
    <w:p>
      <w:pPr>
        <w:spacing w:after="0" w:line="200" w:lineRule="exact"/>
        <w:rPr>
          <w:sz w:val="24"/>
          <w:szCs w:val="24"/>
          <w:color w:val="auto"/>
        </w:rPr>
      </w:pPr>
    </w:p>
    <w:p>
      <w:pPr>
        <w:sectPr>
          <w:pgSz w:w="11900" w:h="16838" w:orient="portrait"/>
          <w:cols w:equalWidth="0" w:num="3">
            <w:col w:w="4360" w:space="720"/>
            <w:col w:w="2780" w:space="720"/>
            <w:col w:w="2660"/>
          </w:cols>
          <w:pgMar w:left="300" w:top="891" w:right="359" w:bottom="1440" w:gutter="0" w:footer="0" w:header="0"/>
          <w:type w:val="continuous"/>
        </w:sectPr>
      </w:pP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6100 Merriweather Drive, Columbia, Maryland, 21044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0"/>
          <w:szCs w:val="10"/>
          <w:color w:val="auto"/>
        </w:rPr>
        <w:t>(Address of principal executive offices, including zip code)</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(410) 872-0555</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0"/>
          <w:szCs w:val="10"/>
          <w:color w:val="auto"/>
        </w:rPr>
        <w:t>(Registrant’s telephone number, including area code)</w:t>
      </w:r>
    </w:p>
    <w:p>
      <w:pPr>
        <w:ind w:left="5040"/>
        <w:spacing w:after="0"/>
        <w:rPr>
          <w:sz w:val="20"/>
          <w:szCs w:val="20"/>
          <w:color w:val="auto"/>
        </w:rPr>
      </w:pPr>
      <w:r>
        <w:rPr>
          <w:rFonts w:ascii="Arial" w:cs="Arial" w:eastAsia="Arial" w:hAnsi="Arial"/>
          <w:sz w:val="12"/>
          <w:szCs w:val="12"/>
          <w:b w:val="1"/>
          <w:bCs w:val="1"/>
          <w:color w:val="231F20"/>
        </w:rPr>
        <w:t>__________________</w:t>
      </w:r>
    </w:p>
    <w:p>
      <w:pPr>
        <w:sectPr>
          <w:pgSz w:w="11900" w:h="16838" w:orient="portrait"/>
          <w:cols w:equalWidth="0" w:num="1">
            <w:col w:w="11240"/>
          </w:cols>
          <w:pgMar w:left="300" w:top="891" w:right="359" w:bottom="1440" w:gutter="0" w:footer="0" w:header="0"/>
          <w:type w:val="continuous"/>
        </w:sectPr>
      </w:pPr>
    </w:p>
    <w:p>
      <w:pPr>
        <w:spacing w:after="0" w:line="160" w:lineRule="exact"/>
        <w:rPr>
          <w:sz w:val="24"/>
          <w:szCs w:val="24"/>
          <w:color w:val="auto"/>
        </w:rPr>
      </w:pPr>
    </w:p>
    <w:p>
      <w:pPr>
        <w:spacing w:after="0"/>
        <w:rPr>
          <w:sz w:val="20"/>
          <w:szCs w:val="20"/>
          <w:color w:val="auto"/>
        </w:rPr>
      </w:pPr>
      <w:r>
        <w:rPr>
          <w:rFonts w:ascii="Arial" w:cs="Arial" w:eastAsia="Arial" w:hAnsi="Arial"/>
          <w:sz w:val="10"/>
          <w:szCs w:val="10"/>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4"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240"/>
          </w:cols>
          <w:pgMar w:left="300" w:top="891" w:right="359" w:bottom="1440" w:gutter="0" w:footer="0" w:header="0"/>
          <w:type w:val="continuous"/>
        </w:sectPr>
      </w:pPr>
    </w:p>
    <w:p>
      <w:pPr>
        <w:spacing w:after="0" w:line="90" w:lineRule="exact"/>
        <w:rPr>
          <w:sz w:val="24"/>
          <w:szCs w:val="24"/>
          <w:color w:val="auto"/>
        </w:rPr>
      </w:pPr>
    </w:p>
    <w:p>
      <w:pPr>
        <w:jc w:val="center"/>
        <w:ind w:right="320"/>
        <w:spacing w:after="0"/>
        <w:rPr>
          <w:sz w:val="20"/>
          <w:szCs w:val="20"/>
          <w:color w:val="auto"/>
        </w:rPr>
      </w:pPr>
      <w:r>
        <w:rPr>
          <w:rFonts w:ascii="Arial" w:cs="Arial" w:eastAsia="Arial" w:hAnsi="Arial"/>
          <w:sz w:val="11"/>
          <w:szCs w:val="11"/>
          <w:color w:val="auto"/>
        </w:rPr>
        <w:t>Title of each class</w:t>
      </w:r>
    </w:p>
    <w:p>
      <w:pPr>
        <w:spacing w:after="0" w:line="18" w:lineRule="exact"/>
        <w:rPr>
          <w:sz w:val="24"/>
          <w:szCs w:val="24"/>
          <w:color w:val="auto"/>
        </w:rPr>
      </w:pPr>
    </w:p>
    <w:p>
      <w:pPr>
        <w:jc w:val="center"/>
        <w:ind w:right="320"/>
        <w:spacing w:after="0"/>
        <w:rPr>
          <w:sz w:val="20"/>
          <w:szCs w:val="20"/>
          <w:color w:val="auto"/>
        </w:rPr>
      </w:pPr>
      <w:r>
        <w:rPr>
          <w:rFonts w:ascii="Arial" w:cs="Arial" w:eastAsia="Arial" w:hAnsi="Arial"/>
          <w:sz w:val="10"/>
          <w:szCs w:val="10"/>
          <w:color w:val="auto"/>
        </w:rPr>
        <w:t>Common Stock, par value $0.01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1340"/>
        <w:spacing w:after="0"/>
        <w:rPr>
          <w:sz w:val="20"/>
          <w:szCs w:val="20"/>
          <w:color w:val="auto"/>
        </w:rPr>
      </w:pPr>
      <w:r>
        <w:rPr>
          <w:rFonts w:ascii="Arial" w:cs="Arial" w:eastAsia="Arial" w:hAnsi="Arial"/>
          <w:sz w:val="10"/>
          <w:szCs w:val="10"/>
          <w:color w:val="auto"/>
        </w:rPr>
        <w:t>Trading Symbol(s)</w:t>
      </w:r>
    </w:p>
    <w:p>
      <w:pPr>
        <w:spacing w:after="0" w:line="29" w:lineRule="exact"/>
        <w:rPr>
          <w:sz w:val="24"/>
          <w:szCs w:val="24"/>
          <w:color w:val="auto"/>
        </w:rPr>
      </w:pPr>
    </w:p>
    <w:p>
      <w:pPr>
        <w:jc w:val="center"/>
        <w:ind w:right="1340"/>
        <w:spacing w:after="0"/>
        <w:rPr>
          <w:sz w:val="20"/>
          <w:szCs w:val="20"/>
          <w:color w:val="auto"/>
        </w:rPr>
      </w:pPr>
      <w:r>
        <w:rPr>
          <w:rFonts w:ascii="Arial" w:cs="Arial" w:eastAsia="Arial" w:hAnsi="Arial"/>
          <w:sz w:val="11"/>
          <w:szCs w:val="11"/>
          <w:color w:val="auto"/>
        </w:rPr>
        <w:t>TENB</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960"/>
        <w:spacing w:after="0"/>
        <w:rPr>
          <w:sz w:val="20"/>
          <w:szCs w:val="20"/>
          <w:color w:val="auto"/>
        </w:rPr>
      </w:pPr>
      <w:r>
        <w:rPr>
          <w:rFonts w:ascii="Arial" w:cs="Arial" w:eastAsia="Arial" w:hAnsi="Arial"/>
          <w:sz w:val="10"/>
          <w:szCs w:val="10"/>
          <w:color w:val="auto"/>
        </w:rPr>
        <w:t>Name of each exchange on which registered</w:t>
      </w:r>
    </w:p>
    <w:p>
      <w:pPr>
        <w:spacing w:after="0" w:line="29" w:lineRule="exact"/>
        <w:rPr>
          <w:sz w:val="24"/>
          <w:szCs w:val="24"/>
          <w:color w:val="auto"/>
        </w:rPr>
      </w:pPr>
    </w:p>
    <w:p>
      <w:pPr>
        <w:jc w:val="center"/>
        <w:ind w:right="960"/>
        <w:spacing w:after="0"/>
        <w:rPr>
          <w:sz w:val="20"/>
          <w:szCs w:val="20"/>
          <w:color w:val="auto"/>
        </w:rPr>
      </w:pPr>
      <w:r>
        <w:rPr>
          <w:rFonts w:ascii="Arial" w:cs="Arial" w:eastAsia="Arial" w:hAnsi="Arial"/>
          <w:sz w:val="11"/>
          <w:szCs w:val="11"/>
          <w:color w:val="auto"/>
        </w:rPr>
        <w:t>The Nasdaq Stock Market LLC</w:t>
      </w:r>
    </w:p>
    <w:p>
      <w:pPr>
        <w:spacing w:after="0" w:line="200" w:lineRule="exact"/>
        <w:rPr>
          <w:sz w:val="24"/>
          <w:szCs w:val="24"/>
          <w:color w:val="auto"/>
        </w:rPr>
      </w:pPr>
    </w:p>
    <w:p>
      <w:pPr>
        <w:sectPr>
          <w:pgSz w:w="11900" w:h="16838" w:orient="portrait"/>
          <w:cols w:equalWidth="0" w:num="3">
            <w:col w:w="4480" w:space="720"/>
            <w:col w:w="2220" w:space="720"/>
            <w:col w:w="3100"/>
          </w:cols>
          <w:pgMar w:left="300" w:top="891" w:right="359" w:bottom="1440" w:gutter="0" w:footer="0" w:header="0"/>
          <w:type w:val="continuous"/>
        </w:sectPr>
      </w:pPr>
    </w:p>
    <w:p>
      <w:pPr>
        <w:spacing w:after="0" w:line="25" w:lineRule="exact"/>
        <w:rPr>
          <w:sz w:val="24"/>
          <w:szCs w:val="24"/>
          <w:color w:val="auto"/>
        </w:rPr>
      </w:pPr>
    </w:p>
    <w:p>
      <w:pPr>
        <w:ind w:right="260"/>
        <w:spacing w:after="0" w:line="285"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50" w:lineRule="exact"/>
        <w:rPr>
          <w:sz w:val="24"/>
          <w:szCs w:val="24"/>
          <w:color w:val="auto"/>
        </w:rPr>
      </w:pPr>
    </w:p>
    <w:p>
      <w:pPr>
        <w:spacing w:after="0" w:line="14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466090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91" w:right="35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150" w:lineRule="exact"/>
        <w:rPr>
          <w:sz w:val="20"/>
          <w:szCs w:val="20"/>
          <w:color w:val="auto"/>
        </w:rPr>
      </w:pPr>
    </w:p>
    <w:p>
      <w:pPr>
        <w:jc w:val="both"/>
        <w:ind w:right="20" w:firstLine="216"/>
        <w:spacing w:after="0" w:line="268" w:lineRule="auto"/>
        <w:rPr>
          <w:sz w:val="20"/>
          <w:szCs w:val="20"/>
          <w:color w:val="auto"/>
        </w:rPr>
      </w:pPr>
      <w:r>
        <w:rPr>
          <w:rFonts w:ascii="Arial" w:cs="Arial" w:eastAsia="Arial" w:hAnsi="Arial"/>
          <w:sz w:val="12"/>
          <w:szCs w:val="12"/>
          <w:color w:val="auto"/>
        </w:rPr>
        <w:t>On May 21, 2026, Tenable Holdings, Inc. (the "Company") hosted an Investor Day event, where members of the Company’s senior management presented to attendees regarding the Company’s business and long-term strategy, which was webcast live on the Company’s website. A copy of the materials used during the presentation is furnished as Exhibit 99.1 to this Current Report. The materials and a webcast replay of the presentation were made available at the “Investor Events” section of the Company's investor relations website at https://investors.tenable.com at the start of the live presentation.</w:t>
      </w:r>
    </w:p>
    <w:p>
      <w:pPr>
        <w:spacing w:after="0" w:line="116"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i w:val="1"/>
          <w:iCs w:val="1"/>
          <w:color w:val="auto"/>
        </w:rPr>
        <w:t>The information set forth in this Item 7.01, including the presentation slides attached hereto as Exhibit 99.1, is being furnished pursuant to Item 7.01 and shall not be deemed “filed” for purposes of Section 18 of the Securities Exchange Act of 1934, as amended (the “Exchange Act”), or otherwise subject to the liabilities of that Section, and it shall not be deemed incorporated by reference in any filing under the Securities Act of 1933, as amended, or under the Exchange Act, whether made before or after the date hereof, except as expressly provided by specific reference in such a filing.</w:t>
      </w:r>
    </w:p>
    <w:p>
      <w:pPr>
        <w:spacing w:after="0" w:line="11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0"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(d)</w:t>
        <w:tab/>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Exhibit Number</w:t>
            </w: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740" w:type="dxa"/>
            <w:vAlign w:val="bottom"/>
          </w:tcPr>
          <w:p>
            <w:pPr>
              <w:ind w:left="1540"/>
              <w:spacing w:after="0"/>
              <w:rPr>
                <w:sz w:val="20"/>
                <w:szCs w:val="20"/>
                <w:color w:val="auto"/>
              </w:rPr>
            </w:pPr>
            <w:r>
              <w:rPr>
                <w:rFonts w:ascii="Arial" w:cs="Arial" w:eastAsia="Arial" w:hAnsi="Arial"/>
                <w:sz w:val="11"/>
                <w:szCs w:val="11"/>
                <w:b w:val="1"/>
                <w:bCs w:val="1"/>
                <w:color w:val="auto"/>
              </w:rPr>
              <w:t>Description</w:t>
            </w:r>
          </w:p>
        </w:tc>
      </w:tr>
      <w:tr>
        <w:trPr>
          <w:trHeight w:val="115"/>
        </w:trPr>
        <w:tc>
          <w:tcPr>
            <w:tcW w:w="1420" w:type="dxa"/>
            <w:vAlign w:val="bottom"/>
            <w:tcBorders>
              <w:top w:val="single" w:sz="8" w:color="auto"/>
            </w:tcBorders>
          </w:tcPr>
          <w:p>
            <w:pPr>
              <w:jc w:val="right"/>
              <w:ind w:right="541"/>
              <w:spacing w:after="0" w:line="115" w:lineRule="exact"/>
              <w:rPr>
                <w:sz w:val="20"/>
                <w:szCs w:val="20"/>
                <w:color w:val="auto"/>
              </w:rPr>
            </w:pPr>
            <w:r>
              <w:rPr>
                <w:rFonts w:ascii="Arial" w:cs="Arial" w:eastAsia="Arial" w:hAnsi="Arial"/>
                <w:sz w:val="12"/>
                <w:szCs w:val="12"/>
                <w:color w:val="auto"/>
              </w:rPr>
              <w:t>99.1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40" w:type="dxa"/>
            <w:vAlign w:val="bottom"/>
            <w:tcBorders>
              <w:top w:val="single" w:sz="8" w:color="auto"/>
              <w:bottom w:val="single" w:sz="8" w:color="0000FF"/>
            </w:tcBorders>
          </w:tcPr>
          <w:p>
            <w:pPr>
              <w:spacing w:after="0" w:line="115" w:lineRule="exact"/>
              <w:rPr>
                <w:sz w:val="20"/>
                <w:szCs w:val="20"/>
                <w:color w:val="auto"/>
              </w:rPr>
            </w:pPr>
            <w:r>
              <w:rPr>
                <w:rFonts w:ascii="Arial" w:cs="Arial" w:eastAsia="Arial" w:hAnsi="Arial"/>
                <w:sz w:val="12"/>
                <w:szCs w:val="12"/>
                <w:color w:val="0000FF"/>
                <w:w w:val="98"/>
              </w:rPr>
              <w:t>Tenable's Investor Day Presentation, dated May 21, 2026</w:t>
            </w:r>
          </w:p>
        </w:tc>
        <w:tc>
          <w:tcPr>
            <w:tcW w:w="6740" w:type="dxa"/>
            <w:vAlign w:val="bottom"/>
            <w:tcBorders>
              <w:top w:val="single" w:sz="8" w:color="auto"/>
            </w:tcBorders>
          </w:tcPr>
          <w:p>
            <w:pPr>
              <w:spacing w:after="0"/>
              <w:rPr>
                <w:sz w:val="10"/>
                <w:szCs w:val="10"/>
                <w:color w:val="auto"/>
              </w:rPr>
            </w:pPr>
          </w:p>
        </w:tc>
      </w:tr>
      <w:tr>
        <w:trPr>
          <w:trHeight w:val="156"/>
        </w:trPr>
        <w:tc>
          <w:tcPr>
            <w:tcW w:w="1500" w:type="dxa"/>
            <w:vAlign w:val="bottom"/>
            <w:gridSpan w:val="2"/>
          </w:tcPr>
          <w:p>
            <w:pPr>
              <w:jc w:val="center"/>
              <w:ind w:right="100"/>
              <w:spacing w:after="0"/>
              <w:rPr>
                <w:sz w:val="20"/>
                <w:szCs w:val="20"/>
                <w:color w:val="auto"/>
              </w:rPr>
            </w:pPr>
            <w:r>
              <w:rPr>
                <w:rFonts w:ascii="Arial" w:cs="Arial" w:eastAsia="Arial" w:hAnsi="Arial"/>
                <w:sz w:val="12"/>
                <w:szCs w:val="12"/>
                <w:color w:val="auto"/>
                <w:w w:val="98"/>
              </w:rPr>
              <w:t>101.SCH</w:t>
            </w:r>
          </w:p>
        </w:tc>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153"/>
        </w:trPr>
        <w:tc>
          <w:tcPr>
            <w:tcW w:w="150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101.LAB</w:t>
            </w:r>
          </w:p>
        </w:tc>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153"/>
        </w:trPr>
        <w:tc>
          <w:tcPr>
            <w:tcW w:w="15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101.PRE</w:t>
            </w:r>
          </w:p>
        </w:tc>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159"/>
        </w:trPr>
        <w:tc>
          <w:tcPr>
            <w:tcW w:w="1420" w:type="dxa"/>
            <w:vAlign w:val="bottom"/>
          </w:tcPr>
          <w:p>
            <w:pPr>
              <w:jc w:val="right"/>
              <w:ind w:right="561"/>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Arial" w:cs="Arial" w:eastAsia="Arial" w:hAnsi="Arial"/>
                <w:sz w:val="12"/>
                <w:szCs w:val="12"/>
                <w:color w:val="auto"/>
              </w:rPr>
              <w:t>The cover page from Tenable's 8-K filed on May 21, 2026, formatted in Inline XBRL.</w:t>
            </w:r>
          </w:p>
        </w:tc>
      </w:tr>
      <w:tr>
        <w:trPr>
          <w:trHeight w:val="673"/>
        </w:trPr>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140" w:type="dxa"/>
            <w:vAlign w:val="bottom"/>
            <w:gridSpan w:val="2"/>
          </w:tcPr>
          <w:p>
            <w:pPr>
              <w:ind w:left="1740"/>
              <w:spacing w:after="0"/>
              <w:rPr>
                <w:sz w:val="20"/>
                <w:szCs w:val="20"/>
                <w:color w:val="auto"/>
              </w:rPr>
            </w:pPr>
            <w:r>
              <w:rPr>
                <w:rFonts w:ascii="Arial" w:cs="Arial" w:eastAsia="Arial" w:hAnsi="Arial"/>
                <w:sz w:val="12"/>
                <w:szCs w:val="12"/>
                <w:b w:val="1"/>
                <w:bCs w:val="1"/>
                <w:color w:val="auto"/>
              </w:rPr>
              <w:t>TENABLE HOLDINGS, INC.</w:t>
            </w:r>
          </w:p>
        </w:tc>
      </w:tr>
      <w:tr>
        <w:trPr>
          <w:trHeight w:val="325"/>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2680" w:type="dxa"/>
            <w:vAlign w:val="bottom"/>
          </w:tcPr>
          <w:p>
            <w:pPr>
              <w:ind w:left="200"/>
              <w:spacing w:after="0"/>
              <w:rPr>
                <w:sz w:val="20"/>
                <w:szCs w:val="20"/>
                <w:color w:val="auto"/>
              </w:rPr>
            </w:pPr>
            <w:r>
              <w:rPr>
                <w:rFonts w:ascii="Arial" w:cs="Arial" w:eastAsia="Arial" w:hAnsi="Arial"/>
                <w:sz w:val="12"/>
                <w:szCs w:val="12"/>
                <w:color w:val="auto"/>
              </w:rPr>
              <w:t>May 21, 2026</w:t>
            </w:r>
          </w:p>
        </w:tc>
        <w:tc>
          <w:tcPr>
            <w:tcW w:w="2160" w:type="dxa"/>
            <w:vAlign w:val="bottom"/>
          </w:tcPr>
          <w:p>
            <w:pPr>
              <w:ind w:left="1740"/>
              <w:spacing w:after="0"/>
              <w:rPr>
                <w:sz w:val="20"/>
                <w:szCs w:val="20"/>
                <w:color w:val="auto"/>
              </w:rPr>
            </w:pPr>
            <w:r>
              <w:rPr>
                <w:rFonts w:ascii="Arial" w:cs="Arial" w:eastAsia="Arial" w:hAnsi="Arial"/>
                <w:sz w:val="12"/>
                <w:szCs w:val="12"/>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Michelle VonderHaar</w:t>
            </w:r>
          </w:p>
        </w:tc>
      </w:tr>
      <w:tr>
        <w:trPr>
          <w:trHeight w:val="140"/>
        </w:trPr>
        <w:tc>
          <w:tcPr>
            <w:tcW w:w="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980" w:type="dxa"/>
            <w:vAlign w:val="bottom"/>
          </w:tcPr>
          <w:p>
            <w:pPr>
              <w:ind w:left="20"/>
              <w:spacing w:after="0"/>
              <w:rPr>
                <w:sz w:val="20"/>
                <w:szCs w:val="20"/>
                <w:color w:val="auto"/>
              </w:rPr>
            </w:pPr>
            <w:r>
              <w:rPr>
                <w:rFonts w:ascii="Arial" w:cs="Arial" w:eastAsia="Arial" w:hAnsi="Arial"/>
                <w:sz w:val="12"/>
                <w:szCs w:val="12"/>
                <w:color w:val="auto"/>
              </w:rPr>
              <w:t>Michelle VonderHaar</w:t>
            </w:r>
          </w:p>
        </w:tc>
      </w:tr>
      <w:tr>
        <w:trPr>
          <w:trHeight w:val="157"/>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980" w:type="dxa"/>
            <w:vAlign w:val="bottom"/>
          </w:tcPr>
          <w:p>
            <w:pPr>
              <w:ind w:left="20"/>
              <w:spacing w:after="0"/>
              <w:rPr>
                <w:sz w:val="20"/>
                <w:szCs w:val="20"/>
                <w:color w:val="auto"/>
              </w:rPr>
            </w:pPr>
            <w:r>
              <w:rPr>
                <w:rFonts w:ascii="Arial" w:cs="Arial" w:eastAsia="Arial" w:hAnsi="Arial"/>
                <w:sz w:val="12"/>
                <w:szCs w:val="12"/>
                <w:i w:val="1"/>
                <w:iCs w:val="1"/>
                <w:color w:val="auto"/>
              </w:rPr>
              <w:t>Chief Legal Officer and Corporate Secretary</w:t>
            </w:r>
          </w:p>
        </w:tc>
      </w:tr>
    </w:tbl>
    <w:p>
      <w:pPr>
        <w:sectPr>
          <w:pgSz w:w="11900" w:h="16838" w:orient="portrait"/>
          <w:cols w:equalWidth="0" w:num="1">
            <w:col w:w="11300"/>
          </w:cols>
          <w:pgMar w:left="300" w:top="667"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2026-05-21T15:41:28Z</dcterms:created>
  <dcterms:modified xsi:type="dcterms:W3CDTF">2026-05-21T15:41:28Z</dcterms:modified>
</cp:coreProperties>
</file>