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8235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Vintz Stephen 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49"/>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409" w:lineRule="exact"/>
        <w:rPr>
          <w:sz w:val="24"/>
          <w:szCs w:val="24"/>
          <w:color w:val="auto"/>
        </w:rPr>
      </w:pPr>
    </w:p>
    <w:p>
      <w:pPr>
        <w:sectPr>
          <w:pgSz w:w="11900" w:h="16838" w:orient="portrait"/>
          <w:cols w:equalWidth="0" w:num="3">
            <w:col w:w="3180" w:space="720"/>
            <w:col w:w="3111" w:space="720"/>
            <w:col w:w="3349"/>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2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ind w:right="9"/>
              <w:spacing w:after="0"/>
              <w:rPr>
                <w:sz w:val="20"/>
                <w:szCs w:val="20"/>
                <w:color w:val="auto"/>
              </w:rPr>
            </w:pPr>
            <w:r>
              <w:rPr>
                <w:rFonts w:ascii="Arial" w:cs="Arial" w:eastAsia="Arial" w:hAnsi="Arial"/>
                <w:sz w:val="12"/>
                <w:szCs w:val="12"/>
                <w:b w:val="1"/>
                <w:bCs w:val="1"/>
                <w:color w:val="auto"/>
                <w:w w:val="92"/>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3"/>
              </w:rPr>
              <w:t>1,595</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Borders>
              <w:bottom w:val="single" w:sz="8" w:color="2C2C2C"/>
            </w:tcBorders>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475,129</w:t>
            </w:r>
            <w:r>
              <w:rPr>
                <w:rFonts w:ascii="Times New Roman" w:cs="Times New Roman" w:eastAsia="Times New Roman" w:hAnsi="Times New Roman"/>
                <w:sz w:val="21"/>
                <w:szCs w:val="21"/>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85"/>
              </w:rPr>
              <w:t>764</w:t>
            </w:r>
            <w:r>
              <w:rPr>
                <w:rFonts w:ascii="Times New Roman" w:cs="Times New Roman" w:eastAsia="Times New Roman" w:hAnsi="Times New Roman"/>
                <w:sz w:val="21"/>
                <w:szCs w:val="21"/>
                <w:color w:val="008000"/>
                <w:w w:val="8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474,365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2,345</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476,710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1,123</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475,587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6,095</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481,682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2,917</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478,765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5,095</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483,860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2,438</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481,422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7,764</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489,186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3,716</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485,470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4,519</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489,989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2,163</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487,826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jc w:val="center"/>
              <w:ind w:right="40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29"/>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5"/>
                <w:szCs w:val="5"/>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8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1,595</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5"/>
              </w:rPr>
              <w:t>4,790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2,345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5"/>
                <w:szCs w:val="5"/>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8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2,345</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16,422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5"/>
                <w:szCs w:val="5"/>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8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6,095</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67,052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5,095</w:t>
            </w: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5,095</w:t>
            </w:r>
          </w:p>
        </w:tc>
        <w:tc>
          <w:tcPr>
            <w:tcW w:w="60" w:type="dxa"/>
            <w:vAlign w:val="bottom"/>
          </w:tcPr>
          <w:p>
            <w:pPr>
              <w:spacing w:after="0"/>
              <w:rPr>
                <w:sz w:val="15"/>
                <w:szCs w:val="1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15,286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7,764</w:t>
            </w: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7,764</w:t>
            </w:r>
          </w:p>
        </w:tc>
        <w:tc>
          <w:tcPr>
            <w:tcW w:w="60" w:type="dxa"/>
            <w:vAlign w:val="bottom"/>
          </w:tcPr>
          <w:p>
            <w:pPr>
              <w:spacing w:after="0"/>
              <w:rPr>
                <w:sz w:val="15"/>
                <w:szCs w:val="1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85,408</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-3316605</wp:posOffset>
            </wp:positionV>
            <wp:extent cx="29210" cy="351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134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00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0002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05/22/2026</w:t>
            </w:r>
          </w:p>
        </w:tc>
        <w:tc>
          <w:tcPr>
            <w:tcW w:w="1100" w:type="dxa"/>
            <w:vAlign w:val="bottom"/>
          </w:tcPr>
          <w:p>
            <w:pPr>
              <w:spacing w:after="0"/>
              <w:rPr>
                <w:sz w:val="15"/>
                <w:szCs w:val="15"/>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4,519</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4,519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31,633</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 shares were acquired under the Issuer's Employee Stock Purchase Plan in transactions that were exempt under both Rule 16b-3(d) and Rule 16b-3(c).</w:t>
      </w:r>
    </w:p>
    <w:p>
      <w:pPr>
        <w:spacing w:after="0" w:line="43" w:lineRule="exact"/>
        <w:rPr>
          <w:rFonts w:ascii="Times New Roman" w:cs="Times New Roman" w:eastAsia="Times New Roman" w:hAnsi="Times New Roman"/>
          <w:sz w:val="13"/>
          <w:szCs w:val="13"/>
          <w:color w:val="008000"/>
        </w:rPr>
      </w:pPr>
    </w:p>
    <w:p>
      <w:pPr>
        <w:ind w:left="20" w:right="18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2026, the Compensation Committee of the Issuer's Board of Directors certified the achievement of the Performance Restricted Stock Units (PRSUs) granted on February 21, 2025 and determined a 97.2% payout for the measurement period based on the Issuer's fiscal year 2025 criteria. 25% of the shares underlying the PRSUs vested on February 25,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5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August 22, 2025, 25% on February 22,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4594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2026-05-26T18:02:34Z</dcterms:created>
  <dcterms:modified xsi:type="dcterms:W3CDTF">2026-05-26T18:02:34Z</dcterms:modified>
</cp:coreProperties>
</file>