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4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580" w:hanging="545"/>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76" w:lineRule="exact"/>
        <w:rPr>
          <w:sz w:val="24"/>
          <w:szCs w:val="24"/>
          <w:color w:val="auto"/>
        </w:rPr>
      </w:pPr>
    </w:p>
    <w:p>
      <w:pPr>
        <w:ind w:left="580" w:hanging="545"/>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rFonts w:ascii="Arial" w:cs="Arial" w:eastAsia="Arial" w:hAnsi="Arial"/>
          <w:sz w:val="18"/>
          <w:szCs w:val="18"/>
          <w:color w:val="auto"/>
        </w:rPr>
      </w:pPr>
    </w:p>
    <w:p>
      <w:pPr>
        <w:ind w:left="3980"/>
        <w:spacing w:after="0"/>
        <w:rPr>
          <w:rFonts w:ascii="Arial" w:cs="Arial" w:eastAsia="Arial" w:hAnsi="Arial"/>
          <w:sz w:val="18"/>
          <w:szCs w:val="18"/>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001-38600</w:t>
      </w:r>
    </w:p>
    <w:p>
      <w:pPr>
        <w:spacing w:after="0" w:line="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231F20"/>
        </w:rPr>
        <w:t>TENABLE HOLDINGS, INC.</w:t>
      </w:r>
    </w:p>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231F20"/>
        </w:rPr>
        <w:t>(Exact name of registrant as specified in its charter)</w:t>
      </w: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7" w:right="319" w:bottom="1440" w:gutter="0" w:footer="0" w:header="0"/>
        </w:sectPr>
      </w:pPr>
    </w:p>
    <w:p>
      <w:pPr>
        <w:spacing w:after="0" w:line="154" w:lineRule="exact"/>
        <w:rPr>
          <w:sz w:val="24"/>
          <w:szCs w:val="24"/>
          <w:color w:val="auto"/>
        </w:rPr>
      </w:pPr>
    </w:p>
    <w:p>
      <w:pPr>
        <w:ind w:left="20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122" w:lineRule="exact"/>
        <w:rPr>
          <w:sz w:val="24"/>
          <w:szCs w:val="24"/>
          <w:color w:val="auto"/>
        </w:rPr>
      </w:pPr>
    </w:p>
    <w:p>
      <w:pPr>
        <w:sectPr>
          <w:pgSz w:w="11900" w:h="16838" w:orient="portrait"/>
          <w:cols w:equalWidth="0" w:num="2">
            <w:col w:w="7880" w:space="720"/>
            <w:col w:w="2740"/>
          </w:cols>
          <w:pgMar w:left="240" w:top="247" w:right="31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7060" w:space="720"/>
            <w:col w:w="3560"/>
          </w:cols>
          <w:pgMar w:left="240" w:top="247" w:right="319" w:bottom="1440" w:gutter="0" w:footer="0" w:header="0"/>
          <w:type w:val="continuous"/>
        </w:sectPr>
      </w:pP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7021 Columbia Gateway Drive, Suite 500, Columbia, Maryland, 21046</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(410) 872-0555</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(Registrant’s telephone number, including area code)</w:t>
      </w: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2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4" w:lineRule="exact"/>
        <w:rPr>
          <w:sz w:val="24"/>
          <w:szCs w:val="24"/>
          <w:color w:val="auto"/>
        </w:rPr>
      </w:pPr>
    </w:p>
    <w:p>
      <w:pPr>
        <w:ind w:right="220"/>
        <w:spacing w:after="0" w:line="18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p>
    <w:p>
      <w:pPr>
        <w:ind w:left="1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5"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4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40" w:type="dxa"/>
            <w:vAlign w:val="bottom"/>
          </w:tcPr>
          <w:p>
            <w:pPr>
              <w:jc w:val="center"/>
              <w:ind w:left="1019"/>
              <w:spacing w:after="0"/>
              <w:rPr>
                <w:sz w:val="20"/>
                <w:szCs w:val="20"/>
                <w:color w:val="auto"/>
              </w:rPr>
            </w:pPr>
            <w:r>
              <w:rPr>
                <w:rFonts w:ascii="Arial" w:cs="Arial" w:eastAsia="Arial" w:hAnsi="Arial"/>
                <w:sz w:val="16"/>
                <w:szCs w:val="16"/>
                <w:color w:val="auto"/>
                <w:w w:val="89"/>
              </w:rPr>
              <w:t>o</w:t>
            </w:r>
          </w:p>
        </w:tc>
        <w:tc>
          <w:tcPr>
            <w:tcW w:w="3880" w:type="dxa"/>
            <w:vAlign w:val="bottom"/>
          </w:tcPr>
          <w:p>
            <w:pPr>
              <w:ind w:left="440"/>
              <w:spacing w:after="0"/>
              <w:rPr>
                <w:sz w:val="20"/>
                <w:szCs w:val="20"/>
                <w:color w:val="auto"/>
              </w:rPr>
            </w:pPr>
            <w:r>
              <w:rPr>
                <w:rFonts w:ascii="Arial" w:cs="Arial" w:eastAsia="Arial" w:hAnsi="Arial"/>
                <w:sz w:val="16"/>
                <w:szCs w:val="16"/>
                <w:color w:val="auto"/>
              </w:rPr>
              <w:t>Accelerated filer</w:t>
            </w:r>
          </w:p>
        </w:tc>
        <w:tc>
          <w:tcPr>
            <w:tcW w:w="1580" w:type="dxa"/>
            <w:vAlign w:val="bottom"/>
          </w:tcPr>
          <w:p>
            <w:pPr>
              <w:ind w:left="1500"/>
              <w:spacing w:after="0"/>
              <w:rPr>
                <w:sz w:val="20"/>
                <w:szCs w:val="20"/>
                <w:color w:val="auto"/>
              </w:rPr>
            </w:pPr>
            <w:r>
              <w:rPr>
                <w:rFonts w:ascii="Arial" w:cs="Arial" w:eastAsia="Arial" w:hAnsi="Arial"/>
                <w:sz w:val="15"/>
                <w:szCs w:val="15"/>
                <w:color w:val="auto"/>
                <w:w w:val="71"/>
              </w:rPr>
              <w:t>o</w:t>
            </w:r>
          </w:p>
        </w:tc>
      </w:tr>
      <w:tr>
        <w:trPr>
          <w:trHeight w:val="275"/>
        </w:trPr>
        <w:tc>
          <w:tcPr>
            <w:tcW w:w="3480" w:type="dxa"/>
            <w:vAlign w:val="bottom"/>
          </w:tcPr>
          <w:p>
            <w:pPr>
              <w:spacing w:after="0"/>
              <w:rPr>
                <w:sz w:val="20"/>
                <w:szCs w:val="20"/>
                <w:color w:val="auto"/>
              </w:rPr>
            </w:pPr>
            <w:r>
              <w:rPr>
                <w:rFonts w:ascii="Arial" w:cs="Arial" w:eastAsia="Arial" w:hAnsi="Arial"/>
                <w:sz w:val="16"/>
                <w:szCs w:val="16"/>
                <w:color w:val="auto"/>
              </w:rPr>
              <w:t>Non-accelerated filer</w:t>
            </w:r>
          </w:p>
        </w:tc>
        <w:tc>
          <w:tcPr>
            <w:tcW w:w="2140" w:type="dxa"/>
            <w:vAlign w:val="bottom"/>
          </w:tcPr>
          <w:p>
            <w:pPr>
              <w:jc w:val="center"/>
              <w:ind w:left="1039"/>
              <w:spacing w:after="0" w:line="161" w:lineRule="exact"/>
              <w:rPr>
                <w:sz w:val="20"/>
                <w:szCs w:val="20"/>
                <w:color w:val="auto"/>
              </w:rPr>
            </w:pPr>
            <w:r>
              <w:rPr>
                <w:rFonts w:ascii="MS PGothic" w:cs="MS PGothic" w:eastAsia="MS PGothic" w:hAnsi="MS PGothic"/>
                <w:sz w:val="16"/>
                <w:szCs w:val="16"/>
                <w:color w:val="auto"/>
                <w:w w:val="87"/>
              </w:rPr>
              <w:t>☒</w:t>
            </w:r>
          </w:p>
        </w:tc>
        <w:tc>
          <w:tcPr>
            <w:tcW w:w="38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34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140" w:type="dxa"/>
            <w:vAlign w:val="bottom"/>
          </w:tcPr>
          <w:p>
            <w:pPr>
              <w:jc w:val="center"/>
              <w:ind w:left="1039"/>
              <w:spacing w:after="0" w:line="161" w:lineRule="exact"/>
              <w:rPr>
                <w:sz w:val="20"/>
                <w:szCs w:val="20"/>
                <w:color w:val="auto"/>
              </w:rPr>
            </w:pPr>
            <w:r>
              <w:rPr>
                <w:rFonts w:ascii="MS PGothic" w:cs="MS PGothic" w:eastAsia="MS PGothic" w:hAnsi="MS PGothic"/>
                <w:sz w:val="16"/>
                <w:szCs w:val="16"/>
                <w:color w:val="auto"/>
                <w:w w:val="87"/>
              </w:rPr>
              <w:t>☒</w:t>
            </w:r>
          </w:p>
        </w:tc>
        <w:tc>
          <w:tcPr>
            <w:tcW w:w="3880" w:type="dxa"/>
            <w:vAlign w:val="bottom"/>
          </w:tcPr>
          <w:p>
            <w:pPr>
              <w:ind w:left="440"/>
              <w:spacing w:after="0"/>
              <w:rPr>
                <w:sz w:val="20"/>
                <w:szCs w:val="20"/>
                <w:color w:val="auto"/>
              </w:rPr>
            </w:pPr>
            <w:r>
              <w:rPr>
                <w:rFonts w:ascii="Arial" w:cs="Arial" w:eastAsia="Arial" w:hAnsi="Arial"/>
                <w:sz w:val="16"/>
                <w:szCs w:val="16"/>
                <w:color w:val="auto"/>
              </w:rPr>
              <w:t>Smaller reporting company</w:t>
            </w:r>
          </w:p>
        </w:tc>
        <w:tc>
          <w:tcPr>
            <w:tcW w:w="1580" w:type="dxa"/>
            <w:vAlign w:val="bottom"/>
          </w:tcPr>
          <w:p>
            <w:pPr>
              <w:ind w:left="1500"/>
              <w:spacing w:after="0"/>
              <w:rPr>
                <w:sz w:val="20"/>
                <w:szCs w:val="20"/>
                <w:color w:val="auto"/>
              </w:rPr>
            </w:pPr>
            <w:r>
              <w:rPr>
                <w:rFonts w:ascii="Arial" w:cs="Arial" w:eastAsia="Arial" w:hAnsi="Arial"/>
                <w:sz w:val="15"/>
                <w:szCs w:val="15"/>
                <w:color w:val="auto"/>
                <w:w w:val="71"/>
              </w:rPr>
              <w:t>o</w:t>
            </w:r>
          </w:p>
        </w:tc>
      </w:tr>
    </w:tbl>
    <w:p>
      <w:pPr>
        <w:spacing w:after="0" w:line="57" w:lineRule="exact"/>
        <w:rPr>
          <w:sz w:val="24"/>
          <w:szCs w:val="24"/>
          <w:color w:val="auto"/>
        </w:rPr>
      </w:pPr>
    </w:p>
    <w:p>
      <w:pPr>
        <w:jc w:val="both"/>
        <w:ind w:left="40" w:right="2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1" w:lineRule="exact"/>
        <w:rPr>
          <w:sz w:val="24"/>
          <w:szCs w:val="24"/>
          <w:color w:val="auto"/>
        </w:rPr>
      </w:pPr>
    </w:p>
    <w:p>
      <w:pPr>
        <w:spacing w:after="0" w:line="184" w:lineRule="exact"/>
        <w:tabs>
          <w:tab w:leader="none" w:pos="8260" w:val="left"/>
          <w:tab w:leader="none" w:pos="8700" w:val="left"/>
          <w:tab w:leader="none" w:pos="9100" w:val="left"/>
          <w:tab w:leader="none" w:pos="94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31, 2018 was 93,064,759.</w:t>
      </w:r>
    </w:p>
    <w:p>
      <w:pPr>
        <w:sectPr>
          <w:pgSz w:w="11900" w:h="16838" w:orient="portrait"/>
          <w:cols w:equalWidth="0" w:num="1">
            <w:col w:w="11340"/>
          </w:cols>
          <w:pgMar w:left="240" w:top="247" w:right="319" w:bottom="1440" w:gutter="0" w:footer="0" w:header="0"/>
          <w:type w:val="continuous"/>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Page</w:t>
            </w: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3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060" w:type="dxa"/>
            <w:vAlign w:val="bottom"/>
            <w:tcBorders>
              <w:top w:val="single" w:sz="8" w:color="0000EE"/>
            </w:tcBorders>
            <w:gridSpan w:val="10"/>
          </w:tcPr>
          <w:p>
            <w:pPr>
              <w:spacing w:after="0"/>
              <w:rPr>
                <w:sz w:val="21"/>
                <w:szCs w:val="21"/>
                <w:color w:val="auto"/>
              </w:rPr>
            </w:pPr>
          </w:p>
        </w:tc>
        <w:tc>
          <w:tcPr>
            <w:tcW w:w="35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Balance Sheets</w:t>
              </w:r>
            </w:hyperlink>
          </w:p>
        </w:tc>
        <w:tc>
          <w:tcPr>
            <w:tcW w:w="7460" w:type="dxa"/>
            <w:vAlign w:val="bottom"/>
            <w:gridSpan w:val="19"/>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20" w:type="dxa"/>
            <w:vAlign w:val="bottom"/>
            <w:gridSpan w:val="2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and Comprehensive Loss</w:t>
              </w:r>
            </w:hyperlink>
          </w:p>
        </w:tc>
        <w:tc>
          <w:tcPr>
            <w:tcW w:w="2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40" w:type="dxa"/>
            <w:vAlign w:val="bottom"/>
            <w:tcBorders>
              <w:bottom w:val="single" w:sz="8" w:color="0000EE"/>
            </w:tcBorders>
            <w:gridSpan w:val="28"/>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Statements of Redeemable Convertible Preferred Stock and Stockholders' Equity (Deficit)</w:t>
              </w:r>
            </w:hyperlink>
          </w:p>
        </w:tc>
        <w:tc>
          <w:tcPr>
            <w:tcW w:w="1580" w:type="dxa"/>
            <w:vAlign w:val="bottom"/>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Statements of Cash Flows</w:t>
              </w:r>
            </w:hyperlink>
          </w:p>
        </w:tc>
        <w:tc>
          <w:tcPr>
            <w:tcW w:w="6620" w:type="dxa"/>
            <w:vAlign w:val="bottom"/>
            <w:gridSpan w:val="14"/>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0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Notes to Consolidated Financial Statements</w:t>
              </w:r>
            </w:hyperlink>
          </w:p>
        </w:tc>
        <w:tc>
          <w:tcPr>
            <w:tcW w:w="6320" w:type="dxa"/>
            <w:vAlign w:val="bottom"/>
            <w:gridSpan w:val="11"/>
          </w:tcPr>
          <w:p>
            <w:pPr>
              <w:spacing w:after="0"/>
              <w:rPr>
                <w:sz w:val="21"/>
                <w:szCs w:val="21"/>
                <w:color w:val="auto"/>
              </w:rPr>
            </w:pPr>
          </w:p>
        </w:tc>
        <w:tc>
          <w:tcPr>
            <w:tcW w:w="100" w:type="dxa"/>
            <w:vAlign w:val="bottom"/>
            <w:tcBorders>
              <w:bottom w:val="single" w:sz="8" w:color="0000EE"/>
            </w:tcBorders>
          </w:tcPr>
          <w:p>
            <w:pPr>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9400" w:type="dxa"/>
            <w:vAlign w:val="bottom"/>
            <w:gridSpan w:val="27"/>
          </w:tcPr>
          <w:p>
            <w:pPr>
              <w:ind w:left="20"/>
              <w:spacing w:after="0"/>
              <w:rPr>
                <w:rFonts w:ascii="Arial" w:cs="Arial" w:eastAsia="Arial" w:hAnsi="Arial"/>
                <w:sz w:val="18"/>
                <w:szCs w:val="18"/>
                <w:color w:val="0000EE"/>
              </w:rPr>
            </w:pPr>
            <w:hyperlink w:anchor="page7">
              <w:r>
                <w:rPr>
                  <w:rFonts w:ascii="Arial" w:cs="Arial" w:eastAsia="Arial" w:hAnsi="Arial"/>
                  <w:sz w:val="18"/>
                  <w:szCs w:val="18"/>
                  <w:color w:val="0000EE"/>
                </w:rPr>
                <w:t>Business and Summary of Significant Accounting Policies</w:t>
              </w:r>
            </w:hyperlink>
          </w:p>
        </w:tc>
        <w:tc>
          <w:tcPr>
            <w:tcW w:w="200" w:type="dxa"/>
            <w:vAlign w:val="bottom"/>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1">
              <w:r>
                <w:rPr>
                  <w:rFonts w:ascii="Arial" w:cs="Arial" w:eastAsia="Arial" w:hAnsi="Arial"/>
                  <w:sz w:val="18"/>
                  <w:szCs w:val="18"/>
                  <w:color w:val="0000EE"/>
                </w:rPr>
                <w:t>2.</w:t>
              </w:r>
            </w:hyperlink>
          </w:p>
        </w:tc>
        <w:tc>
          <w:tcPr>
            <w:tcW w:w="9400" w:type="dxa"/>
            <w:vAlign w:val="bottom"/>
            <w:gridSpan w:val="27"/>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Fair Value Measurements</w:t>
              </w:r>
            </w:hyperlink>
          </w:p>
        </w:tc>
        <w:tc>
          <w:tcPr>
            <w:tcW w:w="4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1">
              <w:r>
                <w:rPr>
                  <w:rFonts w:ascii="Arial" w:cs="Arial" w:eastAsia="Arial" w:hAnsi="Arial"/>
                  <w:sz w:val="18"/>
                  <w:szCs w:val="18"/>
                  <w:color w:val="0000EE"/>
                </w:rPr>
                <w:t>3.</w:t>
              </w:r>
            </w:hyperlink>
          </w:p>
        </w:tc>
        <w:tc>
          <w:tcPr>
            <w:tcW w:w="9400" w:type="dxa"/>
            <w:vAlign w:val="bottom"/>
            <w:gridSpan w:val="27"/>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Property and Equipment, Net</w:t>
              </w:r>
            </w:hyperlink>
          </w:p>
        </w:tc>
        <w:tc>
          <w:tcPr>
            <w:tcW w:w="4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1">
              <w:r>
                <w:rPr>
                  <w:rFonts w:ascii="Arial" w:cs="Arial" w:eastAsia="Arial" w:hAnsi="Arial"/>
                  <w:sz w:val="18"/>
                  <w:szCs w:val="18"/>
                  <w:color w:val="0000EE"/>
                </w:rPr>
                <w:t>4.</w:t>
              </w:r>
            </w:hyperlink>
          </w:p>
        </w:tc>
        <w:tc>
          <w:tcPr>
            <w:tcW w:w="9400" w:type="dxa"/>
            <w:vAlign w:val="bottom"/>
            <w:gridSpan w:val="27"/>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Debt</w:t>
              </w:r>
            </w:hyperlink>
          </w:p>
        </w:tc>
        <w:tc>
          <w:tcPr>
            <w:tcW w:w="42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2">
              <w:r>
                <w:rPr>
                  <w:rFonts w:ascii="Arial" w:cs="Arial" w:eastAsia="Arial" w:hAnsi="Arial"/>
                  <w:sz w:val="18"/>
                  <w:szCs w:val="18"/>
                  <w:color w:val="0000EE"/>
                </w:rPr>
                <w:t>5.</w:t>
              </w:r>
            </w:hyperlink>
          </w:p>
        </w:tc>
        <w:tc>
          <w:tcPr>
            <w:tcW w:w="9400" w:type="dxa"/>
            <w:vAlign w:val="bottom"/>
            <w:gridSpan w:val="27"/>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Commitments and Contingencies</w:t>
              </w:r>
            </w:hyperlink>
          </w:p>
        </w:tc>
        <w:tc>
          <w:tcPr>
            <w:tcW w:w="4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2">
              <w:r>
                <w:rPr>
                  <w:rFonts w:ascii="Arial" w:cs="Arial" w:eastAsia="Arial" w:hAnsi="Arial"/>
                  <w:sz w:val="18"/>
                  <w:szCs w:val="18"/>
                  <w:color w:val="0000EE"/>
                </w:rPr>
                <w:t>6.</w:t>
              </w:r>
            </w:hyperlink>
          </w:p>
        </w:tc>
        <w:tc>
          <w:tcPr>
            <w:tcW w:w="9400" w:type="dxa"/>
            <w:vAlign w:val="bottom"/>
            <w:gridSpan w:val="27"/>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Redeemable Convertible Preferred Stock</w:t>
              </w:r>
            </w:hyperlink>
          </w:p>
        </w:tc>
        <w:tc>
          <w:tcPr>
            <w:tcW w:w="4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12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9400" w:type="dxa"/>
            <w:vAlign w:val="bottom"/>
            <w:gridSpan w:val="27"/>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Stock-Based Compensation</w:t>
              </w:r>
            </w:hyperlink>
          </w:p>
        </w:tc>
        <w:tc>
          <w:tcPr>
            <w:tcW w:w="4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13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5">
              <w:r>
                <w:rPr>
                  <w:rFonts w:ascii="Arial" w:cs="Arial" w:eastAsia="Arial" w:hAnsi="Arial"/>
                  <w:sz w:val="18"/>
                  <w:szCs w:val="18"/>
                  <w:color w:val="0000EE"/>
                </w:rPr>
                <w:t>8.</w:t>
              </w:r>
            </w:hyperlink>
          </w:p>
        </w:tc>
        <w:tc>
          <w:tcPr>
            <w:tcW w:w="9400" w:type="dxa"/>
            <w:vAlign w:val="bottom"/>
            <w:gridSpan w:val="2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Net Loss Per Share Attributable to Common Stockholders</w:t>
              </w:r>
            </w:hyperlink>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gridSpan w:val="6"/>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gridSpan w:val="2"/>
          </w:tcPr>
          <w:p>
            <w:pPr>
              <w:ind w:left="240"/>
              <w:spacing w:after="0"/>
              <w:rPr>
                <w:rFonts w:ascii="Arial" w:cs="Arial" w:eastAsia="Arial" w:hAnsi="Arial"/>
                <w:sz w:val="18"/>
                <w:szCs w:val="18"/>
                <w:color w:val="0000EE"/>
              </w:rPr>
            </w:pPr>
            <w:hyperlink w:anchor="page15">
              <w:r>
                <w:rPr>
                  <w:rFonts w:ascii="Arial" w:cs="Arial" w:eastAsia="Arial" w:hAnsi="Arial"/>
                  <w:sz w:val="18"/>
                  <w:szCs w:val="18"/>
                  <w:color w:val="0000EE"/>
                </w:rPr>
                <w:t>9.</w:t>
              </w:r>
            </w:hyperlink>
          </w:p>
        </w:tc>
        <w:tc>
          <w:tcPr>
            <w:tcW w:w="9400" w:type="dxa"/>
            <w:vAlign w:val="bottom"/>
            <w:gridSpan w:val="2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Income Taxes</w:t>
              </w:r>
            </w:hyperlink>
          </w:p>
        </w:tc>
        <w:tc>
          <w:tcPr>
            <w:tcW w:w="420" w:type="dxa"/>
            <w:vAlign w:val="bottom"/>
            <w:gridSpan w:val="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10. Geographic Information</w:t>
              </w:r>
            </w:hyperlink>
          </w:p>
        </w:tc>
        <w:tc>
          <w:tcPr>
            <w:tcW w:w="7340" w:type="dxa"/>
            <w:vAlign w:val="bottom"/>
            <w:gridSpan w:val="18"/>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15</w:t>
              </w:r>
            </w:hyperlink>
          </w:p>
        </w:tc>
        <w:tc>
          <w:tcPr>
            <w:tcW w:w="220" w:type="dxa"/>
            <w:vAlign w:val="bottom"/>
          </w:tcPr>
          <w:p>
            <w:pPr>
              <w:spacing w:after="0"/>
              <w:rPr>
                <w:sz w:val="21"/>
                <w:szCs w:val="21"/>
                <w:color w:val="auto"/>
              </w:rPr>
            </w:pPr>
          </w:p>
        </w:tc>
      </w:tr>
      <w:tr>
        <w:trPr>
          <w:trHeight w:val="561"/>
        </w:trPr>
        <w:tc>
          <w:tcPr>
            <w:tcW w:w="92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9820" w:type="dxa"/>
            <w:vAlign w:val="bottom"/>
            <w:gridSpan w:val="2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3.</w:t>
              </w:r>
            </w:hyperlink>
          </w:p>
        </w:tc>
        <w:tc>
          <w:tcPr>
            <w:tcW w:w="9820" w:type="dxa"/>
            <w:vAlign w:val="bottom"/>
            <w:gridSpan w:val="2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4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820" w:type="dxa"/>
            <w:vAlign w:val="bottom"/>
            <w:gridSpan w:val="2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2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33</w:t>
              </w:r>
            </w:hyperlink>
          </w:p>
        </w:tc>
      </w:tr>
      <w:tr>
        <w:trPr>
          <w:trHeight w:val="237"/>
        </w:trPr>
        <w:tc>
          <w:tcPr>
            <w:tcW w:w="5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80" w:type="dxa"/>
            <w:vAlign w:val="bottom"/>
            <w:gridSpan w:val="1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 – OTHER INFORMATION</w:t>
              </w:r>
            </w:hyperlink>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Pr>
          <w:p>
            <w:pPr>
              <w:spacing w:after="0"/>
              <w:rPr>
                <w:sz w:val="20"/>
                <w:szCs w:val="20"/>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344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2760" w:type="dxa"/>
            <w:vAlign w:val="bottom"/>
            <w:tcBorders>
              <w:top w:val="single" w:sz="8" w:color="0000EE"/>
            </w:tcBorders>
            <w:gridSpan w:val="8"/>
          </w:tcPr>
          <w:p>
            <w:pPr>
              <w:spacing w:after="0"/>
              <w:rPr>
                <w:sz w:val="20"/>
                <w:szCs w:val="20"/>
                <w:color w:val="auto"/>
              </w:rPr>
            </w:pPr>
          </w:p>
        </w:tc>
        <w:tc>
          <w:tcPr>
            <w:tcW w:w="3620" w:type="dxa"/>
            <w:vAlign w:val="bottom"/>
            <w:gridSpan w:val="4"/>
          </w:tcPr>
          <w:p>
            <w:pPr>
              <w:spacing w:after="0"/>
              <w:rPr>
                <w:sz w:val="20"/>
                <w:szCs w:val="20"/>
                <w:color w:val="auto"/>
              </w:rPr>
            </w:pPr>
          </w:p>
        </w:tc>
        <w:tc>
          <w:tcPr>
            <w:tcW w:w="4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4"/>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1A.</w:t>
              </w:r>
            </w:hyperlink>
          </w:p>
        </w:tc>
        <w:tc>
          <w:tcPr>
            <w:tcW w:w="9820" w:type="dxa"/>
            <w:vAlign w:val="bottom"/>
            <w:gridSpan w:val="2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Risk Factors</w:t>
              </w:r>
            </w:hyperlink>
          </w:p>
        </w:tc>
        <w:tc>
          <w:tcPr>
            <w:tcW w:w="420" w:type="dxa"/>
            <w:vAlign w:val="bottom"/>
            <w:gridSpan w:val="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40" w:type="dxa"/>
            <w:vAlign w:val="bottom"/>
            <w:gridSpan w:val="15"/>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660" w:type="dxa"/>
            <w:vAlign w:val="bottom"/>
            <w:gridSpan w:val="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2.</w:t>
              </w:r>
            </w:hyperlink>
          </w:p>
        </w:tc>
        <w:tc>
          <w:tcPr>
            <w:tcW w:w="260" w:type="dxa"/>
            <w:vAlign w:val="bottom"/>
          </w:tcPr>
          <w:p>
            <w:pPr>
              <w:spacing w:after="0"/>
              <w:rPr>
                <w:sz w:val="20"/>
                <w:szCs w:val="20"/>
                <w:color w:val="auto"/>
              </w:rPr>
            </w:pPr>
          </w:p>
        </w:tc>
        <w:tc>
          <w:tcPr>
            <w:tcW w:w="9820" w:type="dxa"/>
            <w:vAlign w:val="bottom"/>
            <w:gridSpan w:val="2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420" w:type="dxa"/>
            <w:vAlign w:val="bottom"/>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980" w:type="dxa"/>
            <w:vAlign w:val="bottom"/>
            <w:gridSpan w:val="16"/>
            <w:shd w:val="clear" w:color="auto" w:fill="0000EE"/>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92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6.</w:t>
              </w:r>
            </w:hyperlink>
          </w:p>
        </w:tc>
        <w:tc>
          <w:tcPr>
            <w:tcW w:w="9820" w:type="dxa"/>
            <w:vAlign w:val="bottom"/>
            <w:gridSpan w:val="2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420" w:type="dxa"/>
            <w:vAlign w:val="bottom"/>
            <w:gridSpan w:val="3"/>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960" w:type="dxa"/>
            <w:vAlign w:val="bottom"/>
            <w:gridSpan w:val="2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60">
              <w:r>
                <w:rPr>
                  <w:rFonts w:ascii="Arial" w:cs="Arial" w:eastAsia="Arial" w:hAnsi="Arial"/>
                  <w:sz w:val="18"/>
                  <w:szCs w:val="18"/>
                  <w:color w:val="0000EE"/>
                  <w:w w:val="97"/>
                </w:rPr>
                <w:t>Signatures</w:t>
              </w:r>
            </w:hyperlink>
          </w:p>
        </w:tc>
        <w:tc>
          <w:tcPr>
            <w:tcW w:w="8960" w:type="dxa"/>
            <w:vAlign w:val="bottom"/>
            <w:gridSpan w:val="24"/>
          </w:tcPr>
          <w:p>
            <w:pPr>
              <w:spacing w:after="0"/>
              <w:rPr>
                <w:sz w:val="20"/>
                <w:szCs w:val="20"/>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60</w:t>
              </w:r>
            </w:hyperlink>
          </w:p>
        </w:tc>
        <w:tc>
          <w:tcPr>
            <w:tcW w:w="220" w:type="dxa"/>
            <w:vAlign w:val="bottom"/>
          </w:tcPr>
          <w:p>
            <w:pPr>
              <w:spacing w:after="0"/>
              <w:rPr>
                <w:sz w:val="20"/>
                <w:szCs w:val="20"/>
                <w:color w:val="auto"/>
              </w:rPr>
            </w:pPr>
          </w:p>
        </w:tc>
      </w:tr>
      <w:tr>
        <w:trPr>
          <w:trHeight w:val="70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gridSpan w:val="19"/>
          </w:tcPr>
          <w:p>
            <w:pPr>
              <w:ind w:left="42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60"/>
          </w:cols>
          <w:pgMar w:left="280" w:top="360" w:right="4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81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678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PART I. FINANCIAL INFORMATION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8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780" w:type="dxa"/>
            <w:vAlign w:val="bottom"/>
          </w:tcPr>
          <w:p>
            <w:pPr>
              <w:jc w:val="center"/>
              <w:ind w:left="1230"/>
              <w:spacing w:after="0"/>
              <w:rPr>
                <w:sz w:val="20"/>
                <w:szCs w:val="20"/>
                <w:color w:val="auto"/>
              </w:rPr>
            </w:pPr>
            <w:r>
              <w:rPr>
                <w:rFonts w:ascii="Arial" w:cs="Arial" w:eastAsia="Arial" w:hAnsi="Arial"/>
                <w:sz w:val="18"/>
                <w:szCs w:val="18"/>
                <w:b w:val="1"/>
                <w:bCs w:val="1"/>
                <w:color w:val="auto"/>
                <w:w w:val="99"/>
              </w:rPr>
              <w:t>TENABLE HOLDINGS, INC.</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tcPr>
          <w:p>
            <w:pPr>
              <w:jc w:val="center"/>
              <w:ind w:left="1250"/>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24"/>
                <w:szCs w:val="24"/>
                <w:color w:val="auto"/>
              </w:rPr>
            </w:pPr>
          </w:p>
        </w:tc>
        <w:tc>
          <w:tcPr>
            <w:tcW w:w="1240" w:type="dxa"/>
            <w:vAlign w:val="bottom"/>
          </w:tcPr>
          <w:p>
            <w:pPr>
              <w:jc w:val="right"/>
              <w:ind w:right="7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60"/>
        </w:trPr>
        <w:tc>
          <w:tcPr>
            <w:tcW w:w="8440" w:type="dxa"/>
            <w:vAlign w:val="bottom"/>
            <w:gridSpan w:val="4"/>
          </w:tcPr>
          <w:p>
            <w:pPr>
              <w:ind w:left="4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6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(unaudited)</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800" w:type="dxa"/>
            <w:vAlign w:val="bottom"/>
            <w:shd w:val="clear" w:color="auto" w:fill="CCEEFF"/>
          </w:tcPr>
          <w:p>
            <w:pPr>
              <w:spacing w:after="0"/>
              <w:rPr>
                <w:sz w:val="24"/>
                <w:szCs w:val="24"/>
                <w:color w:val="auto"/>
              </w:rPr>
            </w:pPr>
          </w:p>
        </w:tc>
        <w:tc>
          <w:tcPr>
            <w:tcW w:w="6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253,026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27,210</w:t>
            </w:r>
          </w:p>
        </w:tc>
        <w:tc>
          <w:tcPr>
            <w:tcW w:w="0" w:type="dxa"/>
            <w:vAlign w:val="bottom"/>
          </w:tcPr>
          <w:p>
            <w:pPr>
              <w:spacing w:after="0"/>
              <w:rPr>
                <w:sz w:val="1"/>
                <w:szCs w:val="1"/>
                <w:color w:val="auto"/>
              </w:rPr>
            </w:pP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34,125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doubtful accounts of $196 and $160 at September 30, 2018</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20"/>
                <w:szCs w:val="20"/>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 December 31, 2017, 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59,035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50,881</w:t>
            </w:r>
          </w:p>
        </w:tc>
        <w:tc>
          <w:tcPr>
            <w:tcW w:w="0" w:type="dxa"/>
            <w:vAlign w:val="bottom"/>
          </w:tcPr>
          <w:p>
            <w:pPr>
              <w:spacing w:after="0"/>
              <w:rPr>
                <w:sz w:val="1"/>
                <w:szCs w:val="1"/>
                <w:color w:val="auto"/>
              </w:rPr>
            </w:pP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Deferred commissions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20,401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17,170</w:t>
            </w:r>
          </w:p>
        </w:tc>
        <w:tc>
          <w:tcPr>
            <w:tcW w:w="0" w:type="dxa"/>
            <w:vAlign w:val="bottom"/>
          </w:tcPr>
          <w:p>
            <w:pPr>
              <w:spacing w:after="0"/>
              <w:rPr>
                <w:sz w:val="1"/>
                <w:szCs w:val="1"/>
                <w:color w:val="auto"/>
              </w:rPr>
            </w:pPr>
          </w:p>
        </w:tc>
      </w:tr>
      <w:tr>
        <w:trPr>
          <w:trHeight w:val="270"/>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14,718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15,994</w:t>
            </w:r>
          </w:p>
        </w:tc>
        <w:tc>
          <w:tcPr>
            <w:tcW w:w="0" w:type="dxa"/>
            <w:vAlign w:val="bottom"/>
          </w:tcPr>
          <w:p>
            <w:pPr>
              <w:spacing w:after="0"/>
              <w:rPr>
                <w:sz w:val="1"/>
                <w:szCs w:val="1"/>
                <w:color w:val="auto"/>
              </w:rPr>
            </w:pPr>
          </w:p>
        </w:tc>
      </w:tr>
      <w:tr>
        <w:trPr>
          <w:trHeight w:val="250"/>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381,305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111,255</w:t>
            </w:r>
          </w:p>
        </w:tc>
        <w:tc>
          <w:tcPr>
            <w:tcW w:w="0" w:type="dxa"/>
            <w:vAlign w:val="bottom"/>
          </w:tcPr>
          <w:p>
            <w:pPr>
              <w:spacing w:after="0"/>
              <w:rPr>
                <w:sz w:val="1"/>
                <w:szCs w:val="1"/>
                <w:color w:val="auto"/>
              </w:rPr>
            </w:pP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10,872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23,546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Deferred commissions (net of current portion)</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32,483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33,006</w:t>
            </w:r>
          </w:p>
        </w:tc>
        <w:tc>
          <w:tcPr>
            <w:tcW w:w="0" w:type="dxa"/>
            <w:vAlign w:val="bottom"/>
          </w:tcPr>
          <w:p>
            <w:pPr>
              <w:spacing w:after="0"/>
              <w:rPr>
                <w:sz w:val="1"/>
                <w:szCs w:val="1"/>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77"/>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24"/>
                <w:szCs w:val="24"/>
                <w:color w:val="auto"/>
              </w:rPr>
            </w:pPr>
          </w:p>
        </w:tc>
        <w:tc>
          <w:tcPr>
            <w:tcW w:w="6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5,774</w:t>
            </w: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454,198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164,337</w:t>
            </w:r>
          </w:p>
        </w:tc>
        <w:tc>
          <w:tcPr>
            <w:tcW w:w="0" w:type="dxa"/>
            <w:vAlign w:val="bottom"/>
          </w:tcPr>
          <w:p>
            <w:pPr>
              <w:spacing w:after="0"/>
              <w:rPr>
                <w:sz w:val="1"/>
                <w:szCs w:val="1"/>
                <w:color w:val="auto"/>
              </w:rPr>
            </w:pPr>
          </w:p>
        </w:tc>
      </w:tr>
      <w:tr>
        <w:trPr>
          <w:trHeight w:val="20"/>
        </w:trPr>
        <w:tc>
          <w:tcPr>
            <w:tcW w:w="844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44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63"/>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19,734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18,482</w:t>
            </w:r>
          </w:p>
        </w:tc>
        <w:tc>
          <w:tcPr>
            <w:tcW w:w="0" w:type="dxa"/>
            <w:vAlign w:val="bottom"/>
          </w:tcPr>
          <w:p>
            <w:pPr>
              <w:spacing w:after="0"/>
              <w:rPr>
                <w:sz w:val="1"/>
                <w:szCs w:val="1"/>
                <w:color w:val="auto"/>
              </w:rPr>
            </w:pP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191,578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154,898</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5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220,317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180,346</w:t>
            </w:r>
          </w:p>
        </w:tc>
        <w:tc>
          <w:tcPr>
            <w:tcW w:w="0" w:type="dxa"/>
            <w:vAlign w:val="bottom"/>
          </w:tcPr>
          <w:p>
            <w:pPr>
              <w:spacing w:after="0"/>
              <w:rPr>
                <w:sz w:val="1"/>
                <w:szCs w:val="1"/>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22"/>
                <w:szCs w:val="22"/>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74,120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70,920</w:t>
            </w:r>
          </w:p>
        </w:tc>
        <w:tc>
          <w:tcPr>
            <w:tcW w:w="0" w:type="dxa"/>
            <w:vAlign w:val="bottom"/>
          </w:tcPr>
          <w:p>
            <w:pPr>
              <w:spacing w:after="0"/>
              <w:rPr>
                <w:sz w:val="1"/>
                <w:szCs w:val="1"/>
                <w:color w:val="auto"/>
              </w:rPr>
            </w:pP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Financing obligation</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23,096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5,199</w:t>
            </w:r>
          </w:p>
        </w:tc>
        <w:tc>
          <w:tcPr>
            <w:tcW w:w="0" w:type="dxa"/>
            <w:vAlign w:val="bottom"/>
          </w:tcPr>
          <w:p>
            <w:pPr>
              <w:spacing w:after="0"/>
              <w:rPr>
                <w:sz w:val="1"/>
                <w:szCs w:val="1"/>
                <w:color w:val="auto"/>
              </w:rPr>
            </w:pPr>
          </w:p>
        </w:tc>
      </w:tr>
      <w:tr>
        <w:trPr>
          <w:trHeight w:val="25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321,637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258,267</w:t>
            </w:r>
          </w:p>
        </w:tc>
        <w:tc>
          <w:tcPr>
            <w:tcW w:w="0" w:type="dxa"/>
            <w:vAlign w:val="bottom"/>
          </w:tcPr>
          <w:p>
            <w:pPr>
              <w:spacing w:after="0"/>
              <w:rPr>
                <w:sz w:val="1"/>
                <w:szCs w:val="1"/>
                <w:color w:val="auto"/>
              </w:rPr>
            </w:pPr>
          </w:p>
        </w:tc>
      </w:tr>
      <w:tr>
        <w:trPr>
          <w:trHeight w:val="263"/>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Commitments and contingencies (Note 5)</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Redeemable convertible Series A preferred stock (par value: $0.01; no shares authorized, issued, and</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40" w:type="dxa"/>
            <w:vAlign w:val="bottom"/>
            <w:gridSpan w:val="4"/>
            <w:shd w:val="clear" w:color="auto" w:fill="CCEEFF"/>
          </w:tcPr>
          <w:p>
            <w:pPr>
              <w:ind w:left="120"/>
              <w:spacing w:after="0" w:line="202" w:lineRule="exact"/>
              <w:rPr>
                <w:sz w:val="20"/>
                <w:szCs w:val="20"/>
                <w:color w:val="auto"/>
              </w:rPr>
            </w:pPr>
            <w:r>
              <w:rPr>
                <w:rFonts w:ascii="Arial" w:cs="Arial" w:eastAsia="Arial" w:hAnsi="Arial"/>
                <w:sz w:val="18"/>
                <w:szCs w:val="18"/>
                <w:color w:val="auto"/>
              </w:rPr>
              <w:t>outstanding at September 30, 2018; 15,848 shares authorized, issued and outstanding with liquidation</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preference of $50,000 at December 31, 2017)</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49,935</w:t>
            </w:r>
          </w:p>
        </w:tc>
        <w:tc>
          <w:tcPr>
            <w:tcW w:w="0" w:type="dxa"/>
            <w:vAlign w:val="bottom"/>
          </w:tcPr>
          <w:p>
            <w:pPr>
              <w:spacing w:after="0"/>
              <w:rPr>
                <w:sz w:val="1"/>
                <w:szCs w:val="1"/>
                <w:color w:val="auto"/>
              </w:rPr>
            </w:pPr>
          </w:p>
        </w:tc>
      </w:tr>
      <w:tr>
        <w:trPr>
          <w:trHeight w:val="229"/>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Redeemable convertible Series B preferred stock (par value: $0.01; no shares authorized, issued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44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outstanding at September 30, 2018; 42,000 shares authorized, 39,538 issued and outstanding with</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440" w:type="dxa"/>
            <w:vAlign w:val="bottom"/>
            <w:gridSpan w:val="4"/>
          </w:tcPr>
          <w:p>
            <w:pPr>
              <w:ind w:left="120"/>
              <w:spacing w:after="0"/>
              <w:rPr>
                <w:sz w:val="20"/>
                <w:szCs w:val="20"/>
                <w:color w:val="auto"/>
              </w:rPr>
            </w:pPr>
            <w:r>
              <w:rPr>
                <w:rFonts w:ascii="Arial" w:cs="Arial" w:eastAsia="Arial" w:hAnsi="Arial"/>
                <w:sz w:val="18"/>
                <w:szCs w:val="18"/>
                <w:color w:val="auto"/>
              </w:rPr>
              <w:t>liquidation preference of $230,008 at December 31, 2017)</w:t>
            </w: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227,800</w:t>
            </w:r>
          </w:p>
        </w:tc>
        <w:tc>
          <w:tcPr>
            <w:tcW w:w="0" w:type="dxa"/>
            <w:vAlign w:val="bottom"/>
          </w:tcPr>
          <w:p>
            <w:pPr>
              <w:spacing w:after="0"/>
              <w:rPr>
                <w:sz w:val="1"/>
                <w:szCs w:val="1"/>
                <w:color w:val="auto"/>
              </w:rPr>
            </w:pPr>
          </w:p>
        </w:tc>
      </w:tr>
      <w:tr>
        <w:trPr>
          <w:trHeight w:val="277"/>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Stockholders’ equity (deficit):</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4"/>
          </w:tcPr>
          <w:p>
            <w:pPr>
              <w:ind w:left="180"/>
              <w:spacing w:after="0"/>
              <w:rPr>
                <w:sz w:val="20"/>
                <w:szCs w:val="20"/>
                <w:color w:val="auto"/>
              </w:rPr>
            </w:pPr>
            <w:r>
              <w:rPr>
                <w:rFonts w:ascii="Arial" w:cs="Arial" w:eastAsia="Arial" w:hAnsi="Arial"/>
                <w:sz w:val="18"/>
                <w:szCs w:val="18"/>
                <w:color w:val="auto"/>
              </w:rPr>
              <w:t>Common stock (par value: $0.01; 500,000 and 93,855 shares authorized at September 30, 2018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180" w:type="dxa"/>
            <w:vAlign w:val="bottom"/>
            <w:gridSpan w:val="3"/>
          </w:tcPr>
          <w:p>
            <w:pPr>
              <w:spacing w:after="0" w:line="202" w:lineRule="exact"/>
              <w:rPr>
                <w:sz w:val="20"/>
                <w:szCs w:val="20"/>
                <w:color w:val="auto"/>
              </w:rPr>
            </w:pPr>
            <w:r>
              <w:rPr>
                <w:rFonts w:ascii="Arial" w:cs="Arial" w:eastAsia="Arial" w:hAnsi="Arial"/>
                <w:sz w:val="18"/>
                <w:szCs w:val="18"/>
                <w:color w:val="auto"/>
              </w:rPr>
              <w:t>December 31, 2017; 93,040 and 24,472 shares issued and outstanding at September 30, 2018 and</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December 31, 2017)</w:t>
            </w:r>
          </w:p>
        </w:tc>
        <w:tc>
          <w:tcPr>
            <w:tcW w:w="16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7"/>
        </w:trPr>
        <w:tc>
          <w:tcPr>
            <w:tcW w:w="84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578,125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20,676</w:t>
            </w:r>
          </w:p>
        </w:tc>
        <w:tc>
          <w:tcPr>
            <w:tcW w:w="0" w:type="dxa"/>
            <w:vAlign w:val="bottom"/>
          </w:tcPr>
          <w:p>
            <w:pPr>
              <w:spacing w:after="0"/>
              <w:rPr>
                <w:sz w:val="1"/>
                <w:szCs w:val="1"/>
                <w:color w:val="auto"/>
              </w:rPr>
            </w:pPr>
          </w:p>
        </w:tc>
      </w:tr>
      <w:tr>
        <w:trPr>
          <w:trHeight w:val="264"/>
        </w:trPr>
        <w:tc>
          <w:tcPr>
            <w:tcW w:w="8440" w:type="dxa"/>
            <w:vAlign w:val="bottom"/>
            <w:tcBorders>
              <w:bottom w:val="single" w:sz="8" w:color="CCEEFF"/>
            </w:tcBorders>
            <w:gridSpan w:val="4"/>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(392,587)</w:t>
            </w:r>
          </w:p>
        </w:tc>
        <w:tc>
          <w:tcPr>
            <w:tcW w:w="0" w:type="dxa"/>
            <w:vAlign w:val="bottom"/>
          </w:tcPr>
          <w:p>
            <w:pPr>
              <w:spacing w:after="0"/>
              <w:rPr>
                <w:sz w:val="1"/>
                <w:szCs w:val="1"/>
                <w:color w:val="auto"/>
              </w:rPr>
            </w:pPr>
          </w:p>
        </w:tc>
      </w:tr>
      <w:tr>
        <w:trPr>
          <w:trHeight w:val="250"/>
        </w:trPr>
        <w:tc>
          <w:tcPr>
            <w:tcW w:w="8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stockholders’ equity (deficit)</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132,561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(371,665)</w:t>
            </w:r>
          </w:p>
        </w:tc>
        <w:tc>
          <w:tcPr>
            <w:tcW w:w="0" w:type="dxa"/>
            <w:vAlign w:val="bottom"/>
          </w:tcPr>
          <w:p>
            <w:pPr>
              <w:spacing w:after="0"/>
              <w:rPr>
                <w:sz w:val="1"/>
                <w:szCs w:val="1"/>
                <w:color w:val="auto"/>
              </w:rPr>
            </w:pPr>
          </w:p>
        </w:tc>
      </w:tr>
      <w:tr>
        <w:trPr>
          <w:trHeight w:val="257"/>
        </w:trPr>
        <w:tc>
          <w:tcPr>
            <w:tcW w:w="8440" w:type="dxa"/>
            <w:vAlign w:val="bottom"/>
            <w:gridSpan w:val="4"/>
          </w:tcPr>
          <w:p>
            <w:pPr>
              <w:ind w:left="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454,198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164,337</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0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3" w:name="page4"/>
    <w:bookmarkEnd w:id="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192,139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133,610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30,768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41,556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161,371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116,400</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125,964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83,515</w:t>
            </w:r>
          </w:p>
        </w:tc>
        <w:tc>
          <w:tcPr>
            <w:tcW w:w="0" w:type="dxa"/>
            <w:vAlign w:val="bottom"/>
          </w:tcPr>
          <w:p>
            <w:pPr>
              <w:spacing w:after="0"/>
              <w:rPr>
                <w:sz w:val="1"/>
                <w:szCs w:val="1"/>
                <w:color w:val="auto"/>
              </w:rPr>
            </w:pPr>
          </w:p>
        </w:tc>
      </w:tr>
      <w:tr>
        <w:trPr>
          <w:trHeight w:val="263"/>
        </w:trPr>
        <w:tc>
          <w:tcPr>
            <w:tcW w:w="55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55,529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42,040</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13,272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32,868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19,982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78,375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52,718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214,361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145,537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(29,137)</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74,261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22,679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31"/>
              <w:spacing w:after="0"/>
              <w:rPr>
                <w:sz w:val="20"/>
                <w:szCs w:val="20"/>
                <w:color w:val="auto"/>
              </w:rPr>
            </w:pPr>
            <w:r>
              <w:rPr>
                <w:rFonts w:ascii="Arial" w:cs="Arial" w:eastAsia="Arial" w:hAnsi="Arial"/>
                <w:sz w:val="18"/>
                <w:szCs w:val="18"/>
                <w:color w:val="auto"/>
              </w:rPr>
              <w:t>40,688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22,004</w:t>
            </w:r>
          </w:p>
        </w:tc>
        <w:tc>
          <w:tcPr>
            <w:tcW w:w="0" w:type="dxa"/>
            <w:vAlign w:val="bottom"/>
          </w:tcPr>
          <w:p>
            <w:pPr>
              <w:spacing w:after="0"/>
              <w:rPr>
                <w:sz w:val="1"/>
                <w:szCs w:val="1"/>
                <w:color w:val="auto"/>
              </w:rPr>
            </w:pPr>
          </w:p>
        </w:tc>
      </w:tr>
      <w:tr>
        <w:trPr>
          <w:trHeight w:val="217"/>
        </w:trPr>
        <w:tc>
          <w:tcPr>
            <w:tcW w:w="5580" w:type="dxa"/>
            <w:vAlign w:val="bottom"/>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4" w:name="page5"/>
    <w:bookmarkEnd w:id="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420" w:type="dxa"/>
            <w:vAlign w:val="bottom"/>
          </w:tcPr>
          <w:p>
            <w:pPr>
              <w:spacing w:after="0"/>
              <w:rPr>
                <w:sz w:val="22"/>
                <w:szCs w:val="22"/>
                <w:color w:val="auto"/>
              </w:rPr>
            </w:pPr>
          </w:p>
        </w:tc>
        <w:tc>
          <w:tcPr>
            <w:tcW w:w="3760" w:type="dxa"/>
            <w:vAlign w:val="bottom"/>
            <w:tcBorders>
              <w:right w:val="single" w:sz="8" w:color="auto"/>
            </w:tcBorders>
            <w:gridSpan w:val="10"/>
          </w:tcPr>
          <w:p>
            <w:pPr>
              <w:ind w:left="600"/>
              <w:spacing w:after="0"/>
              <w:rPr>
                <w:sz w:val="20"/>
                <w:szCs w:val="20"/>
                <w:color w:val="auto"/>
              </w:rPr>
            </w:pPr>
            <w:r>
              <w:rPr>
                <w:rFonts w:ascii="Arial" w:cs="Arial" w:eastAsia="Arial" w:hAnsi="Arial"/>
                <w:sz w:val="13"/>
                <w:szCs w:val="13"/>
                <w:b w:val="1"/>
                <w:bCs w:val="1"/>
                <w:color w:val="auto"/>
              </w:rPr>
              <w:t>Redeemable Convertible Preferred Stock</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r>
      <w:tr>
        <w:trPr>
          <w:trHeight w:val="280"/>
        </w:trPr>
        <w:tc>
          <w:tcPr>
            <w:tcW w:w="2420" w:type="dxa"/>
            <w:vAlign w:val="bottom"/>
          </w:tcPr>
          <w:p>
            <w:pPr>
              <w:spacing w:after="0"/>
              <w:rPr>
                <w:sz w:val="24"/>
                <w:szCs w:val="24"/>
                <w:color w:val="auto"/>
              </w:rPr>
            </w:pPr>
          </w:p>
        </w:tc>
        <w:tc>
          <w:tcPr>
            <w:tcW w:w="174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3"/>
                <w:szCs w:val="13"/>
                <w:b w:val="1"/>
                <w:bCs w:val="1"/>
                <w:color w:val="auto"/>
              </w:rPr>
              <w:t>Series A</w:t>
            </w:r>
          </w:p>
        </w:tc>
        <w:tc>
          <w:tcPr>
            <w:tcW w:w="120" w:type="dxa"/>
            <w:vAlign w:val="bottom"/>
          </w:tcPr>
          <w:p>
            <w:pPr>
              <w:spacing w:after="0"/>
              <w:rPr>
                <w:sz w:val="24"/>
                <w:szCs w:val="24"/>
                <w:color w:val="auto"/>
              </w:rPr>
            </w:pPr>
          </w:p>
        </w:tc>
        <w:tc>
          <w:tcPr>
            <w:tcW w:w="176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3"/>
                <w:szCs w:val="13"/>
                <w:b w:val="1"/>
                <w:bCs w:val="1"/>
                <w:color w:val="auto"/>
              </w:rPr>
              <w:t>Series B</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289"/>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Paid-in</w:t>
            </w:r>
          </w:p>
        </w:tc>
        <w:tc>
          <w:tcPr>
            <w:tcW w:w="10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24"/>
                <w:szCs w:val="24"/>
                <w:color w:val="auto"/>
              </w:rPr>
            </w:pPr>
          </w:p>
        </w:tc>
        <w:tc>
          <w:tcPr>
            <w:tcW w:w="1100" w:type="dxa"/>
            <w:vAlign w:val="bottom"/>
          </w:tcPr>
          <w:p>
            <w:pPr>
              <w:jc w:val="center"/>
              <w:ind w:right="70"/>
              <w:spacing w:after="0"/>
              <w:rPr>
                <w:sz w:val="20"/>
                <w:szCs w:val="20"/>
                <w:color w:val="auto"/>
              </w:rPr>
            </w:pPr>
            <w:r>
              <w:rPr>
                <w:rFonts w:ascii="Arial" w:cs="Arial" w:eastAsia="Arial" w:hAnsi="Arial"/>
                <w:sz w:val="13"/>
                <w:szCs w:val="13"/>
                <w:b w:val="1"/>
                <w:bCs w:val="1"/>
                <w:color w:val="auto"/>
                <w:w w:val="97"/>
              </w:rPr>
              <w:t>Stockholders’</w:t>
            </w:r>
          </w:p>
        </w:tc>
      </w:tr>
      <w:tr>
        <w:trPr>
          <w:trHeight w:val="264"/>
        </w:trPr>
        <w:tc>
          <w:tcPr>
            <w:tcW w:w="2420" w:type="dxa"/>
            <w:vAlign w:val="bottom"/>
          </w:tcPr>
          <w:p>
            <w:pPr>
              <w:ind w:left="40"/>
              <w:spacing w:after="0"/>
              <w:rPr>
                <w:sz w:val="20"/>
                <w:szCs w:val="20"/>
                <w:color w:val="auto"/>
              </w:rPr>
            </w:pPr>
            <w:r>
              <w:rPr>
                <w:rFonts w:ascii="Arial" w:cs="Arial" w:eastAsia="Arial" w:hAnsi="Arial"/>
                <w:sz w:val="13"/>
                <w:szCs w:val="13"/>
                <w:b w:val="1"/>
                <w:bCs w:val="1"/>
                <w:color w:val="auto"/>
              </w:rPr>
              <w:t>(in thousands)</w:t>
            </w: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2"/>
                <w:szCs w:val="22"/>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22"/>
                <w:szCs w:val="22"/>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22"/>
                <w:szCs w:val="2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22"/>
                <w:szCs w:val="2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Deficit</w:t>
            </w:r>
          </w:p>
        </w:tc>
        <w:tc>
          <w:tcPr>
            <w:tcW w:w="140" w:type="dxa"/>
            <w:vAlign w:val="bottom"/>
          </w:tcPr>
          <w:p>
            <w:pPr>
              <w:spacing w:after="0"/>
              <w:rPr>
                <w:sz w:val="22"/>
                <w:szCs w:val="22"/>
                <w:color w:val="auto"/>
              </w:rPr>
            </w:pPr>
          </w:p>
        </w:tc>
        <w:tc>
          <w:tcPr>
            <w:tcW w:w="1100" w:type="dxa"/>
            <w:vAlign w:val="bottom"/>
          </w:tcPr>
          <w:p>
            <w:pPr>
              <w:jc w:val="center"/>
              <w:ind w:right="70"/>
              <w:spacing w:after="0"/>
              <w:rPr>
                <w:sz w:val="20"/>
                <w:szCs w:val="20"/>
                <w:color w:val="auto"/>
              </w:rPr>
            </w:pPr>
            <w:r>
              <w:rPr>
                <w:rFonts w:ascii="Arial" w:cs="Arial" w:eastAsia="Arial" w:hAnsi="Arial"/>
                <w:sz w:val="13"/>
                <w:szCs w:val="13"/>
                <w:b w:val="1"/>
                <w:bCs w:val="1"/>
                <w:color w:val="auto"/>
                <w:w w:val="95"/>
              </w:rPr>
              <w:t>Equity (Deficit)</w:t>
            </w: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Balance at December 31, 2017</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15,848</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49,935</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39,538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227,800</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24,472</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20,676</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(392,587)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(371,665)</w:t>
            </w:r>
          </w:p>
        </w:tc>
      </w:tr>
      <w:tr>
        <w:trPr>
          <w:trHeight w:val="20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Accretion of Series A and B</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62"/>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redeemable convertible preferred</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24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421</w:t>
            </w: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Exercise of stock options</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1,409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1,415</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Repurchase of common stock</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14,259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14,259</w:t>
            </w:r>
          </w:p>
        </w:tc>
      </w:tr>
      <w:tr>
        <w:trPr>
          <w:trHeight w:val="20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stock in</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62"/>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connection with initial public offering,</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2"/>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of underwriting discounts and</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62"/>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commissions and other offering</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expenses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12,535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264,674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264,799</w:t>
            </w:r>
          </w:p>
        </w:tc>
      </w:tr>
      <w:tr>
        <w:trPr>
          <w:trHeight w:val="194"/>
        </w:trPr>
        <w:tc>
          <w:tcPr>
            <w:tcW w:w="2420" w:type="dxa"/>
            <w:vAlign w:val="bottom"/>
          </w:tcPr>
          <w:p>
            <w:pPr>
              <w:ind w:left="40"/>
              <w:spacing w:after="0"/>
              <w:rPr>
                <w:sz w:val="20"/>
                <w:szCs w:val="20"/>
                <w:color w:val="auto"/>
              </w:rPr>
            </w:pPr>
            <w:r>
              <w:rPr>
                <w:rFonts w:ascii="Arial" w:cs="Arial" w:eastAsia="Arial" w:hAnsi="Arial"/>
                <w:sz w:val="14"/>
                <w:szCs w:val="14"/>
                <w:color w:val="auto"/>
              </w:rPr>
              <w:t>Conversion of redeemable</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62"/>
        </w:trPr>
        <w:tc>
          <w:tcPr>
            <w:tcW w:w="2420" w:type="dxa"/>
            <w:vAlign w:val="bottom"/>
          </w:tcPr>
          <w:p>
            <w:pPr>
              <w:ind w:left="40"/>
              <w:spacing w:after="0"/>
              <w:rPr>
                <w:sz w:val="20"/>
                <w:szCs w:val="20"/>
                <w:color w:val="auto"/>
              </w:rPr>
            </w:pPr>
            <w:r>
              <w:rPr>
                <w:rFonts w:ascii="Arial" w:cs="Arial" w:eastAsia="Arial" w:hAnsi="Arial"/>
                <w:sz w:val="14"/>
                <w:szCs w:val="14"/>
                <w:color w:val="auto"/>
              </w:rPr>
              <w:t>convertible preferred stock to</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2420" w:type="dxa"/>
            <w:vAlign w:val="bottom"/>
          </w:tcPr>
          <w:p>
            <w:pPr>
              <w:ind w:left="40"/>
              <w:spacing w:after="0"/>
              <w:rPr>
                <w:sz w:val="20"/>
                <w:szCs w:val="20"/>
                <w:color w:val="auto"/>
              </w:rPr>
            </w:pPr>
            <w:r>
              <w:rPr>
                <w:rFonts w:ascii="Arial" w:cs="Arial" w:eastAsia="Arial" w:hAnsi="Arial"/>
                <w:sz w:val="14"/>
                <w:szCs w:val="14"/>
                <w:color w:val="auto"/>
              </w:rPr>
              <w:t>common stock upon initial public</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8"/>
        </w:trPr>
        <w:tc>
          <w:tcPr>
            <w:tcW w:w="2420" w:type="dxa"/>
            <w:vAlign w:val="bottom"/>
          </w:tcPr>
          <w:p>
            <w:pPr>
              <w:ind w:left="40"/>
              <w:spacing w:after="0"/>
              <w:rPr>
                <w:sz w:val="20"/>
                <w:szCs w:val="20"/>
                <w:color w:val="auto"/>
              </w:rPr>
            </w:pPr>
            <w:r>
              <w:rPr>
                <w:rFonts w:ascii="Arial" w:cs="Arial" w:eastAsia="Arial" w:hAnsi="Arial"/>
                <w:sz w:val="14"/>
                <w:szCs w:val="14"/>
                <w:color w:val="auto"/>
              </w:rPr>
              <w:t>offering</w:t>
            </w: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(15,848)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(49,948)</w:t>
            </w:r>
          </w:p>
        </w:tc>
        <w:tc>
          <w:tcPr>
            <w:tcW w:w="12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(39,538)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(228,221)</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55,386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277,615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278,169</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(53,907)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(53,907)</w:t>
            </w:r>
          </w:p>
        </w:tc>
      </w:tr>
      <w:tr>
        <w:trPr>
          <w:trHeight w:val="243"/>
        </w:trPr>
        <w:tc>
          <w:tcPr>
            <w:tcW w:w="2420" w:type="dxa"/>
            <w:vAlign w:val="bottom"/>
          </w:tcPr>
          <w:p>
            <w:pPr>
              <w:ind w:left="40"/>
              <w:spacing w:after="0"/>
              <w:rPr>
                <w:sz w:val="20"/>
                <w:szCs w:val="20"/>
                <w:color w:val="auto"/>
              </w:rPr>
            </w:pPr>
            <w:r>
              <w:rPr>
                <w:rFonts w:ascii="Arial" w:cs="Arial" w:eastAsia="Arial" w:hAnsi="Arial"/>
                <w:sz w:val="14"/>
                <w:szCs w:val="14"/>
                <w:color w:val="auto"/>
              </w:rPr>
              <w:t>Balance at September 30, 2018</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4"/>
                <w:szCs w:val="14"/>
                <w:color w:val="auto"/>
              </w:rPr>
              <w:t>93,040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578,125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(446,494)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0"/>
              <w:spacing w:after="0"/>
              <w:rPr>
                <w:sz w:val="20"/>
                <w:szCs w:val="20"/>
                <w:color w:val="auto"/>
              </w:rPr>
            </w:pPr>
            <w:r>
              <w:rPr>
                <w:rFonts w:ascii="Arial" w:cs="Arial" w:eastAsia="Arial" w:hAnsi="Arial"/>
                <w:sz w:val="14"/>
                <w:szCs w:val="14"/>
                <w:color w:val="auto"/>
              </w:rPr>
              <w:t>132,561</w:t>
            </w:r>
          </w:p>
        </w:tc>
      </w:tr>
      <w:tr>
        <w:trPr>
          <w:trHeight w:val="20"/>
        </w:trPr>
        <w:tc>
          <w:tcPr>
            <w:tcW w:w="2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5" w:name="page6"/>
    <w:bookmarkEnd w:id="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2017</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(53,907)</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(29,353)</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4,580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3,316</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5,503</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486</w:t>
            </w:r>
          </w:p>
        </w:tc>
      </w:tr>
      <w:tr>
        <w:trPr>
          <w:trHeight w:val="277"/>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63"/>
        </w:trPr>
        <w:tc>
          <w:tcPr>
            <w:tcW w:w="81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commissions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2,485</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Accrued compensation</w:t>
            </w: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77"/>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40,066</w:t>
            </w:r>
          </w:p>
        </w:tc>
      </w:tr>
      <w:tr>
        <w:trPr>
          <w:trHeight w:val="263"/>
        </w:trPr>
        <w:tc>
          <w:tcPr>
            <w:tcW w:w="810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8100" w:type="dxa"/>
            <w:vAlign w:val="bottom"/>
          </w:tcPr>
          <w:p>
            <w:pPr>
              <w:ind w:left="50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(814)</w:t>
            </w:r>
          </w:p>
        </w:tc>
      </w:tr>
      <w:tr>
        <w:trPr>
          <w:trHeight w:val="250"/>
        </w:trPr>
        <w:tc>
          <w:tcPr>
            <w:tcW w:w="8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1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(38,254)</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r>
      <w:tr>
        <w:trPr>
          <w:trHeight w:val="243"/>
        </w:trPr>
        <w:tc>
          <w:tcPr>
            <w:tcW w:w="8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268,531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Payments of costs related to initial public offering</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Principal payments under capital lease obligations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facility issuance costs</w:t>
            </w:r>
          </w:p>
        </w:tc>
        <w:tc>
          <w:tcPr>
            <w:tcW w:w="2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Proceeds from the exercise of stock options</w:t>
            </w:r>
          </w:p>
        </w:tc>
        <w:tc>
          <w:tcPr>
            <w:tcW w:w="24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2,847</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Repurchases of common stock</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50"/>
        </w:trPr>
        <w:tc>
          <w:tcPr>
            <w:tcW w:w="810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265,750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2,051</w:t>
            </w:r>
          </w:p>
        </w:tc>
      </w:tr>
      <w:tr>
        <w:trPr>
          <w:trHeight w:val="270"/>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50"/>
        </w:trPr>
        <w:tc>
          <w:tcPr>
            <w:tcW w:w="81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225,816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27,472</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34,470</w:t>
            </w:r>
          </w:p>
        </w:tc>
      </w:tr>
      <w:tr>
        <w:trPr>
          <w:trHeight w:val="290"/>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Cash and cash equivalents and restricted cash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253,288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34,101</w:t>
            </w:r>
          </w:p>
        </w:tc>
      </w:tr>
      <w:tr>
        <w:trPr>
          <w:trHeight w:val="224"/>
        </w:trPr>
        <w:tc>
          <w:tcPr>
            <w:tcW w:w="8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Assets acquired under capital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21,294</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4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6" w:name="page7"/>
    <w:bookmarkEnd w:id="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TENABLE HOLDINGS,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47"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Tenable Holdings, Inc. (the “Company,” “we,” "us," or “our”) is a provider of Cyber Exposure solutions, which is a discipline for managing and measuring cybersecurity risk in the digital era. Our enterprise software platform enables broad visibility into an organization’s cyber exposure across the modern attack surface and deep insights that help organizations translate technical data into business insights to understand and reduce their cybersecurity risk.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All intercompany accounts and transactions have been eliminated in consolidation.</w:t>
      </w:r>
    </w:p>
    <w:p>
      <w:pPr>
        <w:spacing w:after="0" w:line="19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consolidated financial statements have been prepared in conformity with United States generally accepted accounting principles (“GAAP”) for interim financial information. The consolidated statements are unaudited and should be read in conjunction with the consolidated financial statements and related notes included in our final prospectus for our initial public offering ("IPO") dated as of July 25, 2018 and filed with the Securities and Exchange Commission pursuant to Rule 424(b)(4) under the Securities Act of 1933, as amended, on July 26, 2018 ("Prospectus").</w:t>
      </w:r>
    </w:p>
    <w:p>
      <w:pPr>
        <w:spacing w:after="0" w:line="20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consolidated financial statements have been prepared on a basis consistent with the audited annual consolidated financial statements included in the Prospectus and, in the opinion of management, include all adjustments of a normal recurring nature necessary to fairly state our financial position, our results of operations, and cash flows.</w:t>
      </w:r>
    </w:p>
    <w:p>
      <w:pPr>
        <w:spacing w:after="0" w:line="202"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The results for the nine months ended September 30, 2018 are not necessarily indicative of the operating results expected for the year ending December 31, 2018.</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from the full exercise of their over-allotment option. All of the shares sold in the IPO were sold by the Company. We received net proceeds of $264.8 million after deducting underwriting discounts and commissions and other offering expenses.</w:t>
      </w:r>
    </w:p>
    <w:p>
      <w:pPr>
        <w:spacing w:after="0" w:line="202" w:lineRule="exact"/>
        <w:rPr>
          <w:sz w:val="20"/>
          <w:szCs w:val="20"/>
          <w:color w:val="auto"/>
        </w:rPr>
      </w:pPr>
    </w:p>
    <w:p>
      <w:pPr>
        <w:ind w:right="800" w:firstLine="324"/>
        <w:spacing w:after="0" w:line="250" w:lineRule="auto"/>
        <w:rPr>
          <w:sz w:val="20"/>
          <w:szCs w:val="20"/>
          <w:color w:val="auto"/>
        </w:rPr>
      </w:pPr>
      <w:r>
        <w:rPr>
          <w:rFonts w:ascii="Arial" w:cs="Arial" w:eastAsia="Arial" w:hAnsi="Arial"/>
          <w:sz w:val="18"/>
          <w:szCs w:val="18"/>
          <w:color w:val="auto"/>
        </w:rPr>
        <w:t>Upon the completion of our IPO, all 15,847,500 shares of our Series A Redeemable Convertible Preferred Stock ("Series A") and 39,538,354 shares of our Series B Redeemable Convertible Preferred Stock ("Series B") automatically converted into an aggregate</w:t>
      </w:r>
    </w:p>
    <w:p>
      <w:pPr>
        <w:spacing w:after="0" w:line="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of 55,385,854 shares of our common stock. Our newly adopted Amended and Restated Certificate of Incorporation authorizes a total of 500,000,000 shares of common stock and 10,000,000 shares of preferred stock.</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useful lives of long-lived assets, the valuation of stock-based compensation, including the estimated underlying fair value of our common stock prior to our IPO, and the valuation of deferred tax assets. We base these estimates on historical experience and on various other assumptions that we believe to be reasonable. Actual results could differ significantly from these estimates.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40" w:right="279" w:bottom="1440" w:gutter="0" w:footer="0" w:header="0"/>
        </w:sectPr>
      </w:pPr>
    </w:p>
    <w:bookmarkStart w:id="7" w:name="page8"/>
    <w:bookmarkEnd w:id="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47" w:lineRule="exact"/>
        <w:rPr>
          <w:sz w:val="20"/>
          <w:szCs w:val="20"/>
          <w:color w:val="auto"/>
        </w:rPr>
      </w:pPr>
    </w:p>
    <w:p>
      <w:pPr>
        <w:ind w:right="360" w:firstLine="324"/>
        <w:spacing w:after="0" w:line="256" w:lineRule="auto"/>
        <w:rPr>
          <w:sz w:val="20"/>
          <w:szCs w:val="20"/>
          <w:color w:val="auto"/>
        </w:rPr>
      </w:pPr>
      <w:r>
        <w:rPr>
          <w:rFonts w:ascii="Arial" w:cs="Arial" w:eastAsia="Arial" w:hAnsi="Arial"/>
          <w:sz w:val="18"/>
          <w:szCs w:val="18"/>
          <w:color w:val="auto"/>
        </w:rPr>
        <w:t>We currently invest in commercial paper, corporate bonds, and U.S. treasury and agency obligations. Our investments are classified as available-for-sale and recorded at fair value, with unrealized gains and losses reported in accumulated other comprehensive loss within stockholders’ equity (deficit). We review our investment portfolio to determine whether investments have indicators of possible impairment.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We early adopted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on January 1, 2017 using the modified retrospective method and applying the guidance to all contracts as of January 1, 2017. The most significant impact of adopting ASC 606 was the deferral of perpetual license revenue over an estimated economic life, including estimated maintenance renewal periods, whereas under the previous guidance we recognized perpetual license revenue upon delivery of the perpetual license. Additionally, the incremental costs of obtaining a contract with a customer are deferred, and will be amortized over a longer estimated period of benefit, whereas under previous guidance we amortized such costs over the contract term.</w:t>
      </w:r>
    </w:p>
    <w:p>
      <w:pPr>
        <w:spacing w:after="0" w:line="20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core principle of ASC 606 is that revenue should be recognized to depict the transfer of promised goods or services to customers in an amount that reflects the consideration to which the entity expects to be entitled in exchange for those goods or services. To achieve the core principle of ASC 606, we apply the following steps:</w:t>
      </w:r>
    </w:p>
    <w:p>
      <w:pPr>
        <w:spacing w:after="0" w:line="229"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03" w:lineRule="exact"/>
        <w:rPr>
          <w:rFonts w:ascii="Arial" w:cs="Arial" w:eastAsia="Arial" w:hAnsi="Arial"/>
          <w:sz w:val="18"/>
          <w:szCs w:val="18"/>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39"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80" w:type="dxa"/>
            <w:vAlign w:val="bottom"/>
          </w:tcPr>
          <w:p>
            <w:pPr>
              <w:spacing w:after="0"/>
              <w:rPr>
                <w:sz w:val="19"/>
                <w:szCs w:val="19"/>
                <w:color w:val="auto"/>
              </w:rPr>
            </w:pPr>
          </w:p>
        </w:tc>
        <w:tc>
          <w:tcPr>
            <w:tcW w:w="3020" w:type="dxa"/>
            <w:vAlign w:val="bottom"/>
            <w:gridSpan w:val="6"/>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920" w:type="dxa"/>
            <w:vAlign w:val="bottom"/>
            <w:gridSpan w:val="5"/>
          </w:tcPr>
          <w:p>
            <w:pPr>
              <w:jc w:val="right"/>
              <w:ind w:right="32"/>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Subscription revenue</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53,511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34,932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146,568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93,478</w:t>
            </w: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color w:val="auto"/>
              </w:rPr>
              <w:t>Perpetual license and maintenance revenue</w:t>
            </w: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13,864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12,857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40,753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37,129</w:t>
            </w: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Professional services and other revenue</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4,818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3,003</w:t>
            </w:r>
          </w:p>
        </w:tc>
      </w:tr>
      <w:tr>
        <w:trPr>
          <w:trHeight w:val="257"/>
        </w:trPr>
        <w:tc>
          <w:tcPr>
            <w:tcW w:w="54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69,440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48,980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192,139</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133,610</w:t>
            </w: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Subscription Revenue</w:t>
      </w:r>
    </w:p>
    <w:p>
      <w:pPr>
        <w:spacing w:after="0" w:line="24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Subscription arrangements generally have annual or multi-year contractual terms and allow customers to use our software or cloud solutions, including ongoing software updates and the ability to identify the latest cybersecurity vulnerabilities. Revenue is recognized ratably over the subscription term given the critical utility provided by the ongoing updates that are released throughout the contract period.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4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perpetual licenses are generally sold with one or more years of maintenance, which include ongoing software updates and the ongoing ability to identify the latest cybersecurity vulnerabilities. Given the critical utility provided by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8" w:name="page9"/>
    <w:bookmarkEnd w:id="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4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Consideration</w:t>
      </w:r>
    </w:p>
    <w:p>
      <w:pPr>
        <w:spacing w:after="0" w:line="24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Concentrations</w:t>
      </w:r>
    </w:p>
    <w:p>
      <w:pPr>
        <w:spacing w:after="0" w:line="243"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We sell our products and services through a channel network of distributors and resellers, along with our own sales teams. We derived 88%, 87%, 84% and 82% of revenue through our channel network in the three and nine months ended September 30, 2018 and 2017, respectively. One of our distributors accounted for 46%, 46%, 43% and 42% of revenue in the three and nine months ended September 30, 2018 and 2017, respectively. That same distributor accounted for 47% of accounts receivable at September 30, 2018.</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and nine months ended September 30, 2018 and 2017, we recognized revenue of $62.5 million, $133.3 million, $43.6 million and $91.9 million, respectively, that was included in the deferred revenue balance at the beginning of each of the respective periods.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40" w:right="259" w:bottom="1440" w:gutter="0" w:footer="0" w:header="0"/>
        </w:sectPr>
      </w:pPr>
    </w:p>
    <w:bookmarkStart w:id="9" w:name="page10"/>
    <w:bookmarkEnd w:id="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Remaining Performance Obligations</w:t>
      </w:r>
    </w:p>
    <w:p>
      <w:pPr>
        <w:spacing w:after="0" w:line="24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At September 30, 2018, the future estimated revenue related to unsatisfied performance obligations was $267.9 million, with 72% expected to be recognized as revenue over the succeeding twelve months, and the remainder expected to be recognized over the four years thereafter.</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4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 in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50,805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36,252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50,176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30,118</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Capitalization of contract acquisition costs</w:t>
            </w: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9,032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16,985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21,194</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deferred contract acquisition costs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(9,919)</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52,884</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41,393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52,884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41,393</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60" w:firstLine="324"/>
        <w:spacing w:after="0" w:line="262" w:lineRule="auto"/>
        <w:rPr>
          <w:sz w:val="20"/>
          <w:szCs w:val="20"/>
          <w:color w:val="auto"/>
        </w:rPr>
      </w:pPr>
      <w:r>
        <w:rPr>
          <w:rFonts w:ascii="Arial" w:cs="Arial" w:eastAsia="Arial" w:hAnsi="Arial"/>
          <w:sz w:val="18"/>
          <w:szCs w:val="18"/>
          <w:color w:val="auto"/>
        </w:rPr>
        <w:t>Amortization of deferred contract acquisition costs is included in sales and marketing expense in the consolidated statements of operations and comprehensive loss.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Construction in Progress</w:t>
      </w:r>
    </w:p>
    <w:p>
      <w:pPr>
        <w:spacing w:after="0" w:line="247"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In October 2017, we entered into a lease for our new corporate headquarters, which is currently being constructed in Columbia, Maryland. The lease has an anticipated start date in the third quarter of 2019 with a 12-year initial term and $68.2 million of lease payments. Under current accounting guidance for build-to-suit lease arrangements, we concluded that we are the deemed owner of the building during the construction period. Accordingly, we recorded a construction-in-progress asset of $ 23.5 million and $2.3 million, for which there is a corresponding construction financing obligation of $23.1 million and $1.8 million, in each case net of a $0.5 million deposit, recorded in the consolidated balance sheets at September 30, 2018 and December 31, 2017, respectively. We will continue to increase the construction-in-progress asset and corresponding financing obligation as additional building costs are incurred by the landlord during the construction period. Upon completion of the construction, we will evaluate whether or not this arrangement meets the criteria for sale-leaseback accounting treatment.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No. 2016-02 -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will require, among other items, lessees to recognize a right-of-use asset and a lease liability for most leases. ASU 2016-02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will be effective for us beginning January 1, 2019, with early adoption permitted. In July 2018, the FASB issued ASU 2018-11, Leases (Topic 842), </w:t>
      </w:r>
      <w:r>
        <w:rPr>
          <w:rFonts w:ascii="Arial" w:cs="Arial" w:eastAsia="Arial" w:hAnsi="Arial"/>
          <w:sz w:val="18"/>
          <w:szCs w:val="18"/>
          <w:i w:val="1"/>
          <w:iCs w:val="1"/>
          <w:color w:val="auto"/>
        </w:rPr>
        <w:t>Targeted Improvements</w:t>
      </w:r>
      <w:r>
        <w:rPr>
          <w:rFonts w:ascii="Arial" w:cs="Arial" w:eastAsia="Arial" w:hAnsi="Arial"/>
          <w:sz w:val="18"/>
          <w:szCs w:val="18"/>
          <w:color w:val="auto"/>
        </w:rPr>
        <w:t>, which provides an adoption method that would allow companies to apply the new guidance to the financial statements in the period of adoption and thereafter, and not apply the new guidance to comparative periods presented. While we are evaluating the impact of this standard, including the adoption methodology, to determine the impact on our consolidated financial statements, we believe the most significant impact will be the recognition of a material right-of-use asset and lease liability for our facility leases.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0" w:name="page11"/>
    <w:bookmarkEnd w:id="1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47" w:lineRule="exact"/>
        <w:rPr>
          <w:sz w:val="20"/>
          <w:szCs w:val="20"/>
          <w:color w:val="auto"/>
        </w:rPr>
      </w:pPr>
    </w:p>
    <w:p>
      <w:pPr>
        <w:ind w:right="480" w:firstLine="324"/>
        <w:spacing w:after="0" w:line="262"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63" w:lineRule="exact"/>
        <w:rPr>
          <w:rFonts w:ascii="Arial" w:cs="Arial" w:eastAsia="Arial" w:hAnsi="Arial"/>
          <w:sz w:val="18"/>
          <w:szCs w:val="18"/>
          <w:color w:val="auto"/>
        </w:rPr>
      </w:pPr>
    </w:p>
    <w:p>
      <w:pPr>
        <w:ind w:left="660" w:right="640" w:hanging="328"/>
        <w:spacing w:after="0" w:line="28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assets that are measured at fair value on a recurring basis at September 30,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2"/>
              <w:spacing w:after="0"/>
              <w:rPr>
                <w:sz w:val="20"/>
                <w:szCs w:val="20"/>
                <w:color w:val="auto"/>
              </w:rPr>
            </w:pPr>
            <w:r>
              <w:rPr>
                <w:rFonts w:ascii="Arial" w:cs="Arial" w:eastAsia="Arial" w:hAnsi="Arial"/>
                <w:sz w:val="16"/>
                <w:szCs w:val="16"/>
                <w:b w:val="1"/>
                <w:bCs w:val="1"/>
                <w:color w:val="auto"/>
              </w:rPr>
              <w:t>Total</w:t>
            </w:r>
          </w:p>
        </w:tc>
      </w:tr>
      <w:tr>
        <w:trPr>
          <w:trHeight w:val="270"/>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3"/>
        </w:trPr>
        <w:tc>
          <w:tcPr>
            <w:tcW w:w="51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119,718</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119,718</w:t>
            </w:r>
          </w:p>
        </w:tc>
      </w:tr>
      <w:tr>
        <w:trPr>
          <w:trHeight w:val="331"/>
        </w:trPr>
        <w:tc>
          <w:tcPr>
            <w:tcW w:w="5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31,040</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31,040</w:t>
            </w: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22"/>
                <w:szCs w:val="22"/>
                <w:color w:val="auto"/>
              </w:rPr>
            </w:pPr>
          </w:p>
        </w:tc>
        <w:tc>
          <w:tcPr>
            <w:tcW w:w="1100" w:type="dxa"/>
            <w:vAlign w:val="bottom"/>
          </w:tcPr>
          <w:p>
            <w:pPr>
              <w:jc w:val="right"/>
              <w:ind w:right="892"/>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3,085</w:t>
            </w:r>
          </w:p>
        </w:tc>
      </w:tr>
    </w:tbl>
    <w:p>
      <w:pPr>
        <w:spacing w:after="0" w:line="200" w:lineRule="exact"/>
        <w:rPr>
          <w:sz w:val="20"/>
          <w:szCs w:val="20"/>
          <w:color w:val="auto"/>
        </w:rPr>
      </w:pPr>
    </w:p>
    <w:p>
      <w:pPr>
        <w:spacing w:after="0" w:line="245"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We did not have any liabilities measured and recorded at fair value at September 30, 2018, and we did not have any assets or liabilities measured at fair value at December 31,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September 30,</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824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2017</w:t>
            </w:r>
          </w:p>
        </w:tc>
      </w:tr>
      <w:tr>
        <w:trPr>
          <w:trHeight w:val="257"/>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Computer software and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11,625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9,089</w:t>
            </w:r>
          </w:p>
        </w:tc>
      </w:tr>
      <w:tr>
        <w:trPr>
          <w:trHeight w:val="263"/>
        </w:trPr>
        <w:tc>
          <w:tcPr>
            <w:tcW w:w="8240" w:type="dxa"/>
            <w:vAlign w:val="bottom"/>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22"/>
                <w:szCs w:val="22"/>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2,102</w:t>
            </w:r>
          </w:p>
        </w:tc>
      </w:tr>
      <w:tr>
        <w:trPr>
          <w:trHeight w:val="277"/>
        </w:trPr>
        <w:tc>
          <w:tcPr>
            <w:tcW w:w="8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7,096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6,452</w:t>
            </w:r>
          </w:p>
        </w:tc>
      </w:tr>
      <w:tr>
        <w:trPr>
          <w:trHeight w:val="264"/>
        </w:trPr>
        <w:tc>
          <w:tcPr>
            <w:tcW w:w="8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Equipment under capital leases</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1,839</w:t>
            </w:r>
          </w:p>
        </w:tc>
      </w:tr>
      <w:tr>
        <w:trPr>
          <w:trHeight w:val="257"/>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22,863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19,482</w:t>
            </w:r>
          </w:p>
        </w:tc>
      </w:tr>
      <w:tr>
        <w:trPr>
          <w:trHeight w:val="264"/>
        </w:trPr>
        <w:tc>
          <w:tcPr>
            <w:tcW w:w="82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(8,728)</w:t>
            </w:r>
          </w:p>
        </w:tc>
      </w:tr>
      <w:tr>
        <w:trPr>
          <w:trHeight w:val="257"/>
        </w:trPr>
        <w:tc>
          <w:tcPr>
            <w:tcW w:w="8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10,872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10,754</w:t>
            </w:r>
          </w:p>
        </w:tc>
      </w:tr>
      <w:tr>
        <w:trPr>
          <w:trHeight w:val="20"/>
        </w:trPr>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Depreciation and amortization related to property and equipment was $1.4 million, $4.1 million, $1.1 million and $2.9 million in the three and nine months ended September 30,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4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On May 4, 2017, we entered into a $25.0 million revolving credit facility (“Credit Facility”) with Silicon Valley Bank, which is available for use until May 4, 2020. The Credit Facility is intended to be used to fund working capital and to provide increased liquidity and financial flexibility and bears interest at either LIBOR plus 2%, or the lender's prime rate plus 1%. In addition, we pay quarterly in arrears 0.25% of the average unused portion. The Credit Facility is secured by a first priority security interest in all of our assets, with a negative pledge on our Intellectual Property, as defined in the credit agreement.</w:t>
      </w:r>
    </w:p>
    <w:p>
      <w:pPr>
        <w:spacing w:after="0" w:line="206"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The Credit Facility contains certain restrictive covenants customary for facilities of this type including restrictions on indebtedness, liens, acquisitions and investments, restricted payments and dispositions. If, as of the last day of 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1" w:name="page12"/>
    <w:bookmarkEnd w:id="1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quarter, the outstanding balance of the Credit Facility exceeds $5.0 million, there are financial covenants that require us to maintain a minimum level of earnings before income taxes, interest, depreciation and amortization (“EBITDA”) adjusted to add changes in deferred revenue in the period, and a minimum current ratio level. There were no borrowings under the Credit Facility during the nine months ended September 30, 2018 or in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and Capital Leases</w:t>
      </w:r>
    </w:p>
    <w:p>
      <w:pPr>
        <w:spacing w:after="0" w:line="24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have entered into various non-cancelable operating leases, primarily related to office real estate, that expire through 2022 and generally contain renewal options for up to five years. Rent expense was $1.4 million, $3.8 million, $1.0 million and $2.6 million in the three and nine months ended September 30, 2018 and 2017, respectively.</w:t>
      </w:r>
    </w:p>
    <w:p>
      <w:pPr>
        <w:spacing w:after="0" w:line="202" w:lineRule="exact"/>
        <w:rPr>
          <w:sz w:val="20"/>
          <w:szCs w:val="20"/>
          <w:color w:val="auto"/>
        </w:rPr>
      </w:pPr>
    </w:p>
    <w:p>
      <w:pPr>
        <w:ind w:right="540" w:firstLine="324"/>
        <w:spacing w:after="0" w:line="262" w:lineRule="auto"/>
        <w:rPr>
          <w:sz w:val="20"/>
          <w:szCs w:val="20"/>
          <w:color w:val="auto"/>
        </w:rPr>
      </w:pPr>
      <w:r>
        <w:rPr>
          <w:rFonts w:ascii="Arial" w:cs="Arial" w:eastAsia="Arial" w:hAnsi="Arial"/>
          <w:sz w:val="18"/>
          <w:szCs w:val="18"/>
          <w:color w:val="auto"/>
        </w:rPr>
        <w:t>We also lease computer and office equipment under non-cancelable capital leases that expire through 2022. The total obligations for capital lease arrangements were $1.1 million and $1.5 million at September 30, 2018 and December 31, 2017, respectively.</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non-cancelable lease payments for operating and capital leases at September 30, 2018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8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83"/>
        </w:trPr>
        <w:tc>
          <w:tcPr>
            <w:tcW w:w="9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Years ending December 31:</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9880" w:type="dxa"/>
            <w:vAlign w:val="bottom"/>
          </w:tcPr>
          <w:p>
            <w:pPr>
              <w:ind w:left="220"/>
              <w:spacing w:after="0"/>
              <w:rPr>
                <w:sz w:val="20"/>
                <w:szCs w:val="20"/>
                <w:color w:val="auto"/>
              </w:rPr>
            </w:pPr>
            <w:r>
              <w:rPr>
                <w:rFonts w:ascii="Arial" w:cs="Arial" w:eastAsia="Arial" w:hAnsi="Arial"/>
                <w:sz w:val="18"/>
                <w:szCs w:val="18"/>
                <w:color w:val="auto"/>
              </w:rPr>
              <w:t>2018</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1,404</w:t>
            </w:r>
          </w:p>
        </w:tc>
      </w:tr>
      <w:tr>
        <w:trPr>
          <w:trHeight w:val="263"/>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5,553</w:t>
            </w:r>
          </w:p>
        </w:tc>
      </w:tr>
      <w:tr>
        <w:trPr>
          <w:trHeight w:val="250"/>
        </w:trPr>
        <w:tc>
          <w:tcPr>
            <w:tcW w:w="9880" w:type="dxa"/>
            <w:vAlign w:val="bottom"/>
          </w:tcPr>
          <w:p>
            <w:pPr>
              <w:ind w:left="220"/>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4,197</w:t>
            </w:r>
          </w:p>
        </w:tc>
      </w:tr>
      <w:tr>
        <w:trPr>
          <w:trHeight w:val="263"/>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5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7,431</w:t>
            </w:r>
          </w:p>
        </w:tc>
      </w:tr>
      <w:tr>
        <w:trPr>
          <w:trHeight w:val="250"/>
        </w:trPr>
        <w:tc>
          <w:tcPr>
            <w:tcW w:w="9880" w:type="dxa"/>
            <w:vAlign w:val="bottom"/>
          </w:tcPr>
          <w:p>
            <w:pPr>
              <w:ind w:left="220"/>
              <w:spacing w:after="0"/>
              <w:rPr>
                <w:sz w:val="20"/>
                <w:szCs w:val="20"/>
                <w:color w:val="auto"/>
              </w:rPr>
            </w:pPr>
            <w:r>
              <w:rPr>
                <w:rFonts w:ascii="Arial" w:cs="Arial" w:eastAsia="Arial" w:hAnsi="Arial"/>
                <w:sz w:val="18"/>
                <w:szCs w:val="18"/>
                <w:color w:val="auto"/>
              </w:rPr>
              <w:t>2022</w:t>
            </w:r>
          </w:p>
        </w:tc>
        <w:tc>
          <w:tcPr>
            <w:tcW w:w="5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6,183</w:t>
            </w:r>
          </w:p>
        </w:tc>
      </w:tr>
      <w:tr>
        <w:trPr>
          <w:trHeight w:val="257"/>
        </w:trPr>
        <w:tc>
          <w:tcPr>
            <w:tcW w:w="9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58,294</w:t>
            </w:r>
          </w:p>
        </w:tc>
      </w:tr>
      <w:tr>
        <w:trPr>
          <w:trHeight w:val="257"/>
        </w:trPr>
        <w:tc>
          <w:tcPr>
            <w:tcW w:w="9880" w:type="dxa"/>
            <w:vAlign w:val="bottom"/>
          </w:tcPr>
          <w:p>
            <w:pPr>
              <w:ind w:left="40"/>
              <w:spacing w:after="0"/>
              <w:rPr>
                <w:sz w:val="20"/>
                <w:szCs w:val="20"/>
                <w:color w:val="auto"/>
              </w:rPr>
            </w:pPr>
            <w:r>
              <w:rPr>
                <w:rFonts w:ascii="Arial" w:cs="Arial" w:eastAsia="Arial" w:hAnsi="Arial"/>
                <w:sz w:val="18"/>
                <w:szCs w:val="18"/>
                <w:color w:val="auto"/>
              </w:rPr>
              <w:t>Total future minimum lease payments</w:t>
            </w:r>
          </w:p>
        </w:tc>
        <w:tc>
          <w:tcPr>
            <w:tcW w:w="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83,062</w:t>
            </w:r>
          </w:p>
        </w:tc>
      </w:tr>
      <w:tr>
        <w:trPr>
          <w:trHeight w:val="20"/>
        </w:trPr>
        <w:tc>
          <w:tcPr>
            <w:tcW w:w="98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Total future minimum lease payments at September 30, 2018 includes $68.2 million of future lease payments related to the lease of our new headquarters, which is currently being constructed in Columbia, Maryland. These lease payments are expected to commence in the first quarter of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w:t>
      </w:r>
    </w:p>
    <w:p>
      <w:pPr>
        <w:spacing w:after="0" w:line="24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October 2012, Tenable Inc. (now a wholly owned subsidiary of Tenable Holdings, Inc.) issued 15,847,500 shares of Series A redeemable convertible preferred stock. In December 2015, we issued 15,847,500 shares, par value of $0.01, of Series A redeemable convertible preferred stock ("Series A") in exchange for Series A redeemable convertible preferred stock of Tenable, Inc. in connection with a recapitalization. This exchange was made on a one for one basis. In addition, we authorized 42,000,000 shares and issued 39,538,354 shares, par value of $0.01, of Series B redeemable convertible preferred stock ("Series B"). Upon completion of our IPO, Series A and Series B (together, the “Redeemable Convertible Preferred Stock”) automatically converted into an aggregate of 55,385,854 shares of our common stock.</w:t>
      </w:r>
    </w:p>
    <w:p>
      <w:pPr>
        <w:spacing w:after="0" w:line="193" w:lineRule="exact"/>
        <w:rPr>
          <w:sz w:val="20"/>
          <w:szCs w:val="20"/>
          <w:color w:val="auto"/>
        </w:rPr>
      </w:pPr>
    </w:p>
    <w:p>
      <w:pPr>
        <w:ind w:right="560" w:firstLine="324"/>
        <w:spacing w:after="0" w:line="262" w:lineRule="auto"/>
        <w:rPr>
          <w:sz w:val="20"/>
          <w:szCs w:val="20"/>
          <w:color w:val="auto"/>
        </w:rPr>
      </w:pPr>
      <w:r>
        <w:rPr>
          <w:rFonts w:ascii="Arial" w:cs="Arial" w:eastAsia="Arial" w:hAnsi="Arial"/>
          <w:sz w:val="18"/>
          <w:szCs w:val="18"/>
          <w:color w:val="auto"/>
        </w:rPr>
        <w:t>We accreted the Redeemable Convertible Preferred Stock to the redemption price at the redemption date using the effective interest method. Upon completion of our IPO, the accretion rights of the Redeemable Convertible Preferred Stock were terminated.</w:t>
      </w:r>
    </w:p>
    <w:p>
      <w:pPr>
        <w:spacing w:after="0" w:line="196" w:lineRule="exact"/>
        <w:rPr>
          <w:sz w:val="20"/>
          <w:szCs w:val="20"/>
          <w:color w:val="auto"/>
        </w:rPr>
      </w:pPr>
    </w:p>
    <w:p>
      <w:pPr>
        <w:ind w:right="600" w:firstLine="324"/>
        <w:spacing w:after="0" w:line="256" w:lineRule="auto"/>
        <w:rPr>
          <w:sz w:val="20"/>
          <w:szCs w:val="20"/>
          <w:color w:val="auto"/>
        </w:rPr>
      </w:pPr>
      <w:r>
        <w:rPr>
          <w:rFonts w:ascii="Arial" w:cs="Arial" w:eastAsia="Arial" w:hAnsi="Arial"/>
          <w:sz w:val="18"/>
          <w:szCs w:val="18"/>
          <w:color w:val="auto"/>
        </w:rPr>
        <w:t>Upon the completion of our IPO, we filed an Amended and Restated Certificate of Incorporation, authorizing a total of 500,000,000 shares of common stock and 10,000,000 shares of preferred stock. At September 30, 2018, no shares of preferred stock were issued or outstanding.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2" w:name="page13"/>
    <w:bookmarkEnd w:id="1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various stock incentive plans under which we have issued stock-based awards. Stock options granted under our stock incentive plans have a maximum term of ten years, generally vest over a period of three to four years, and the exercise price cannot be less than the fair market value on the date of grant. Restricted stock units ("RSUs") granted under our stock incentive plans generally vest over a period of two to four years.</w:t>
      </w:r>
    </w:p>
    <w:p>
      <w:pPr>
        <w:spacing w:after="0" w:line="20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the nine months ended September 30, 2018, our board of directors adopted, and our stockholders approved, our 2018 Equity Incentive Plan ("2018 Plan"), which reserves 9.9 million shares of our common stock that may be issued as stock-based awards. The 2018 Plan became effective upon the execution of the underwriting agreement related to our IPO, at which point no further grants were made under our 2016 Stock Incentive Plan ("2016 Plan"). Any shares subject to stock options or other stock awards granted under our 2016 Plan, 2012 Stock Incentive Plan or 2002 Stock Incentive Plan that would have otherwise returned to such plan (such as upon the expiration or termination of a stock award prior to vesting) were added to, and are available for issuance under, our 2018 Plan. There were 10,905,099 shares available for grant under the 2018 Plan at September 30, 2018.</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and comprehensive loss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940" w:type="dxa"/>
            <w:vAlign w:val="bottom"/>
            <w:gridSpan w:val="5"/>
          </w:tcPr>
          <w:p>
            <w:pPr>
              <w:jc w:val="right"/>
              <w:ind w:right="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1,037</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2,943</w:t>
            </w:r>
          </w:p>
        </w:tc>
      </w:tr>
      <w:tr>
        <w:trPr>
          <w:trHeight w:val="25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5,503</w:t>
            </w: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At September 30, 2018, the total unrecognized stock-based compensation expense related to outstanding stock options was $52.9 million, which is expected to be recognized over an estimated remaining weighted average period of 3.2 years.</w:t>
      </w:r>
    </w:p>
    <w:p>
      <w:pPr>
        <w:spacing w:after="0" w:line="196"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At September 30, 2018, the unrecognized stock-based compensation expense related to unvested awards of restricted stock was $3.8 million, which is expected to be recognized over an estimated remaining period of 2.3 years.</w:t>
      </w:r>
    </w:p>
    <w:p>
      <w:pPr>
        <w:spacing w:after="0" w:line="196"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At September 30, 2018, the unrecognized stock-based compensation expense related to unvested restricted stock units was $15.9 million, which is expected to be recognized over an estimated remaining period of 2.3 years.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Weighted-Average</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1480" w:type="dxa"/>
            <w:vAlign w:val="bottom"/>
          </w:tcPr>
          <w:p>
            <w:pPr>
              <w:jc w:val="right"/>
              <w:ind w:right="352"/>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Contractual Term</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228"/>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4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77,020</w:t>
            </w:r>
          </w:p>
        </w:tc>
        <w:tc>
          <w:tcPr>
            <w:tcW w:w="0" w:type="dxa"/>
            <w:vAlign w:val="bottom"/>
          </w:tcPr>
          <w:p>
            <w:pPr>
              <w:spacing w:after="0"/>
              <w:rPr>
                <w:sz w:val="1"/>
                <w:szCs w:val="1"/>
                <w:color w:val="auto"/>
              </w:rPr>
            </w:pPr>
          </w:p>
        </w:tc>
      </w:tr>
      <w:tr>
        <w:trPr>
          <w:trHeight w:val="290"/>
        </w:trPr>
        <w:tc>
          <w:tcPr>
            <w:tcW w:w="51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6,108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2018</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515"/>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603,127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206,850</w:t>
            </w:r>
          </w:p>
        </w:tc>
        <w:tc>
          <w:tcPr>
            <w:tcW w:w="0" w:type="dxa"/>
            <w:vAlign w:val="bottom"/>
          </w:tcPr>
          <w:p>
            <w:pPr>
              <w:spacing w:after="0" w:line="20" w:lineRule="exact"/>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Exercisable at September 30,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1480" w:type="dxa"/>
            <w:vAlign w:val="bottom"/>
          </w:tcPr>
          <w:p>
            <w:pPr>
              <w:jc w:val="right"/>
              <w:ind w:right="515"/>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5120" w:type="dxa"/>
            <w:vAlign w:val="bottom"/>
          </w:tcPr>
          <w:p>
            <w:pPr>
              <w:spacing w:after="0"/>
              <w:rPr>
                <w:sz w:val="24"/>
                <w:szCs w:val="24"/>
                <w:color w:val="auto"/>
              </w:rPr>
            </w:pPr>
          </w:p>
        </w:tc>
        <w:tc>
          <w:tcPr>
            <w:tcW w:w="1480" w:type="dxa"/>
            <w:vAlign w:val="bottom"/>
          </w:tcPr>
          <w:p>
            <w:pPr>
              <w:jc w:val="right"/>
              <w:ind w:right="69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3" w:name="page14"/>
    <w:bookmarkEnd w:id="1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September 30, 2018, there were 19.4 million stock options that were vested and expected to vest.</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the nine months ended September 30, 2018, we granted stock options to employees that vest over three to four years and had a weighted average grant date fair value of $6.84 per share. Estimating the fair value of stock options using the Black-Scholes option-pricing model requires assumptions as to the fair value of our underlying common stock, the estimated term of the option, the risk-free interest rate, the expected volatility of the price of our common stock, and the expected dividend yield. The fair value of each stock option was estimated on the grant date based on the following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760" w:type="dxa"/>
            <w:vAlign w:val="bottom"/>
            <w:tcBorders>
              <w:bottom w:val="single" w:sz="8" w:color="auto"/>
            </w:tcBorders>
            <w:gridSpan w:val="6"/>
          </w:tcPr>
          <w:p>
            <w:pPr>
              <w:jc w:val="right"/>
              <w:ind w:right="254"/>
              <w:spacing w:after="0"/>
              <w:rPr>
                <w:sz w:val="20"/>
                <w:szCs w:val="20"/>
                <w:color w:val="auto"/>
              </w:rPr>
            </w:pPr>
            <w:r>
              <w:rPr>
                <w:rFonts w:ascii="Arial" w:cs="Arial" w:eastAsia="Arial" w:hAnsi="Arial"/>
                <w:sz w:val="16"/>
                <w:szCs w:val="16"/>
                <w:b w:val="1"/>
                <w:bCs w:val="1"/>
                <w:color w:val="auto"/>
              </w:rPr>
              <w:t>Nine Months Ended September 30, 2018</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center"/>
              <w:ind w:left="812"/>
              <w:spacing w:after="0"/>
              <w:rPr>
                <w:sz w:val="20"/>
                <w:szCs w:val="20"/>
                <w:color w:val="auto"/>
              </w:rPr>
            </w:pPr>
            <w:r>
              <w:rPr>
                <w:rFonts w:ascii="Arial" w:cs="Arial" w:eastAsia="Arial" w:hAnsi="Arial"/>
                <w:sz w:val="18"/>
                <w:szCs w:val="18"/>
                <w:color w:val="auto"/>
                <w:w w:val="95"/>
              </w:rPr>
              <w:t>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60" w:type="dxa"/>
            <w:vAlign w:val="bottom"/>
            <w:gridSpan w:val="4"/>
            <w:shd w:val="clear" w:color="auto" w:fill="CCEEFF"/>
          </w:tcPr>
          <w:p>
            <w:pPr>
              <w:jc w:val="center"/>
              <w:ind w:right="594"/>
              <w:spacing w:after="0"/>
              <w:rPr>
                <w:sz w:val="20"/>
                <w:szCs w:val="20"/>
                <w:color w:val="auto"/>
              </w:rPr>
            </w:pPr>
            <w:r>
              <w:rPr>
                <w:rFonts w:ascii="Arial" w:cs="Arial" w:eastAsia="Arial" w:hAnsi="Arial"/>
                <w:sz w:val="18"/>
                <w:szCs w:val="18"/>
                <w:color w:val="auto"/>
                <w:w w:val="99"/>
              </w:rPr>
              <w:t>41.3% — 43.3%</w:t>
            </w:r>
          </w:p>
        </w:tc>
      </w:tr>
      <w:tr>
        <w:trPr>
          <w:trHeight w:val="250"/>
        </w:trPr>
        <w:tc>
          <w:tcPr>
            <w:tcW w:w="51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gridSpan w:val="3"/>
          </w:tcPr>
          <w:p>
            <w:pPr>
              <w:jc w:val="center"/>
              <w:ind w:left="552"/>
              <w:spacing w:after="0"/>
              <w:rPr>
                <w:sz w:val="20"/>
                <w:szCs w:val="20"/>
                <w:color w:val="auto"/>
              </w:rPr>
            </w:pPr>
            <w:r>
              <w:rPr>
                <w:rFonts w:ascii="Arial" w:cs="Arial" w:eastAsia="Arial" w:hAnsi="Arial"/>
                <w:sz w:val="18"/>
                <w:szCs w:val="18"/>
                <w:color w:val="auto"/>
                <w:w w:val="99"/>
              </w:rPr>
              <w:t>2.7% — 2.9%</w:t>
            </w:r>
          </w:p>
        </w:tc>
        <w:tc>
          <w:tcPr>
            <w:tcW w:w="1320" w:type="dxa"/>
            <w:vAlign w:val="bottom"/>
          </w:tcPr>
          <w:p>
            <w:pPr>
              <w:spacing w:after="0"/>
              <w:rPr>
                <w:sz w:val="21"/>
                <w:szCs w:val="21"/>
                <w:color w:val="auto"/>
              </w:rPr>
            </w:pPr>
          </w:p>
        </w:tc>
      </w:tr>
      <w:tr>
        <w:trPr>
          <w:trHeight w:val="26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40" w:type="dxa"/>
            <w:vAlign w:val="bottom"/>
            <w:gridSpan w:val="3"/>
            <w:shd w:val="clear" w:color="auto" w:fill="CCEEFF"/>
          </w:tcPr>
          <w:p>
            <w:pPr>
              <w:jc w:val="center"/>
              <w:ind w:left="552"/>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spacing w:after="0"/>
              <w:rPr>
                <w:sz w:val="22"/>
                <w:szCs w:val="22"/>
                <w:color w:val="auto"/>
              </w:rPr>
            </w:pPr>
          </w:p>
        </w:tc>
      </w:tr>
      <w:tr>
        <w:trPr>
          <w:trHeight w:val="648"/>
        </w:trPr>
        <w:tc>
          <w:tcPr>
            <w:tcW w:w="51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Restricted Stock and Restricted Stock Units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8360" w:type="dxa"/>
            <w:vAlign w:val="bottom"/>
            <w:gridSpan w:val="7"/>
          </w:tcPr>
          <w:p>
            <w:pPr>
              <w:ind w:left="340"/>
              <w:spacing w:after="0"/>
              <w:rPr>
                <w:sz w:val="20"/>
                <w:szCs w:val="20"/>
                <w:color w:val="auto"/>
              </w:rPr>
            </w:pPr>
            <w:r>
              <w:rPr>
                <w:rFonts w:ascii="Arial" w:cs="Arial" w:eastAsia="Arial" w:hAnsi="Arial"/>
                <w:sz w:val="18"/>
                <w:szCs w:val="18"/>
                <w:color w:val="auto"/>
              </w:rPr>
              <w:t>A summary of our restricted stock and restricted stock units activity is presented below:</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5160" w:type="dxa"/>
            <w:vAlign w:val="bottom"/>
          </w:tcPr>
          <w:p>
            <w:pPr>
              <w:spacing w:after="0"/>
              <w:rPr>
                <w:sz w:val="24"/>
                <w:szCs w:val="24"/>
                <w:color w:val="auto"/>
              </w:rPr>
            </w:pPr>
          </w:p>
        </w:tc>
        <w:tc>
          <w:tcPr>
            <w:tcW w:w="3080" w:type="dxa"/>
            <w:vAlign w:val="bottom"/>
            <w:tcBorders>
              <w:bottom w:val="single" w:sz="8" w:color="auto"/>
            </w:tcBorders>
            <w:gridSpan w:val="5"/>
          </w:tcPr>
          <w:p>
            <w:pPr>
              <w:jc w:val="right"/>
              <w:ind w:right="793"/>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24"/>
                <w:szCs w:val="24"/>
                <w:color w:val="auto"/>
              </w:rPr>
            </w:pPr>
          </w:p>
        </w:tc>
        <w:tc>
          <w:tcPr>
            <w:tcW w:w="30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6"/>
                <w:szCs w:val="16"/>
                <w:b w:val="1"/>
                <w:bCs w:val="1"/>
                <w:color w:val="auto"/>
              </w:rPr>
              <w:t>Restricted Stock Units</w:t>
            </w:r>
          </w:p>
        </w:tc>
      </w:tr>
      <w:tr>
        <w:trPr>
          <w:trHeight w:val="198"/>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Average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rPr>
              <w:t>Average</w:t>
            </w:r>
          </w:p>
        </w:tc>
      </w:tr>
      <w:tr>
        <w:trPr>
          <w:trHeight w:val="189"/>
        </w:trPr>
        <w:tc>
          <w:tcPr>
            <w:tcW w:w="5160" w:type="dxa"/>
            <w:vAlign w:val="bottom"/>
          </w:tcPr>
          <w:p>
            <w:pPr>
              <w:spacing w:after="0"/>
              <w:rPr>
                <w:sz w:val="16"/>
                <w:szCs w:val="16"/>
                <w:color w:val="auto"/>
              </w:rPr>
            </w:pPr>
          </w:p>
        </w:tc>
        <w:tc>
          <w:tcPr>
            <w:tcW w:w="1500" w:type="dxa"/>
            <w:vAlign w:val="bottom"/>
          </w:tcPr>
          <w:p>
            <w:pPr>
              <w:jc w:val="right"/>
              <w:ind w:right="373"/>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Grant Date Fair</w:t>
            </w:r>
          </w:p>
        </w:tc>
        <w:tc>
          <w:tcPr>
            <w:tcW w:w="1740" w:type="dxa"/>
            <w:vAlign w:val="bottom"/>
            <w:gridSpan w:val="3"/>
          </w:tcPr>
          <w:p>
            <w:pPr>
              <w:ind w:left="420"/>
              <w:spacing w:after="0"/>
              <w:rPr>
                <w:sz w:val="20"/>
                <w:szCs w:val="20"/>
                <w:color w:val="auto"/>
              </w:rPr>
            </w:pPr>
            <w:r>
              <w:rPr>
                <w:rFonts w:ascii="Arial" w:cs="Arial" w:eastAsia="Arial" w:hAnsi="Arial"/>
                <w:sz w:val="16"/>
                <w:szCs w:val="16"/>
                <w:b w:val="1"/>
                <w:bCs w:val="1"/>
                <w:color w:val="auto"/>
              </w:rPr>
              <w:t>Number</w:t>
            </w:r>
          </w:p>
        </w:tc>
        <w:tc>
          <w:tcPr>
            <w:tcW w:w="1320" w:type="dxa"/>
            <w:vAlign w:val="bottom"/>
          </w:tcPr>
          <w:p>
            <w:pPr>
              <w:jc w:val="center"/>
              <w:ind w:right="74"/>
              <w:spacing w:after="0"/>
              <w:rPr>
                <w:sz w:val="20"/>
                <w:szCs w:val="20"/>
                <w:color w:val="auto"/>
              </w:rPr>
            </w:pPr>
            <w:r>
              <w:rPr>
                <w:rFonts w:ascii="Arial" w:cs="Arial" w:eastAsia="Arial" w:hAnsi="Arial"/>
                <w:sz w:val="16"/>
                <w:szCs w:val="16"/>
                <w:b w:val="1"/>
                <w:bCs w:val="1"/>
                <w:color w:val="auto"/>
              </w:rPr>
              <w:t>Grant Date Fair</w:t>
            </w:r>
          </w:p>
        </w:tc>
      </w:tr>
      <w:tr>
        <w:trPr>
          <w:trHeight w:val="228"/>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data and years)</w:t>
            </w:r>
          </w:p>
        </w:tc>
        <w:tc>
          <w:tcPr>
            <w:tcW w:w="15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of Shares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8"/>
              </w:rPr>
              <w:t>Value</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2017</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1,583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2"/>
                <w:szCs w:val="22"/>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3"/>
        </w:trPr>
        <w:tc>
          <w:tcPr>
            <w:tcW w:w="51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17.82</w:t>
            </w:r>
          </w:p>
        </w:tc>
      </w:tr>
      <w:tr>
        <w:trPr>
          <w:trHeight w:val="277"/>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16.22</w:t>
            </w: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September 30, 2018</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17.89</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The grant date fair value was based on the estimated fair value of our common stock on the date of grant. RSUs granted before July 30, 2018 vest upon the satisfaction of both service-based and performance-based vesting conditions. The performance-based condition was satisfied upon the completion of our IPO. RSUs granted after July 30, 2018 vest upon the satisfaction of a service-based vesting condition.</w:t>
      </w:r>
    </w:p>
    <w:p>
      <w:pPr>
        <w:spacing w:after="0" w:line="185" w:lineRule="exact"/>
        <w:rPr>
          <w:sz w:val="20"/>
          <w:szCs w:val="20"/>
          <w:color w:val="auto"/>
        </w:rPr>
      </w:pPr>
    </w:p>
    <w:p>
      <w:pPr>
        <w:ind w:right="520" w:firstLine="324"/>
        <w:spacing w:after="0" w:line="262" w:lineRule="auto"/>
        <w:rPr>
          <w:sz w:val="20"/>
          <w:szCs w:val="20"/>
          <w:color w:val="auto"/>
        </w:rPr>
      </w:pPr>
      <w:r>
        <w:rPr>
          <w:rFonts w:ascii="Arial" w:cs="Arial" w:eastAsia="Arial" w:hAnsi="Arial"/>
          <w:sz w:val="18"/>
          <w:szCs w:val="18"/>
          <w:color w:val="auto"/>
        </w:rPr>
        <w:t>Compensation expense for restricted stock and RSUs is recognized on a straight-line basis over the requisite service period, with the exception of RSUs that include performance-based vesting conditions, which are expensed using the accelerated attribution method.</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47"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In the nine months ended September 30, 2018, our board of directors adopted, and our stockholders approved, our 2018 Employee Stock Purchase Plan ("2018 ESPP"). Our 2018 ESPP became effective upon the execution of the underwriting agreement related our IPO.</w:t>
      </w:r>
    </w:p>
    <w:p>
      <w:pPr>
        <w:spacing w:after="0" w:line="196"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 The initial offering period began on July 25, 2018 and is scheduled to end on September 1, 2020, with purchase periods ending on March 1, 2019, September 1, 2019, March 1, 2020 and September 1, 2020.</w:t>
      </w:r>
    </w:p>
    <w:p>
      <w:pPr>
        <w:spacing w:after="0" w:line="206"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At September 30, 2018, there was $2.3 million of employee contributions to the 2018 ESPP included in accrued compensation, and no shares of our common stock have been purchased. The unrecognized stock-based compensation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4" w:name="page15"/>
    <w:bookmarkEnd w:id="1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our 2018 ESPP was $9.9 million, which is expected to be recognized over the remaining offering period of 1.9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 Attributable to Common Stockholders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74,261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22,679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40,688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22,004</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80" w:type="dxa"/>
            <w:vAlign w:val="bottom"/>
            <w:vMerge w:val="continue"/>
          </w:tcPr>
          <w:p>
            <w:pPr>
              <w:spacing w:after="0"/>
              <w:rPr>
                <w:sz w:val="15"/>
                <w:szCs w:val="15"/>
                <w:color w:val="auto"/>
              </w:rPr>
            </w:pPr>
          </w:p>
        </w:tc>
        <w:tc>
          <w:tcPr>
            <w:tcW w:w="320" w:type="dxa"/>
            <w:vAlign w:val="bottom"/>
            <w:vMerge w:val="restart"/>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5"/>
                <w:szCs w:val="15"/>
                <w:color w:val="auto"/>
              </w:rPr>
            </w:pPr>
          </w:p>
        </w:tc>
        <w:tc>
          <w:tcPr>
            <w:tcW w:w="320" w:type="dxa"/>
            <w:vAlign w:val="bottom"/>
            <w:vMerge w:val="restart"/>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0" w:type="dxa"/>
            <w:vAlign w:val="bottom"/>
          </w:tcPr>
          <w:p>
            <w:pPr>
              <w:spacing w:after="0"/>
              <w:rPr>
                <w:sz w:val="19"/>
                <w:szCs w:val="19"/>
                <w:color w:val="auto"/>
              </w:rPr>
            </w:pPr>
          </w:p>
        </w:tc>
        <w:tc>
          <w:tcPr>
            <w:tcW w:w="4220" w:type="dxa"/>
            <w:vAlign w:val="bottom"/>
            <w:tcBorders>
              <w:bottom w:val="single" w:sz="8" w:color="auto"/>
            </w:tcBorders>
            <w:gridSpan w:val="3"/>
          </w:tcPr>
          <w:p>
            <w:pPr>
              <w:jc w:val="right"/>
              <w:ind w:right="271"/>
              <w:spacing w:after="0"/>
              <w:rPr>
                <w:sz w:val="20"/>
                <w:szCs w:val="20"/>
                <w:color w:val="auto"/>
              </w:rPr>
            </w:pPr>
            <w:r>
              <w:rPr>
                <w:rFonts w:ascii="Arial" w:cs="Arial" w:eastAsia="Arial" w:hAnsi="Arial"/>
                <w:sz w:val="16"/>
                <w:szCs w:val="16"/>
                <w:b w:val="1"/>
                <w:bCs w:val="1"/>
                <w:color w:val="auto"/>
              </w:rPr>
              <w:t>Three and Nine Months Ended September 30,</w:t>
            </w:r>
          </w:p>
        </w:tc>
      </w:tr>
      <w:tr>
        <w:trPr>
          <w:trHeight w:val="264"/>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08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040" w:type="dxa"/>
            <w:vAlign w:val="bottom"/>
            <w:tcBorders>
              <w:bottom w:val="single" w:sz="8" w:color="auto"/>
            </w:tcBorders>
          </w:tcPr>
          <w:p>
            <w:pPr>
              <w:jc w:val="right"/>
              <w:ind w:right="751"/>
              <w:spacing w:after="0"/>
              <w:rPr>
                <w:sz w:val="20"/>
                <w:szCs w:val="20"/>
                <w:color w:val="auto"/>
              </w:rPr>
            </w:pPr>
            <w:r>
              <w:rPr>
                <w:rFonts w:ascii="Arial" w:cs="Arial" w:eastAsia="Arial" w:hAnsi="Arial"/>
                <w:sz w:val="16"/>
                <w:szCs w:val="16"/>
                <w:b w:val="1"/>
                <w:bCs w:val="1"/>
                <w:color w:val="auto"/>
              </w:rPr>
              <w:t>2017</w:t>
            </w:r>
          </w:p>
        </w:tc>
      </w:tr>
      <w:tr>
        <w:trPr>
          <w:trHeight w:val="25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19,387</w:t>
            </w:r>
          </w:p>
        </w:tc>
        <w:tc>
          <w:tcPr>
            <w:tcW w:w="100" w:type="dxa"/>
            <w:vAlign w:val="bottom"/>
            <w:shd w:val="clear" w:color="auto" w:fill="CCEEFF"/>
          </w:tcPr>
          <w:p>
            <w:pPr>
              <w:spacing w:after="0"/>
              <w:rPr>
                <w:sz w:val="22"/>
                <w:szCs w:val="22"/>
                <w:color w:val="auto"/>
              </w:rPr>
            </w:pPr>
          </w:p>
        </w:tc>
        <w:tc>
          <w:tcPr>
            <w:tcW w:w="2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13,826</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2"/>
                <w:szCs w:val="22"/>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shares</w:t>
            </w:r>
          </w:p>
        </w:tc>
        <w:tc>
          <w:tcPr>
            <w:tcW w:w="2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1,583</w:t>
            </w:r>
          </w:p>
        </w:tc>
      </w:tr>
      <w:tr>
        <w:trPr>
          <w:trHeight w:val="263"/>
        </w:trPr>
        <w:tc>
          <w:tcPr>
            <w:tcW w:w="7200" w:type="dxa"/>
            <w:vAlign w:val="bottom"/>
          </w:tcPr>
          <w:p>
            <w:pPr>
              <w:ind w:left="40"/>
              <w:spacing w:after="0"/>
              <w:rPr>
                <w:sz w:val="20"/>
                <w:szCs w:val="20"/>
                <w:color w:val="auto"/>
              </w:rPr>
            </w:pPr>
            <w:r>
              <w:rPr>
                <w:rFonts w:ascii="Arial" w:cs="Arial" w:eastAsia="Arial" w:hAnsi="Arial"/>
                <w:sz w:val="18"/>
                <w:szCs w:val="18"/>
                <w:color w:val="auto"/>
              </w:rPr>
              <w:t>Shares to be issued under ESPP</w:t>
            </w:r>
          </w:p>
        </w:tc>
        <w:tc>
          <w:tcPr>
            <w:tcW w:w="208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2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55,386</w:t>
            </w:r>
          </w:p>
        </w:tc>
      </w:tr>
      <w:tr>
        <w:trPr>
          <w:trHeight w:val="257"/>
        </w:trPr>
        <w:tc>
          <w:tcPr>
            <w:tcW w:w="7200" w:type="dxa"/>
            <w:vAlign w:val="bottom"/>
          </w:tcPr>
          <w:p>
            <w:pPr>
              <w:ind w:left="28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21,544</w:t>
            </w: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70,795</w:t>
            </w:r>
          </w:p>
        </w:tc>
      </w:tr>
      <w:tr>
        <w:trPr>
          <w:trHeight w:val="20"/>
        </w:trPr>
        <w:tc>
          <w:tcPr>
            <w:tcW w:w="72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47" w:lineRule="exact"/>
        <w:rPr>
          <w:sz w:val="20"/>
          <w:szCs w:val="20"/>
          <w:color w:val="auto"/>
        </w:rPr>
      </w:pPr>
    </w:p>
    <w:p>
      <w:pPr>
        <w:ind w:right="280" w:firstLine="324"/>
        <w:spacing w:after="0" w:line="278" w:lineRule="auto"/>
        <w:rPr>
          <w:sz w:val="20"/>
          <w:szCs w:val="20"/>
          <w:color w:val="auto"/>
        </w:rPr>
      </w:pPr>
      <w:r>
        <w:rPr>
          <w:rFonts w:ascii="Arial" w:cs="Arial" w:eastAsia="Arial" w:hAnsi="Arial"/>
          <w:sz w:val="17"/>
          <w:szCs w:val="17"/>
          <w:color w:val="auto"/>
        </w:rPr>
        <w:t>On December 22, 2017, the Tax Cuts and Jobs Act was enacted into law, which contains several significant changes, including reducing the corporate income tax rate from 35% to 21% effective January 1, 2018, imposing a one-time repatriation tax on accumulated foreign earnings (“transition tax”) and instituting the global intangible low taxed income (“GILTI”) regime and the base erosion anti-abuse tax.</w:t>
      </w:r>
    </w:p>
    <w:p>
      <w:pPr>
        <w:spacing w:after="0" w:line="185"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We are following the guidance in Securities and Exchange Commission Staff Accounting Bulletin 118, which provides a company with the ability to record provisional amounts based on reasonable estimates that are subject to a measurement period of up to one year. At December 31, 2017, we made a reasonable estimate of the effects on existing deferred tax balances and the one-time transition tax. In the nine months ended September 30, 2018, no changes were made to these provisional amounts. We will continue to evaluate the transition tax obligation and application of GILTI and have not yet made an election with regard to GILTI. Subsequent adjustments resulting from additional analysis may be recorded when our analysis is completed in the fourth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Geographic Information</w:t>
      </w:r>
    </w:p>
    <w:p>
      <w:pPr>
        <w:spacing w:after="0" w:line="247"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5" w:name="page16"/>
    <w:bookmarkEnd w:id="1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49,391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36,408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137,868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99,974</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14,002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8,781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38,218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23,611</w:t>
            </w: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6,047</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3,791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16,053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10,025</w:t>
            </w:r>
          </w:p>
        </w:tc>
      </w:tr>
      <w:tr>
        <w:trPr>
          <w:trHeight w:val="257"/>
        </w:trPr>
        <w:tc>
          <w:tcPr>
            <w:tcW w:w="5580" w:type="dxa"/>
            <w:vAlign w:val="bottom"/>
          </w:tcPr>
          <w:p>
            <w:pPr>
              <w:ind w:left="2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69,440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48,980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192,139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133,610</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Customers located in the United States accounted for 66%, 67%, 70% and 70% of revenue in the three and nine months ended September 30, 2018 and 2017, respectively. No other country accounted for 10% or more of revenue in the periods presented.</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6"/>
                <w:szCs w:val="16"/>
                <w:color w:val="auto"/>
              </w:rPr>
            </w:pPr>
          </w:p>
        </w:tc>
        <w:tc>
          <w:tcPr>
            <w:tcW w:w="1320" w:type="dxa"/>
            <w:vAlign w:val="bottom"/>
          </w:tcPr>
          <w:p>
            <w:pPr>
              <w:jc w:val="right"/>
              <w:ind w:right="13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International</w:t>
            </w:r>
          </w:p>
        </w:tc>
        <w:tc>
          <w:tcPr>
            <w:tcW w:w="42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4,050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Property and equipment, net</w:t>
            </w:r>
          </w:p>
        </w:tc>
        <w:tc>
          <w:tcPr>
            <w:tcW w:w="4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10,872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10,754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8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6" w:name="page17"/>
    <w:bookmarkEnd w:id="1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final prospectus for our initial public offering, or IPO, dated as of July 25, 2018 and filed with the Securities and Exchange Commission pursuant to Rule 424(b)(4) of the Securities Act of 1933, as amended, or the Securities Act, on July 26, 2018, or the Prospectus.</w:t>
      </w:r>
    </w:p>
    <w:p>
      <w:pPr>
        <w:spacing w:after="0" w:line="18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i w:val="1"/>
          <w:iCs w:val="1"/>
          <w:color w:val="auto"/>
        </w:rPr>
        <w:t>This Form 10-Q contains forward-looking statements within the meaning of Section 27A of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5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the first and only provider of solutions for a new category of cybersecurity that we call Cyber Exposure. Cyber Exposure is a discipline for managing and measuring cybersecurity risk in the digital era. Our enterprise platform enables broad visibility into an organization’s cyber exposure across the modern attack surface and deep insights that help organizations translate vulnerability data into business insights to understand and reduce their cybersecurity risk.</w:t>
      </w:r>
    </w:p>
    <w:p>
      <w:pPr>
        <w:spacing w:after="0" w:line="312"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enterprise platform offerings include Tenable.io and SecurityCenter. Tenable.io is our software as a service, or SaaS, offering that manages and measures cyber exposure across a range of traditional and modern IT assets. SecurityCenter was built to manage and measure cyber exposure across traditional IT assets and can be run on-premises, in the customer’s cloud or in a hybrid environment. We plan to release Tenable.io Lumin, an application that will provide enhanced risk-based prioritization of issues and benchmarking against industry peers and best-in-class performers.</w:t>
      </w:r>
    </w:p>
    <w:p>
      <w:pPr>
        <w:spacing w:after="0" w:line="31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Our enterprise platform offerings are primarily sold on a subscription basis with terms ranging from one to three years, primarily one year. These offerings are typically prepaid in advance. To a lesser extent, we generate ratably recognizable revenue from perpetual licenses and from the related ongoing maintenance.</w:t>
      </w:r>
    </w:p>
    <w:p>
      <w:pPr>
        <w:spacing w:after="0" w:line="31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Many of our enterprise platform customers initially use either our free or paid version of Nessus, one of the industry’s most widely deployed vulnerability assessment solutions. Nessus, which is the technology that underpins our enterprise platform offerings, is designed to quickly and accurately identify vulnerabilities, configuration and compliance issues and malware. Our free version of Nessus, Nessus Home, allows for vulnerability assessment over a limited number of IP addresses. We believe many of our Nessus customers begin with Nessus Home and subsequently upgrade to Nessus Professional, the paid version of Nessus; however, we expect many users to continue to use Nessus Home.</w:t>
      </w:r>
    </w:p>
    <w:p>
      <w:pPr>
        <w:spacing w:after="0" w:line="314"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We have experienced rapid growth in recent years. Revenue in the three months ended September 30, 2018 and 2017 and the nine months ended September 30, 2018 and 2017 was $69.4 million, $49.0 million, $192.1 million and $133.6 million, respectively, representing year-over-year growth of 42% and 44% in the quarterly and year-to-date periods, respectively. Our net loss in the three months ended September 30, 2018 and 2017 and the nine months ended September 30, 2018 and 2017 was $20.9 million, $11.3 million, $53.9 million and $29.4 million, respectively, as we continue to invest in our business and market opportunity.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7" w:name="page18"/>
    <w:bookmarkEnd w:id="1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7"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On July 30, 2018, we completed our IPO, in which we issued and sold 12,535,000 shares of common stock at the IPO price of $23.00 for net proceeds to us of $264.8 million, after underwriting discounts and commissions and other offering expenses. Upon the completion of our IPO, all 15,847,500 shares of our Series A Redeemable Convertible Preferred Stock, or Series A, and 39,538,354 shares of our Series B Redeemable Convertible Preferred Stock, or Series B, automatically converted into an aggregate of 55,385,854 shares of our common stock.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 for the three and nine months ended September 30,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192,139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133,610</w:t>
            </w: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(11,162)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(52,990)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(29,137)</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(29,353)</w:t>
            </w: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57"/>
        </w:trPr>
        <w:tc>
          <w:tcPr>
            <w:tcW w:w="558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(1,628)</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Leadership</w:t>
      </w:r>
    </w:p>
    <w:p>
      <w:pPr>
        <w:spacing w:after="0" w:line="247"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offer the first and only Cyber Exposure platform to provide visibility into the broadest range of traditional and modern IT assets across cloud and on-premises environments. We are intensely focused on continued innovation that empowers organizations to understand and reduce their cyber exposure. This includes ongoing development of our enterprise platform offerings. In February 2017, we released Tenable.io, our SaaS offering that is designed to provide broad visibility and insights across a broad range of traditional and modern IT assets and cloud environments. Throughout 2017, we introduced new features to Tenable.io, including web application scanning and container security.</w:t>
      </w:r>
    </w:p>
    <w:p>
      <w:pPr>
        <w:spacing w:after="0" w:line="209"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We continue to expand the capabilities of our enterprise platform offerings, as well as our Nessus products, specifically as it relates to the ability to scan for and detect the rapidly expanding volume of vulnerabilities.</w:t>
      </w:r>
    </w:p>
    <w:p>
      <w:pPr>
        <w:spacing w:after="0" w:line="19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intend to continue to invest in our engineering capabilities and marketing activities to maintain our position in the highly-competitive market for cybersecurity solutions. Our results of operations may fluctuate as we make these investments to drive increased customer adoption and usage.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Enterprise Platform Customer Acquisition</w:t>
      </w:r>
    </w:p>
    <w:p>
      <w:pPr>
        <w:spacing w:after="0" w:line="24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and that our ability to continue to grow our enterprise platform customers will increase future opportunities for renewals and follow-on sales. We believe that we have significant room to capture additional market share.</w:t>
      </w:r>
    </w:p>
    <w:p>
      <w:pPr>
        <w:spacing w:after="0" w:line="20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expect to grow our enterprise platform customers by continuing to expand our sales organization and leveraging our channel partner network, which we believe will allow us to identify new enterprise customers, enter new markets, including internationally, as well as to convert more of our existing Nessus Professional customers to enterprise platform customers.</w:t>
      </w:r>
    </w:p>
    <w:p>
      <w:pPr>
        <w:spacing w:after="0" w:line="202"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We have increased our sales and marketing headcount in recent years and we will continue to invest significantly in our partner network and sales and marketing capability in order to grow domestically and internationally.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18" w:name="page19"/>
    <w:bookmarkEnd w:id="1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47"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enterprise platform offerings utilize IT asset-based or IP address-based pricing models. Once enterprise customers have licensed our platform offerings, they typically seek broader coverage over their traditional IT assets, including networking infrastructure, desktops and on-premises servers. As customers launch new applications or migrate existing applications to the cloud and deploy web applications, containers, internet of things, or IoT, and operational technology, or OT, they often increase the scope of their subscriptions and/or add additional perpetual licenses to our enterprise platforms.</w:t>
      </w:r>
    </w:p>
    <w:p>
      <w:pPr>
        <w:spacing w:after="0" w:line="206"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are also focused on upselling customers from Nessus Professional to our enterprise platform offerings. Nessus customers are typically organizations or independent security consultants that use Nessus for a single vulnerability assessment at a point in time. We seek to convert our Nessus Professional users to customers of our enterprise platform offerings, which provide continuous visibility and insights into their attack surface.</w:t>
      </w:r>
    </w:p>
    <w:p>
      <w:pPr>
        <w:spacing w:after="0" w:line="204" w:lineRule="exact"/>
        <w:rPr>
          <w:sz w:val="20"/>
          <w:szCs w:val="20"/>
          <w:color w:val="auto"/>
        </w:rPr>
      </w:pPr>
    </w:p>
    <w:p>
      <w:pPr>
        <w:jc w:val="both"/>
        <w:ind w:right="280" w:firstLine="324"/>
        <w:spacing w:after="0" w:line="254" w:lineRule="auto"/>
        <w:rPr>
          <w:sz w:val="20"/>
          <w:szCs w:val="20"/>
          <w:color w:val="auto"/>
        </w:rPr>
      </w:pPr>
      <w:r>
        <w:rPr>
          <w:rFonts w:ascii="Arial" w:cs="Arial" w:eastAsia="Arial" w:hAnsi="Arial"/>
          <w:sz w:val="18"/>
          <w:szCs w:val="18"/>
          <w:color w:val="auto"/>
        </w:rPr>
        <w:t>Further, we plan to expand existing platform capabilities and launch new products, such as Tenable.io Lumin, which we believe will drive new product purchases and follow-on purchases over time, thereby contributing to customer renewals. We believe that there is a significant opportunity to drive additional sales to existing customers, and we expect to invest in sales and marketing and customer success personnel and activities to achieve additional revenue growth from existing customers.</w:t>
      </w:r>
    </w:p>
    <w:p>
      <w:pPr>
        <w:spacing w:after="0" w:line="204" w:lineRule="exact"/>
        <w:rPr>
          <w:sz w:val="20"/>
          <w:szCs w:val="20"/>
          <w:color w:val="auto"/>
        </w:rPr>
      </w:pPr>
    </w:p>
    <w:p>
      <w:pPr>
        <w:ind w:right="500" w:firstLine="324"/>
        <w:spacing w:after="0" w:line="262" w:lineRule="auto"/>
        <w:rPr>
          <w:sz w:val="20"/>
          <w:szCs w:val="20"/>
          <w:color w:val="auto"/>
        </w:rPr>
      </w:pPr>
      <w:r>
        <w:rPr>
          <w:rFonts w:ascii="Arial" w:cs="Arial" w:eastAsia="Arial" w:hAnsi="Arial"/>
          <w:sz w:val="18"/>
          <w:szCs w:val="18"/>
          <w:color w:val="auto"/>
        </w:rPr>
        <w:t>Our ability to increase sales to existing customers will depend on a number of factors, including satisfaction or dissatisfaction with our products and services, competition, pricing, economic conditions or overall changes in our spending levels.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in Business Growth</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Since our founding, we have invested significantly in growing our business. We intend to continue to invest in sales and marketing to grow our sales team, expand brand and Cyber Exposure awareness and optimize our channel partner network. We also intend to continue to invest in our research and development team to further our technological leadership position in Cyber Exposure and enhance the functionality of our solutions. Any investments we make in our sales and marketing and research and development teams will occur in advance of experiencing the benefits from such investments, so it may be difficult for us to determine if we are efficiently allocating resources in those areas. These investment activities could increase our net losses over the short term if our revenue growth does not increase at higher rates. However, we expect that these investments will benefit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operating metrics and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20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believe that these operating metrics and non-GAAP financial measures provide useful information about our operating and financial performance, enhance the overall understanding of our past performance and future prospects and allow for greater transparency with respect to important metrics used by management for financial and operational decision-making. We present these operating metrics and non-GAAP financial measures to assist investors in seeing our operating and financial performance using a management view and because we believe that these measures provide an additional tool for investors to use in comparing our core operating and financial performance over multiple periods with other companies in our industry.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19" w:name="page20"/>
    <w:bookmarkEnd w:id="1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 While we believe that calculated current billings provides valuable insight into the cash that will be generated from sales of our subscriptions, this metric may vary from period-to-period for a number of reasons, and therefore has a number of limitations as a quarter-to-quarter or year-over-year comparative measure. For example, calculated current billings include amounts that have not yet been recognized as revenue; an increasing number of large sales transactions, for which the timing has and will continue to vary, may occur in quarters subsequent to or in advance of those that we anticipate; and our calculation of current billings may be different from other companies that report similar financial measures. Additionally, calculated current billings in any one period may be impacted by the timing of customer renewals, including early renewals, which could favorably or unfavorably impact year-over-year comparisons. Because of these and other limitations, you should consider calculated current billings along with revenue and our other GAAP financial results.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192,139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133,610</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Deferred revenue (current), end of period</w:t>
            </w: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191,578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137,521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191,578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137,521</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(174,277)</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(107,006)</w:t>
            </w:r>
          </w:p>
        </w:tc>
        <w:tc>
          <w:tcPr>
            <w:tcW w:w="0" w:type="dxa"/>
            <w:vAlign w:val="bottom"/>
          </w:tcPr>
          <w:p>
            <w:pPr>
              <w:spacing w:after="0"/>
              <w:rPr>
                <w:sz w:val="1"/>
                <w:szCs w:val="1"/>
                <w:color w:val="auto"/>
              </w:rPr>
            </w:pPr>
          </w:p>
        </w:tc>
      </w:tr>
      <w:tr>
        <w:trPr>
          <w:trHeight w:val="250"/>
        </w:trPr>
        <w:tc>
          <w:tcPr>
            <w:tcW w:w="5580" w:type="dxa"/>
            <w:vAlign w:val="bottom"/>
          </w:tcPr>
          <w:p>
            <w:pPr>
              <w:ind w:left="280"/>
              <w:spacing w:after="0"/>
              <w:rPr>
                <w:sz w:val="20"/>
                <w:szCs w:val="20"/>
                <w:color w:val="auto"/>
              </w:rPr>
            </w:pPr>
            <w:r>
              <w:rPr>
                <w:rFonts w:ascii="Arial" w:cs="Arial" w:eastAsia="Arial" w:hAnsi="Arial"/>
                <w:sz w:val="18"/>
                <w:szCs w:val="18"/>
                <w:color w:val="auto"/>
              </w:rPr>
              <w:t>Calculated current billings</w:t>
            </w:r>
          </w:p>
        </w:tc>
        <w:tc>
          <w:tcPr>
            <w:tcW w:w="3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86,741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64,311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228,819</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164,125</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firstLine="332"/>
        <w:spacing w:after="0" w:line="260" w:lineRule="auto"/>
        <w:tabs>
          <w:tab w:leader="none" w:pos="70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adopting ASC 606, we recorded $19.0 million of current deferred revenue on January 1, 2017, related to perpetual license revenue recognized in prior periods.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We believe free cash flow is an important liquidity measure of the cash (if any) that is available, after purchases of property and equipment, for investment in our business and to make acquisitions. We believe that free cash flow is useful to investors as a liquidity measure because it measures our ability to generate or use cash.</w:t>
      </w:r>
    </w:p>
    <w:p>
      <w:pPr>
        <w:spacing w:after="0" w:line="20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used in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our GAAP financial measures.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0" w:name="page21"/>
    <w:bookmarkEnd w:id="2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20" w:firstLine="324"/>
        <w:spacing w:after="0" w:line="262" w:lineRule="auto"/>
        <w:rPr>
          <w:sz w:val="20"/>
          <w:szCs w:val="20"/>
          <w:color w:val="auto"/>
        </w:rPr>
      </w:pPr>
      <w:r>
        <w:rPr>
          <w:rFonts w:ascii="Arial" w:cs="Arial" w:eastAsia="Arial" w:hAnsi="Arial"/>
          <w:sz w:val="18"/>
          <w:szCs w:val="18"/>
          <w:color w:val="auto"/>
        </w:rPr>
        <w:t>The following table summarizes our cash flows for the periods presented and presents a reconciliation of net cash used in operating activities, the most directly comparable financial measure calculated in accordance with GAAP, to free cash flow: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Free cash flow</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80" w:hanging="372"/>
        <w:spacing w:after="0"/>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Contributions to our employee stock purchase plan during the three and nine months ended September 30, 2018 contributed $2.3 million to free cash</w:t>
      </w:r>
    </w:p>
    <w:p>
      <w:pPr>
        <w:spacing w:after="0" w:line="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flow.</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Enterprise Platform Customers</w:t>
      </w:r>
    </w:p>
    <w:p>
      <w:pPr>
        <w:spacing w:after="0" w:line="24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434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Three Months Ended September 30, 2018</w:t>
            </w: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57"/>
        </w:trPr>
        <w:tc>
          <w:tcPr>
            <w:tcW w:w="7080" w:type="dxa"/>
            <w:vAlign w:val="bottom"/>
            <w:shd w:val="clear" w:color="auto" w:fill="CCEEFF"/>
          </w:tcPr>
          <w:p>
            <w:pPr>
              <w:jc w:val="right"/>
              <w:ind w:right="1908"/>
              <w:spacing w:after="0"/>
              <w:rPr>
                <w:sz w:val="20"/>
                <w:szCs w:val="20"/>
                <w:color w:val="auto"/>
              </w:rPr>
            </w:pPr>
            <w:r>
              <w:rPr>
                <w:rFonts w:ascii="Arial" w:cs="Arial" w:eastAsia="Arial" w:hAnsi="Arial"/>
                <w:sz w:val="18"/>
                <w:szCs w:val="18"/>
                <w:color w:val="auto"/>
                <w:w w:val="99"/>
              </w:rPr>
              <w:t>Number of new enterprise platform customers added in period</w:t>
            </w:r>
            <w:r>
              <w:rPr>
                <w:rFonts w:ascii="Arial" w:cs="Arial" w:eastAsia="Arial" w:hAnsi="Arial"/>
                <w:sz w:val="21"/>
                <w:szCs w:val="21"/>
                <w:color w:val="auto"/>
                <w:w w:val="99"/>
                <w:vertAlign w:val="superscript"/>
              </w:rPr>
              <w:t>(1)</w:t>
            </w:r>
          </w:p>
        </w:tc>
        <w:tc>
          <w:tcPr>
            <w:tcW w:w="138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(2)%</w:t>
            </w:r>
          </w:p>
        </w:tc>
      </w:tr>
      <w:tr>
        <w:trPr>
          <w:trHeight w:val="123"/>
        </w:trPr>
        <w:tc>
          <w:tcPr>
            <w:tcW w:w="7080" w:type="dxa"/>
            <w:vAlign w:val="bottom"/>
          </w:tcPr>
          <w:p>
            <w:pPr>
              <w:jc w:val="right"/>
              <w:ind w:right="6108"/>
              <w:spacing w:after="0" w:line="124" w:lineRule="exact"/>
              <w:rPr>
                <w:sz w:val="20"/>
                <w:szCs w:val="20"/>
                <w:color w:val="auto"/>
              </w:rPr>
            </w:pPr>
            <w:r>
              <w:rPr>
                <w:rFonts w:ascii="Arial" w:cs="Arial" w:eastAsia="Arial" w:hAnsi="Arial"/>
                <w:sz w:val="11"/>
                <w:szCs w:val="11"/>
                <w:color w:val="auto"/>
                <w:w w:val="95"/>
              </w:rPr>
              <w:t>_______________</w:t>
            </w: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ind w:left="660" w:right="200" w:hanging="652"/>
        <w:spacing w:after="0" w:line="253"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Tenable.io or SecurityCenter for an annual amount of $5,000 or greater. New enterprise platform customers represent new customer logos during the periods presented and do not include customer conversions from Nessus Professional to enterprise platforms.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At September 30,</w:t>
            </w:r>
          </w:p>
        </w:tc>
        <w:tc>
          <w:tcPr>
            <w:tcW w:w="13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Change (%)</w:t>
            </w:r>
          </w:p>
        </w:tc>
      </w:tr>
      <w:tr>
        <w:trPr>
          <w:trHeight w:val="215"/>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customers with $100,000 and greater in annual contract value at end of</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period</w:t>
            </w:r>
          </w:p>
        </w:tc>
        <w:tc>
          <w:tcPr>
            <w:tcW w:w="138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36"/>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rPr>
              <w:t>79%</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Loss from Operations and Non-GAAP Operating Margin</w:t>
      </w:r>
    </w:p>
    <w:p>
      <w:pPr>
        <w:spacing w:after="0" w:line="24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use non-GAAP loss from operations, which excludes the effect of stock-based compensation and amortization of intangible assets, as a key indicator of our financial performance, along with non -GAAP operating margin, which is calculated as non-GAAP loss from operations divided by our revenue in the period. 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loss from operations and non-GAAP operating margin exclude stock-based compensation expense, which has been, and will continue to be for the foreseeable future, a significant recurring expense in our business and an important part of our compensation strategy.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0" w:right="239" w:bottom="1440" w:gutter="0" w:footer="0" w:header="0"/>
        </w:sectPr>
      </w:pPr>
    </w:p>
    <w:bookmarkStart w:id="21" w:name="page22"/>
    <w:bookmarkEnd w:id="2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loss from operations, and operating margin, the most directly comparable financial measure calculated in accordance with GAAP, to non-GAAP operating margin: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180" w:type="dxa"/>
            <w:vAlign w:val="bottom"/>
          </w:tcPr>
          <w:p>
            <w:pPr>
              <w:spacing w:after="0"/>
              <w:rPr>
                <w:sz w:val="19"/>
                <w:szCs w:val="19"/>
                <w:color w:val="auto"/>
              </w:rPr>
            </w:pPr>
          </w:p>
        </w:tc>
        <w:tc>
          <w:tcPr>
            <w:tcW w:w="2900" w:type="dxa"/>
            <w:vAlign w:val="bottom"/>
            <w:gridSpan w:val="4"/>
          </w:tcPr>
          <w:p>
            <w:pPr>
              <w:jc w:val="right"/>
              <w:ind w:right="11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(21,096)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(11,162)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(52,990)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(29,137)</w:t>
            </w: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2"/>
                <w:szCs w:val="22"/>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8,783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14,206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5,503</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453</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loss from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(12,162)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(8,983)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(38,331)</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(23,181)</w:t>
            </w:r>
          </w:p>
        </w:tc>
      </w:tr>
      <w:tr>
        <w:trPr>
          <w:trHeight w:val="305"/>
        </w:trPr>
        <w:tc>
          <w:tcPr>
            <w:tcW w:w="5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3"/>
        </w:trPr>
        <w:tc>
          <w:tcPr>
            <w:tcW w:w="5160" w:type="dxa"/>
            <w:vAlign w:val="bottom"/>
          </w:tcPr>
          <w:p>
            <w:pPr>
              <w:ind w:left="40"/>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Non-GAAP operating margin</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Net Loss, Non-GAAP Net Loss Per Share and Pro Forma Non-GAAP Net Loss Per Share</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use non-GAAP net loss, which excludes the effect of the accretion of Series A and B redeemable convertible preferred stock, stock-based compensation and amortization of intangible assets, as well as the related tax impact, to calculate non-GAAP net loss per share and pro forma non-GAAP net loss per share. Pro forma non-GAAP net loss per share is calculated by giving effect to the conversion of our redeemable convertible preferred stock into common stock as though the conversion occurred at the beginning of each period presented. We believe that these non -GAAP measures provide important information to management and investors because they facilitate comparisons of our core operating results over multiple periods.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0" w:right="239" w:bottom="1440" w:gutter="0" w:footer="0" w:header="0"/>
        </w:sectPr>
      </w:pPr>
    </w:p>
    <w:bookmarkStart w:id="22" w:name="page23"/>
    <w:bookmarkEnd w:id="2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The following table presents a reconciliation of net loss, and net loss per share attributable to common stockholders, the most comparable financial measures calculated in accordance with GAAP, to non-GAAP net loss, non-GAAP net loss per share and pro forma non-GAAP net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(29,923)</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8,783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14,206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90"/>
        </w:trPr>
        <w:tc>
          <w:tcPr>
            <w:tcW w:w="5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Non-GAAP net loss</w:t>
            </w:r>
          </w:p>
        </w:tc>
        <w:tc>
          <w:tcPr>
            <w:tcW w:w="3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(12,025)</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(39,386)</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(23,432)</w:t>
            </w:r>
          </w:p>
        </w:tc>
        <w:tc>
          <w:tcPr>
            <w:tcW w:w="0" w:type="dxa"/>
            <w:vAlign w:val="bottom"/>
          </w:tcPr>
          <w:p>
            <w:pPr>
              <w:spacing w:after="0"/>
              <w:rPr>
                <w:sz w:val="1"/>
                <w:szCs w:val="1"/>
                <w:color w:val="auto"/>
              </w:rPr>
            </w:pPr>
          </w:p>
        </w:tc>
      </w:tr>
      <w:tr>
        <w:trPr>
          <w:trHeight w:val="305"/>
        </w:trPr>
        <w:tc>
          <w:tcPr>
            <w:tcW w:w="5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58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19"/>
                <w:szCs w:val="19"/>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Accretion of Series A and B redeemable convertible preferred stock</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58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0"/>
        </w:trPr>
        <w:tc>
          <w:tcPr>
            <w:tcW w:w="55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Non-GAAP net loss per share, basic and diluted</w:t>
            </w:r>
          </w:p>
        </w:tc>
        <w:tc>
          <w:tcPr>
            <w:tcW w:w="32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net loss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attributable to common stockholders and non-GAAP net loss per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 basic and diluted</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74,261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40,688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22,004</w:t>
            </w:r>
          </w:p>
        </w:tc>
        <w:tc>
          <w:tcPr>
            <w:tcW w:w="0" w:type="dxa"/>
            <w:vAlign w:val="bottom"/>
          </w:tcPr>
          <w:p>
            <w:pPr>
              <w:spacing w:after="0"/>
              <w:rPr>
                <w:sz w:val="1"/>
                <w:szCs w:val="1"/>
                <w:color w:val="auto"/>
              </w:rPr>
            </w:pPr>
          </w:p>
        </w:tc>
      </w:tr>
      <w:tr>
        <w:trPr>
          <w:trHeight w:val="229"/>
        </w:trPr>
        <w:tc>
          <w:tcPr>
            <w:tcW w:w="5580" w:type="dxa"/>
            <w:vAlign w:val="bottom"/>
          </w:tcPr>
          <w:p>
            <w:pPr>
              <w:ind w:left="40"/>
              <w:spacing w:after="0"/>
              <w:rPr>
                <w:sz w:val="20"/>
                <w:szCs w:val="20"/>
                <w:color w:val="auto"/>
              </w:rPr>
            </w:pPr>
            <w:r>
              <w:rPr>
                <w:rFonts w:ascii="Arial" w:cs="Arial" w:eastAsia="Arial" w:hAnsi="Arial"/>
                <w:sz w:val="18"/>
                <w:szCs w:val="18"/>
                <w:color w:val="auto"/>
              </w:rPr>
              <w:t>Pro forma adjustment to reflect the assumed conversion of our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580" w:type="dxa"/>
            <w:vAlign w:val="bottom"/>
          </w:tcPr>
          <w:p>
            <w:pPr>
              <w:ind w:left="120"/>
              <w:spacing w:after="0" w:line="202" w:lineRule="exact"/>
              <w:rPr>
                <w:sz w:val="20"/>
                <w:szCs w:val="20"/>
                <w:color w:val="auto"/>
              </w:rPr>
            </w:pPr>
            <w:r>
              <w:rPr>
                <w:rFonts w:ascii="Arial" w:cs="Arial" w:eastAsia="Arial" w:hAnsi="Arial"/>
                <w:sz w:val="18"/>
                <w:szCs w:val="18"/>
                <w:color w:val="auto"/>
              </w:rPr>
              <w:t>convertible redeemable preferred stock as of the beginning of the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period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55,386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41,590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55,386</w:t>
            </w:r>
          </w:p>
        </w:tc>
        <w:tc>
          <w:tcPr>
            <w:tcW w:w="0" w:type="dxa"/>
            <w:vAlign w:val="bottom"/>
          </w:tcPr>
          <w:p>
            <w:pPr>
              <w:spacing w:after="0"/>
              <w:rPr>
                <w:sz w:val="1"/>
                <w:szCs w:val="1"/>
                <w:color w:val="auto"/>
              </w:rPr>
            </w:pPr>
          </w:p>
        </w:tc>
      </w:tr>
      <w:tr>
        <w:trPr>
          <w:trHeight w:val="21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pro forma non-GAAP net</w:t>
            </w: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88,710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78,065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82,278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77,390</w:t>
            </w:r>
          </w:p>
        </w:tc>
        <w:tc>
          <w:tcPr>
            <w:tcW w:w="0" w:type="dxa"/>
            <w:vAlign w:val="bottom"/>
          </w:tcPr>
          <w:p>
            <w:pPr>
              <w:spacing w:after="0"/>
              <w:rPr>
                <w:sz w:val="1"/>
                <w:szCs w:val="1"/>
                <w:color w:val="auto"/>
              </w:rPr>
            </w:pPr>
          </w:p>
        </w:tc>
      </w:tr>
      <w:tr>
        <w:trPr>
          <w:trHeight w:val="21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per share, basic and diluted</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non-GAAP net loss per share, basic and diluted</w:t>
            </w:r>
          </w:p>
        </w:tc>
        <w:tc>
          <w:tcPr>
            <w:tcW w:w="3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right="20" w:firstLine="8"/>
        <w:spacing w:after="0" w:line="253" w:lineRule="auto"/>
        <w:tabs>
          <w:tab w:leader="none" w:pos="37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tax impact of the adjustments to net loss attributable to common stockholders is based on the tax treatment for applicable tax jurisdictions. There was no tax impact related to the amortization of intangible assets as it was incurred in the United States in periods in which we had a net operating loss for which we maintained a full valuation allowance.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47" w:lineRule="exact"/>
        <w:rPr>
          <w:sz w:val="20"/>
          <w:szCs w:val="20"/>
          <w:color w:val="auto"/>
        </w:rPr>
      </w:pPr>
    </w:p>
    <w:p>
      <w:pPr>
        <w:jc w:val="both"/>
        <w:ind w:right="600" w:firstLine="324"/>
        <w:spacing w:after="0" w:line="256"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We begin to recognize revenue when control of our software or services is transferred to the customer, which for sales made through distributors is concurrent with the transfer to the end user.</w:t>
      </w:r>
    </w:p>
    <w:p>
      <w:pPr>
        <w:spacing w:after="0" w:line="202"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Our subscription arrangements generally have annual or multi-year contractual terms and allow customers to use our software or cloud-based solutions, including ongoing software updates during the contractual period. Revenue is recognized ratably over the subscription term given the critical utility provided by the ongoing updates that are released throughout the contract period.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3" w:name="page24"/>
    <w:bookmarkEnd w:id="2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2"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Our recent growth and the ratable nature of our subscription revenue makes this seasonality less apparent in our overall financial results.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4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and stock-based compensation. Cost of revenue also includes hosting costs for Tenable.io, the costs related to professional services and training, depreciation and amortization and allocated overhead costs, which consist of information technology and facilities.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intend to continue to invest additional resources in our cloud-based platform and our customer support team as we grow our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level and timing of investment in these areas could affect our cost of revenue in the future.</w:t>
      </w:r>
    </w:p>
    <w:p>
      <w:pPr>
        <w:spacing w:after="0" w:line="22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 extent to which we expand our customer support team and the extent to which we can increase the efficiency of our technology and infrastructure through technological improvements.</w:t>
      </w:r>
    </w:p>
    <w:p>
      <w:pPr>
        <w:spacing w:after="0" w:line="20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We expect our gross profit to increase in absolute dollars but our gross margin to decrease, as we expect revenue from our cloud-based subscriptions to increase as a percentage of revenue, although our gross margin could fluctuate from period to period depending on the interplay of all of these factors.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4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and events and allocated overhead costs.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4" w:name="page25"/>
    <w:bookmarkEnd w:id="2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intend to continue to make significant investments in our sales and marketing teams to grow revenue, further penetrate the market and expand our global customer base. We expect our sales and marketing expense to continue to increase in absolute dollars and to be our largest operating expense category for the foreseeable future. However, as our revenue increases, we expect our sales and marketing expense to decrease as a percentage of our revenue over the long term, although our sales and marketing expense may fluctuate as a percentage of our revenue from period to period due to the timing and extent of these expenses.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4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202" w:lineRule="exact"/>
        <w:rPr>
          <w:sz w:val="20"/>
          <w:szCs w:val="20"/>
          <w:color w:val="auto"/>
        </w:rPr>
      </w:pPr>
    </w:p>
    <w:p>
      <w:pPr>
        <w:jc w:val="both"/>
        <w:ind w:right="380" w:firstLine="324"/>
        <w:spacing w:after="0" w:line="254" w:lineRule="auto"/>
        <w:rPr>
          <w:sz w:val="20"/>
          <w:szCs w:val="20"/>
          <w:color w:val="auto"/>
        </w:rPr>
      </w:pPr>
      <w:r>
        <w:rPr>
          <w:rFonts w:ascii="Arial" w:cs="Arial" w:eastAsia="Arial" w:hAnsi="Arial"/>
          <w:sz w:val="18"/>
          <w:szCs w:val="18"/>
          <w:color w:val="auto"/>
        </w:rPr>
        <w:t>We expect our research and development expense to continue to increase in absolute dollars for the foreseeable future, particularly in 2018,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as a percentage of our revenue from period to period due to the timing and extent of these expenses.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4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and allocated overhead.</w:t>
      </w:r>
    </w:p>
    <w:p>
      <w:pPr>
        <w:spacing w:after="0" w:line="196"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We expect our general and administrative expense to continue to increase in absolute dollars for the foreseeable future, in particular in 2018, due to additional costs associated with accounting, compliance, insurance and investor relations as a public company. However, we expect our general and administrative expense to decrease as a percentage of our revenue over the long term, although our general and administrative expense may fluctuate as a percentage of our revenue from period to period due to the timing and extent of these expenses.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47"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Other income (expense), net consists primarily of interest income earned on cash and cash equivalents and short-term investments, net foreign currency remeasurement and transaction gains and losses and interest expense in connection with unused line of credit fees on our revolving credit facility.</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Provision for income taxes consists primarily of income taxes in certain foreign jurisdictions in which we conduct business.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40" w:right="279" w:bottom="1440" w:gutter="0" w:footer="0" w:header="0"/>
        </w:sectPr>
      </w:pPr>
    </w:p>
    <w:bookmarkStart w:id="25" w:name="page26"/>
    <w:bookmarkEnd w:id="25"/>
    <w:p>
      <w:pPr>
        <w:jc w:val="center"/>
        <w:ind w:right="95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8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860" w:type="dxa"/>
            <w:vAlign w:val="bottom"/>
            <w:gridSpan w:val="5"/>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69,440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48,980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192,139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133,610</w:t>
            </w:r>
          </w:p>
        </w:tc>
        <w:tc>
          <w:tcPr>
            <w:tcW w:w="0" w:type="dxa"/>
            <w:vAlign w:val="bottom"/>
          </w:tcPr>
          <w:p>
            <w:pPr>
              <w:spacing w:after="0"/>
              <w:rPr>
                <w:sz w:val="1"/>
                <w:szCs w:val="1"/>
                <w:color w:val="auto"/>
              </w:rPr>
            </w:pPr>
          </w:p>
        </w:tc>
      </w:tr>
      <w:tr>
        <w:trPr>
          <w:trHeight w:val="270"/>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revenue</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12,161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7,424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30,768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50"/>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57,279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41,556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161,371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116,400</w:t>
            </w:r>
          </w:p>
        </w:tc>
        <w:tc>
          <w:tcPr>
            <w:tcW w:w="0" w:type="dxa"/>
            <w:vAlign w:val="bottom"/>
          </w:tcPr>
          <w:p>
            <w:pPr>
              <w:spacing w:after="0"/>
              <w:rPr>
                <w:sz w:val="1"/>
                <w:szCs w:val="1"/>
                <w:color w:val="auto"/>
              </w:rPr>
            </w:pPr>
          </w:p>
        </w:tc>
      </w:tr>
      <w:tr>
        <w:trPr>
          <w:trHeight w:val="263"/>
        </w:trPr>
        <w:tc>
          <w:tcPr>
            <w:tcW w:w="5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44,550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29,574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125,964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83,515</w:t>
            </w:r>
          </w:p>
        </w:tc>
        <w:tc>
          <w:tcPr>
            <w:tcW w:w="0" w:type="dxa"/>
            <w:vAlign w:val="bottom"/>
          </w:tcPr>
          <w:p>
            <w:pPr>
              <w:spacing w:after="0"/>
              <w:rPr>
                <w:sz w:val="1"/>
                <w:szCs w:val="1"/>
                <w:color w:val="auto"/>
              </w:rPr>
            </w:pPr>
          </w:p>
        </w:tc>
      </w:tr>
      <w:tr>
        <w:trPr>
          <w:trHeight w:val="270"/>
        </w:trPr>
        <w:tc>
          <w:tcPr>
            <w:tcW w:w="5580" w:type="dxa"/>
            <w:vAlign w:val="bottom"/>
          </w:tcPr>
          <w:p>
            <w:pPr>
              <w:ind w:left="2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15,869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55,529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42,040</w:t>
            </w:r>
          </w:p>
        </w:tc>
        <w:tc>
          <w:tcPr>
            <w:tcW w:w="0" w:type="dxa"/>
            <w:vAlign w:val="bottom"/>
          </w:tcPr>
          <w:p>
            <w:pPr>
              <w:spacing w:after="0"/>
              <w:rPr>
                <w:sz w:val="1"/>
                <w:szCs w:val="1"/>
                <w:color w:val="auto"/>
              </w:rPr>
            </w:pPr>
          </w:p>
        </w:tc>
      </w:tr>
      <w:tr>
        <w:trPr>
          <w:trHeight w:val="270"/>
        </w:trPr>
        <w:tc>
          <w:tcPr>
            <w:tcW w:w="5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13,272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32,868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19,982</w:t>
            </w: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78,375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52,718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214,361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145,537</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(29,137)</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(29,202)</w:t>
            </w: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3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5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20" w:type="dxa"/>
            <w:vAlign w:val="bottom"/>
          </w:tcPr>
          <w:p>
            <w:pPr>
              <w:spacing w:after="0"/>
              <w:rPr>
                <w:sz w:val="19"/>
                <w:szCs w:val="19"/>
                <w:color w:val="auto"/>
              </w:rPr>
            </w:pPr>
          </w:p>
        </w:tc>
        <w:tc>
          <w:tcPr>
            <w:tcW w:w="306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940" w:type="dxa"/>
            <w:vAlign w:val="bottom"/>
            <w:gridSpan w:val="5"/>
          </w:tcPr>
          <w:p>
            <w:pPr>
              <w:jc w:val="right"/>
              <w:ind w:right="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r>
      <w:tr>
        <w:trPr>
          <w:trHeight w:val="25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r>
      <w:tr>
        <w:trPr>
          <w:trHeight w:val="263"/>
        </w:trPr>
        <w:tc>
          <w:tcPr>
            <w:tcW w:w="54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1,037</w:t>
            </w:r>
          </w:p>
        </w:tc>
      </w:tr>
      <w:tr>
        <w:trPr>
          <w:trHeight w:val="277"/>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1,356</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2,943</w:t>
            </w:r>
          </w:p>
        </w:tc>
      </w:tr>
      <w:tr>
        <w:trPr>
          <w:trHeight w:val="257"/>
        </w:trPr>
        <w:tc>
          <w:tcPr>
            <w:tcW w:w="5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2,028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14,206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5,503</w:t>
            </w:r>
          </w:p>
        </w:tc>
      </w:tr>
      <w:tr>
        <w:trPr>
          <w:trHeight w:val="20"/>
        </w:trPr>
        <w:tc>
          <w:tcPr>
            <w:tcW w:w="5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60" w:type="dxa"/>
            <w:vAlign w:val="bottom"/>
          </w:tcPr>
          <w:p>
            <w:pPr>
              <w:spacing w:after="0"/>
              <w:rPr>
                <w:sz w:val="19"/>
                <w:szCs w:val="19"/>
                <w:color w:val="auto"/>
              </w:rPr>
            </w:pPr>
          </w:p>
        </w:tc>
        <w:tc>
          <w:tcPr>
            <w:tcW w:w="29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w:t>
            </w:r>
          </w:p>
        </w:tc>
      </w:tr>
      <w:tr>
        <w:trPr>
          <w:trHeight w:val="257"/>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69,440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48,980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20,460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1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increase in revenue of $20.5 million was comprised of increases in subscription revenue of $18.6 million, perpetual license and maintenance revenue of $1.0 million and professional services and other revenue of $0.9 million. Revenue from existing customers comprised 42% of the increase, while the remaining increase was due to revenue from new customers since October 1, 2017. International revenue increased $8.7 million, or 59%.</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40" w:right="239" w:bottom="1440" w:gutter="0" w:footer="0" w:header="0"/>
        </w:sectPr>
      </w:pPr>
    </w:p>
    <w:bookmarkStart w:id="26" w:name="page27"/>
    <w:bookmarkEnd w:id="2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9"/>
                <w:szCs w:val="19"/>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12,161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7,424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4,737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22"/>
                <w:szCs w:val="22"/>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57,279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41,556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15,723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$4.7 million was primarily due to:</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$2.0 million increase in personnel costs primarily due to increased headcount;</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$1.0 million increase in allocated overhead costs driven by both the increase in headcount and the overall increase in such costs on a year-over-year basis;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$0.9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$0.4 million increase in professional fees;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$0.2 million increase in software subscription expenses.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44,550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29,574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14,976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$15.0 million was primarily due to:</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$7.9 million increase in personnel costs largely associated with an increase in headcount;</w:t>
      </w:r>
    </w:p>
    <w:p>
      <w:pPr>
        <w:spacing w:after="0" w:line="9"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$3.6 million increase in sales commissions, including sales commission draws, due to increased sales and the amortization of deferred commissions;</w:t>
      </w:r>
    </w:p>
    <w:p>
      <w:pPr>
        <w:ind w:left="660" w:right="8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$1.4 million increase in expenses for demand generation programs, including advertising, sponsorships and brand awareness efforts aimed at acquiring new customers;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$1.4 million increase in selling expenses, including travel and meeting costs and the costs of software subscriptions.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20,553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15,869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4,684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$4.7 million was primarily due to:</w:t>
      </w:r>
    </w:p>
    <w:p>
      <w:pPr>
        <w:spacing w:after="0" w:line="117" w:lineRule="exact"/>
        <w:rPr>
          <w:sz w:val="20"/>
          <w:szCs w:val="20"/>
          <w:color w:val="auto"/>
        </w:rPr>
      </w:pPr>
    </w:p>
    <w:p>
      <w:pPr>
        <w:ind w:left="660" w:right="28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$4.1 million increase in personnel costs largely associated with an increase in headcount, net of $0.6 million of development costs capitalized related to internal use software;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$0.3 million increase in third-party cloud infrastructure costs related to the development of new and future offerings;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$0.1 million increase in allocated overhead driven by both the increase in headcount and the overall increase in such costs on a year-over-year basis.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0" w:right="239" w:bottom="1440" w:gutter="0" w:footer="0" w:header="0"/>
        </w:sectPr>
      </w:pPr>
    </w:p>
    <w:bookmarkStart w:id="27" w:name="page28"/>
    <w:bookmarkEnd w:id="2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960" w:type="dxa"/>
            <w:vAlign w:val="bottom"/>
            <w:gridSpan w:val="6"/>
          </w:tcPr>
          <w:p>
            <w:pPr>
              <w:ind w:left="60"/>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Pr>
          <w:p>
            <w:pPr>
              <w:spacing w:after="0"/>
              <w:rPr>
                <w:sz w:val="19"/>
                <w:szCs w:val="19"/>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13,272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7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5,997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$6.0 million was primarily due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$4.3 million increase in personnel costs largely associated with an increase in headcount;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$0.9 million increase in professional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$0.2 million increase in software subscription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192,139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133,610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58,529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bl>
    <w:p>
      <w:pPr>
        <w:spacing w:after="0" w:line="215"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increase in revenue of $58.5 million was comprised of increases in subscription revenue of $53.1 million, perpetual license and maintenance revenue of $3.6 million and professional services and other revenue of $1.8 million. Revenue from existing customers comprised 57% of the increase, while the remaining increase was due to revenue from new customers since October 1, 2017. International revenue increased $24.1 million, or 61%.</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200" w:type="dxa"/>
            <w:vAlign w:val="bottom"/>
          </w:tcPr>
          <w:p>
            <w:pPr>
              <w:spacing w:after="0"/>
              <w:rPr>
                <w:sz w:val="19"/>
                <w:szCs w:val="19"/>
                <w:color w:val="auto"/>
              </w:rPr>
            </w:pPr>
          </w:p>
        </w:tc>
        <w:tc>
          <w:tcPr>
            <w:tcW w:w="1700" w:type="dxa"/>
            <w:vAlign w:val="bottom"/>
            <w:gridSpan w:val="3"/>
          </w:tcPr>
          <w:p>
            <w:pPr>
              <w:ind w:left="960"/>
              <w:spacing w:after="0"/>
              <w:rPr>
                <w:sz w:val="20"/>
                <w:szCs w:val="20"/>
                <w:color w:val="auto"/>
              </w:rPr>
            </w:pPr>
            <w:r>
              <w:rPr>
                <w:rFonts w:ascii="Arial" w:cs="Arial" w:eastAsia="Arial" w:hAnsi="Arial"/>
                <w:sz w:val="16"/>
                <w:szCs w:val="16"/>
                <w:b w:val="1"/>
                <w:bCs w:val="1"/>
                <w:color w:val="auto"/>
              </w:rPr>
              <w:t>Change</w:t>
            </w:r>
          </w:p>
        </w:tc>
        <w:tc>
          <w:tcPr>
            <w:tcW w:w="980" w:type="dxa"/>
            <w:vAlign w:val="bottom"/>
          </w:tcPr>
          <w:p>
            <w:pPr>
              <w:spacing w:after="0"/>
              <w:rPr>
                <w:sz w:val="19"/>
                <w:szCs w:val="19"/>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70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Change ($)</w:t>
            </w:r>
          </w:p>
        </w:tc>
        <w:tc>
          <w:tcPr>
            <w:tcW w:w="980" w:type="dxa"/>
            <w:vAlign w:val="bottom"/>
            <w:tcBorders>
              <w:top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w:t>
            </w:r>
          </w:p>
        </w:tc>
      </w:tr>
      <w:tr>
        <w:trPr>
          <w:trHeight w:val="257"/>
        </w:trPr>
        <w:tc>
          <w:tcPr>
            <w:tcW w:w="5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30,768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17,210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13,558</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63"/>
        </w:trPr>
        <w:tc>
          <w:tcPr>
            <w:tcW w:w="54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2"/>
                <w:szCs w:val="22"/>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161,371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116,400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44,971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of $13.6 million was primarily due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$5.0 million increase in third-party cloud infrastructure costs largely associated with the increased adoption of Tenable.io;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$4.8 million increase in personnel costs primarily due to increased headcount;</w:t>
      </w:r>
    </w:p>
    <w:p>
      <w:pPr>
        <w:spacing w:after="0" w:line="63"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$2.2 million increase in allocated overhead costs driven by both the increase in headcount and the overall increase in such costs on a year-over-year basis;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$0.4 million increase in software subscription expenses;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$0.4 million increase in depreciation and amortization.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0" w:right="239" w:bottom="1440" w:gutter="0" w:footer="0" w:header="0"/>
        </w:sectPr>
      </w:pPr>
    </w:p>
    <w:bookmarkStart w:id="28" w:name="page29"/>
    <w:bookmarkEnd w:id="2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960" w:type="dxa"/>
            <w:vAlign w:val="bottom"/>
            <w:gridSpan w:val="6"/>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125,964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83,515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42,449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of $42.4 million was primarily due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$20.1 million increase in personnel costs largely associated with an increase in headcount;</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$10.7 million increase in sales commissions, including sales commission draws, due to increased sales and the amortization of deferred commissions;</w:t>
      </w:r>
    </w:p>
    <w:p>
      <w:pPr>
        <w:ind w:left="660" w:right="8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$5.9 million increase in expenses for demand generation programs, including advertising, sponsorships and brand awareness efforts aimed at acquiring new customers;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$4.2 million increase in selling expenses, including travel and meeting costs and the costs of software subscriptions; and</w:t>
      </w:r>
    </w:p>
    <w:p>
      <w:pPr>
        <w:spacing w:after="0" w:line="9"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$1.1 million increase in allocated overhead costs,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96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55,529</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42,040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13,489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of $13.5 million was primarily due to:</w:t>
      </w:r>
    </w:p>
    <w:p>
      <w:pPr>
        <w:spacing w:after="0" w:line="117" w:lineRule="exact"/>
        <w:rPr>
          <w:sz w:val="20"/>
          <w:szCs w:val="20"/>
          <w:color w:val="auto"/>
        </w:rPr>
      </w:pPr>
    </w:p>
    <w:p>
      <w:pPr>
        <w:ind w:left="660" w:right="1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$10.6 million increase in personnel costs largely associated with an increase in headcount, net of $1.5 million of development costs capitalized related to internal use software;</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$1.0 million increase in third-party cloud infrastructure costs related to the development of new and future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increase in event and travel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increase in software subscription expenses; and</w:t>
      </w:r>
    </w:p>
    <w:p>
      <w:pPr>
        <w:spacing w:after="0" w:line="9"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$0.5 million in allocated overhead driven by both the increase in headcount and the overall increase in such costs on a year-over-year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960" w:type="dxa"/>
            <w:vAlign w:val="bottom"/>
            <w:gridSpan w:val="5"/>
          </w:tcPr>
          <w:p>
            <w:pPr>
              <w:ind w:left="100"/>
              <w:spacing w:after="0"/>
              <w:rPr>
                <w:sz w:val="20"/>
                <w:szCs w:val="20"/>
                <w:color w:val="auto"/>
              </w:rPr>
            </w:pPr>
            <w:r>
              <w:rPr>
                <w:rFonts w:ascii="Arial" w:cs="Arial" w:eastAsia="Arial" w:hAnsi="Arial"/>
                <w:sz w:val="16"/>
                <w:szCs w:val="16"/>
                <w:b w:val="1"/>
                <w:bCs w:val="1"/>
                <w:color w:val="auto"/>
              </w:rPr>
              <w:t>Nine Months Ended September 30,</w:t>
            </w:r>
          </w:p>
        </w:tc>
        <w:tc>
          <w:tcPr>
            <w:tcW w:w="360" w:type="dxa"/>
            <w:vAlign w:val="bottom"/>
          </w:tcPr>
          <w:p>
            <w:pPr>
              <w:spacing w:after="0"/>
              <w:rPr>
                <w:sz w:val="19"/>
                <w:szCs w:val="19"/>
                <w:color w:val="auto"/>
              </w:rPr>
            </w:pPr>
          </w:p>
        </w:tc>
        <w:tc>
          <w:tcPr>
            <w:tcW w:w="156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9"/>
                <w:szCs w:val="19"/>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32,868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19,982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12,886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general and administrative expense of $12.9 million was primarily due to:</w:t>
      </w:r>
    </w:p>
    <w:p>
      <w:pPr>
        <w:spacing w:after="0" w:line="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$8.0 million increase in personnel costs largely associated with an increase in headcount;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$2.9 million increase in professional fees;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$0.6 million increase in software subscription expense;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$0.3 million increase in depreciation and amortization; and</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$0.2 million increase in allocated overhead driven by both the increase in headcount and the overall increase in such costs on a year-over-year basis.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0" w:right="239" w:bottom="1440" w:gutter="0" w:footer="0" w:header="0"/>
        </w:sectPr>
      </w:pPr>
    </w:p>
    <w:bookmarkStart w:id="29" w:name="page30"/>
    <w:bookmarkEnd w:id="2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At September 30, 2018, we had cash and cash equivalents consisting of bank deposits and money market funds of $ 253.0 million and short-term investments consisting of commercial paper and corporate bonds of $34.1 million. Upon the completion of our IPO in July 2018, we received net proceeds of $264.8 million.</w:t>
      </w:r>
    </w:p>
    <w:p>
      <w:pPr>
        <w:spacing w:after="0" w:line="20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Since our inception and prior to our IPO, we financed our operations through cash provided by operations, including payments received from customers using our software products and services, and we did not raise any primary institutional capital prior to our IPO. The proceeds of our Series A and Series B redeemable convertible preferred stock financings were used to repurchase shares of capital stock from former stockholders. We have generated significant operating losses from our operations as reflected by our accumulated deficit of $446.5 million at September 30, 2018.</w:t>
      </w:r>
    </w:p>
    <w:p>
      <w:pPr>
        <w:spacing w:after="0" w:line="206"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typically invoice our customers annually in advance and, to a lesser extent, multi-year in advance. Therefore, a substantial source of our cash is from such prepayments, which are included on our consolidated balance sheets as deferred revenue. Deferred revenue consists primarily of the unearned portion of billed fees for our subscriptions and perpetual licenses, which is subsequently recognized as revenue in accordance with our revenue recognition policy. At September 30, 2018, we had deferred revenue of $265.7 million, of which $191.6 million was recorded as a current liability and is expected to be recorded as revenue in the next 12 months, provided all other revenue recognition criteria are met.</w:t>
      </w:r>
    </w:p>
    <w:p>
      <w:pPr>
        <w:spacing w:after="0" w:line="20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and investments in infrastructure. We expect to continue incurring operating losses and generating negative cash flows from operations in the near-term; however, we believe that our existing cash and cash equivalents, including cash proceeds from our IPO, together with amounts available under the revolving credit facility, will be sufficient to fund our operating and capital needs for at least the next 12 months.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such as our new corporate headquarters, the expansion of sales and marketing and international operating activities, the timing of introduction of new product capabilities and enhancements of our platform and the continuing market acceptance of our platform.</w:t>
      </w:r>
    </w:p>
    <w:p>
      <w:pPr>
        <w:spacing w:after="0" w:line="21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We may in the future enter into arrangements to acquire or invest in complementary businesses, services and technologies, including intellectual property rights. We may be required to seek equity or debt financing.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247"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May 2017, we entered into a $25.0 million revolving credit facility with Silicon Valley Bank. Pursuant to the terms of the revolving credit facility, we may issue up to $5.0 million of letters of credit, which reduce the total amount available for borrowing under such facility. The revolving credit facility terminates on May 4, 2020. To date, we have not borrowed any amounts under the revolving credit facility.</w:t>
      </w:r>
    </w:p>
    <w:p>
      <w:pPr>
        <w:spacing w:after="0" w:line="20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Interest on borrowings under the revolving credit facility accrues at a variable rate tied to the prime rate or the LIBOR rate, at our election. Interest is payable quarterly in arrears. We are required to pay a quarterly commitment fee that accrues at a rate of 0.25% per annum on the unused portion of the borrowing commitment.</w:t>
      </w:r>
    </w:p>
    <w:p>
      <w:pPr>
        <w:spacing w:after="0" w:line="202"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The revolving credit facility contains customary conditions to borrowing, events of default and covenants, including restrictions on indebtedness, liens, acquisitions and investments, restricted payments and dispositions. If, as of the last day of any quarter, the outstanding balance of the revolving credit facility exceeds $5.0 million, there are financial covenants that require us to maintain a minimum level of earnings before income taxes, interest, depreciation and amortization adjusted to add changes in deferred revenue in the period and a minimum current ratio level. We were in compliance with all covenants under the revolving credit facility at September 30, 2018.</w:t>
      </w: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140" w:right="339" w:bottom="1440" w:gutter="0" w:footer="0" w:header="0"/>
        </w:sectPr>
      </w:pPr>
    </w:p>
    <w:bookmarkStart w:id="30" w:name="page31"/>
    <w:bookmarkEnd w:id="3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6"/>
                <w:szCs w:val="16"/>
                <w:b w:val="1"/>
                <w:bCs w:val="1"/>
                <w:color w:val="auto"/>
              </w:rPr>
              <w:t>Nine Months Ended September 30,</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2017</w:t>
            </w:r>
          </w:p>
        </w:tc>
      </w:tr>
      <w:tr>
        <w:trPr>
          <w:trHeight w:val="25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63"/>
        </w:trPr>
        <w:tc>
          <w:tcPr>
            <w:tcW w:w="81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(38,254)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(1,628)</w:t>
            </w:r>
          </w:p>
        </w:tc>
      </w:tr>
      <w:tr>
        <w:trPr>
          <w:trHeight w:val="277"/>
        </w:trPr>
        <w:tc>
          <w:tcPr>
            <w:tcW w:w="8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265,750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2,051</w:t>
            </w:r>
          </w:p>
        </w:tc>
      </w:tr>
      <w:tr>
        <w:trPr>
          <w:trHeight w:val="264"/>
        </w:trPr>
        <w:tc>
          <w:tcPr>
            <w:tcW w:w="8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225,816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2018, net cash used in operating activities was $1.0 million, which primarily consisted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$53.9 million loss, adjusted for stock-based compensation expense of $14.2 million and depreciation and amortization of $4.6 million, as 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 net cash inflow of $33.3 million from changes in operating assets and liabilities. The net inflow from changes in operating assets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was primarily due to a $39.9 million increase in deferred revenue primarily due to increased subscription sales as a majority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customers are invoiced in advance, partially offset by an $8.2 million increase in accounts receivable.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nine months ended September 30, 2017, net cash used in operating activities was $0.8 million, which primarily consisted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$29.4 million loss, adjusted for stock-based compensation expense of $5.5 million and depreciation and amortization of $3.3 million, as well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net cash inflow of $19.2 million from changes in operating assets and liabilities. The net inflow from changes in operating assets and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 primarily due to a $40.1 million increase in deferred revenue from increased subscription sales, partially offset by an $11.3 million increase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deferred commissions and an $8.4 million increase in accounts receivable.</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43"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Net cash used in investing activities increased by $36.6 million, primarily due to our purchase of short-term investments of commercial paper and corporate bonds.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4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Net cash provided by financing activities increased by $263.7 million, primarily due to proceeds from our IPO, net of underwriting discounts and commissions, of $268.5 million, less payments of offering costs related to our IPO of $3.7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600" w:firstLine="324"/>
        <w:spacing w:after="0" w:line="262" w:lineRule="auto"/>
        <w:rPr>
          <w:sz w:val="20"/>
          <w:szCs w:val="20"/>
          <w:color w:val="auto"/>
        </w:rPr>
      </w:pPr>
      <w:r>
        <w:rPr>
          <w:rFonts w:ascii="Arial" w:cs="Arial" w:eastAsia="Arial" w:hAnsi="Arial"/>
          <w:sz w:val="18"/>
          <w:szCs w:val="18"/>
          <w:color w:val="auto"/>
        </w:rPr>
        <w:t>At September 30, 2018, there were no material changes in our contractual obligations and commitments from those disclosed in our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At September 30, 2018,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0" w:right="239" w:bottom="1440" w:gutter="0" w:footer="0" w:header="0"/>
        </w:sectPr>
      </w:pPr>
    </w:p>
    <w:bookmarkStart w:id="31" w:name="page32"/>
    <w:bookmarkEnd w:id="3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4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Refer to Note 1 to our consolidated financial statements for more information regarding recently issued accounting pronouncements not yet adopted.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47" w:lineRule="exact"/>
        <w:rPr>
          <w:sz w:val="20"/>
          <w:szCs w:val="20"/>
          <w:color w:val="auto"/>
        </w:rPr>
      </w:pPr>
    </w:p>
    <w:p>
      <w:pPr>
        <w:jc w:val="both"/>
        <w:ind w:right="120" w:firstLine="324"/>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2" w:name="page33"/>
    <w:bookmarkEnd w:id="3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We are exposed to market risks in the ordinary course of our business, including interest rate, foreign currency exchange and inflation risks.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At September 30, 2018, we had cash and cash equivalents of $253.0 million, consisting of cash deposits and money market funds. We also had short-term investments of $34.1 million, consisting of commercial paper and corporate bonds. Our investments are carried at their fair market value with cumulative unrealized gains or losses recorded as a component of accumulated other comprehensive loss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07" w:lineRule="exact"/>
        <w:rPr>
          <w:sz w:val="20"/>
          <w:szCs w:val="20"/>
          <w:color w:val="auto"/>
        </w:rPr>
      </w:pPr>
    </w:p>
    <w:p>
      <w:pPr>
        <w:jc w:val="both"/>
        <w:ind w:right="220" w:firstLine="324"/>
        <w:spacing w:after="0" w:line="256" w:lineRule="auto"/>
        <w:rPr>
          <w:sz w:val="20"/>
          <w:szCs w:val="20"/>
          <w:color w:val="auto"/>
        </w:rPr>
      </w:pPr>
      <w:r>
        <w:rPr>
          <w:rFonts w:ascii="Arial" w:cs="Arial" w:eastAsia="Arial" w:hAnsi="Arial"/>
          <w:sz w:val="18"/>
          <w:szCs w:val="18"/>
          <w:color w:val="auto"/>
        </w:rPr>
        <w:t>We have not had any amounts outstanding under the revolving credit facility since it was established in May 2017. Any borrowings under the revolving credit facility would bear interest at a variable rate tied to the prime rate or the LIBOR rate. We do not have any other long-term debt or financial liabilities with floating interest rates that would subject us to interest rate fluctuations.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Substantially all of our sales contracts are denominated in U.S. dollars, with a limited number of contracts denominated in foreign currencies. A portion of our operating expenses are incurred outside the United States, denominated in foreign currencies and subject to fluctuations due to changes in foreign currency exchange rates, particularly changes in the Euro, British Pound and Australian dollar. Additionally, fluctuations in foreign currency exchange rates may cause us to recognize remeasurement and transaction gains (losses) in our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47" w:lineRule="exact"/>
        <w:rPr>
          <w:sz w:val="20"/>
          <w:szCs w:val="20"/>
          <w:color w:val="auto"/>
        </w:rPr>
      </w:pPr>
    </w:p>
    <w:p>
      <w:pPr>
        <w:ind w:right="240" w:firstLine="324"/>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September 30, 2018, our disclosure controls and procedures were effective to provide reasonable assurance that the information required to be disclosed by us in this Form 10-Q was (a)</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3" w:name="page34"/>
    <w:bookmarkEnd w:id="3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color w:val="auto"/>
        </w:rPr>
        <w:t>reported within the time periods specified by SEC rules and regulations, and (b) communicated to our management, including our Chief Executive Officer and Chief Financial Officer, to allow timely decisions regarding any required disclosure.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w:t>
      </w:r>
    </w:p>
    <w:p>
      <w:pPr>
        <w:spacing w:after="0" w:line="2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15d-15(d) of the Exchange Act during the period covered by this Quarterly Report on Form 10-Q that materially affected, or are reasonably likely to materially affect, our internal control over financial reporting.</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40" w:right="279" w:bottom="1440" w:gutter="0" w:footer="0" w:header="0"/>
        </w:sectPr>
      </w:pPr>
    </w:p>
    <w:bookmarkStart w:id="34" w:name="page35"/>
    <w:bookmarkEnd w:id="3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Quarterly Report on Form 10-Q,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47"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have historically incurred net losses, including net losses of $37.2 million, $41.0 million and $53.9 million in 2016, 2017 and the nine months ended September 30, 2018, respectively. As of September 30, 2018, we had an accumulated deficit of $446.5 million. Because the market for our offerings is highly competitive and rapidly evolving and these solutions have not yet reached widespread adoption, it is difficult for us to predict our future results of operations. 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20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2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40" w:right="259" w:bottom="1440" w:gutter="0" w:footer="0" w:header="0"/>
        </w:sectPr>
      </w:pPr>
    </w:p>
    <w:bookmarkStart w:id="35" w:name="page36"/>
    <w:bookmarkEnd w:id="3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47"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From 2016 to 2017, our revenue grew from $ 124.4 million to $187.7 million, representing year-over-year growth of 51%. Our adoption of ASC 606 as of January 1, 2017 contributed three percentage points to that growth rate. From the nine months ended September 30, 2017 to the nine months ended September 30, 2018, our revenue grew from $133.6 million to $192.1 million.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20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the rate at which customers purchase and renew subscriptions to our enterprise platform offerings;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25"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200" w:lineRule="exact"/>
        <w:rPr>
          <w:sz w:val="20"/>
          <w:szCs w:val="20"/>
          <w:color w:val="auto"/>
        </w:rPr>
      </w:pPr>
    </w:p>
    <w:p>
      <w:pPr>
        <w:spacing w:after="0" w:line="218"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390" w:lineRule="exact"/>
        <w:rPr>
          <w:sz w:val="20"/>
          <w:szCs w:val="20"/>
          <w:color w:val="auto"/>
        </w:rPr>
      </w:pPr>
    </w:p>
    <w:p>
      <w:pPr>
        <w:ind w:left="340" w:right="220"/>
        <w:spacing w:after="0" w:line="269"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may not be immediately reflected in our revenue results for that period. This decline, however, will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4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0" w:right="239" w:bottom="1440" w:gutter="0" w:footer="0" w:header="0"/>
        </w:sectPr>
      </w:pPr>
    </w:p>
    <w:bookmarkStart w:id="36" w:name="page37"/>
    <w:bookmarkEnd w:id="3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right="20"/>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or with third-party products, websites or services, our results of operations may be harmed.</w:t>
      </w:r>
    </w:p>
    <w:p>
      <w:pPr>
        <w:spacing w:after="0" w:line="175"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Our enterprise platform offerings, Tenable.io and SecurityCenter,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such as HTTP/2,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200" w:lineRule="exact"/>
        <w:rPr>
          <w:sz w:val="20"/>
          <w:szCs w:val="20"/>
          <w:color w:val="auto"/>
        </w:rPr>
      </w:pPr>
    </w:p>
    <w:p>
      <w:pPr>
        <w:spacing w:after="0" w:line="22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400" w:lineRule="exact"/>
        <w:rPr>
          <w:sz w:val="20"/>
          <w:szCs w:val="20"/>
          <w:color w:val="auto"/>
        </w:rPr>
      </w:pPr>
    </w:p>
    <w:p>
      <w:pPr>
        <w:ind w:left="340" w:right="280"/>
        <w:spacing w:after="0" w:line="28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or if they contain undetected errors or defects, our brand and reputation could be harmed.</w:t>
      </w:r>
    </w:p>
    <w:p>
      <w:pPr>
        <w:spacing w:after="0" w:line="175"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If our solutions fail to detect vulnerabilities in our customers’ cybersecurity infrastructure, or if our solutions fail to identify to new and increasingly complex methods of cyberattacks, our business and reputation may suffer. There is no guarantee that our solutions will detect all vulnerabilities, especially in light of the rapidly changing security landscape to which we must respond. Additionally, our solutions may falsely detect vulnerabilities or threats that do not actually exist. For example, our solutions rely on information provided by an active community of users who contribute new exploits, attacks and vulnerabilities. If the information from these third parties is inaccurate, the potential for false indications of security vulnerabilities increases. These false positives, while typical in the industry, may impair the perceived reliability of our offerings and may therefore adversely impact market acceptance of our products and could result in negative publicity, loss of customers and sales and increased costs to remedy any problem.</w:t>
      </w:r>
    </w:p>
    <w:p>
      <w:pPr>
        <w:spacing w:after="0" w:line="200" w:lineRule="exact"/>
        <w:rPr>
          <w:sz w:val="20"/>
          <w:szCs w:val="20"/>
          <w:color w:val="auto"/>
        </w:rPr>
      </w:pPr>
    </w:p>
    <w:p>
      <w:pPr>
        <w:spacing w:after="0" w:line="222"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Our solutions may also contain undetected errors or defects when first introduced or as new versions are released. We have experienced these errors or defects in the past in connection with new solutions and product upgrades and we expect that these errors or defects will be found from time to time in the future in new or enhanced solutions after commercial release. Defects may cause our solutions to be vulnerable to attacks, cause them to fail to detect vulnerabilities, or temporarily interrupt customers’ networking traffic. Any errors, defects, disruptions in service or other performance problems with our solutions may damage our customers’ business and could hurt our reputation. If our solutions or fail to detect vulnerabilities for any reason,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200" w:lineRule="exact"/>
        <w:rPr>
          <w:sz w:val="20"/>
          <w:szCs w:val="20"/>
          <w:color w:val="auto"/>
        </w:rPr>
      </w:pPr>
    </w:p>
    <w:p>
      <w:pPr>
        <w:spacing w:after="0" w:line="22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brand and our offerings and subject us to legal claims.</w:t>
      </w:r>
    </w:p>
    <w:p>
      <w:pPr>
        <w:spacing w:after="0" w:line="396" w:lineRule="exact"/>
        <w:rPr>
          <w:sz w:val="20"/>
          <w:szCs w:val="20"/>
          <w:color w:val="auto"/>
        </w:rPr>
      </w:pPr>
    </w:p>
    <w:p>
      <w:pPr>
        <w:ind w:left="340" w:right="460"/>
        <w:spacing w:after="0" w:line="287"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75"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19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level of demand for our enterprise platform;</w:t>
      </w:r>
    </w:p>
    <w:p>
      <w:pPr>
        <w:sectPr>
          <w:pgSz w:w="11900" w:h="16838" w:orient="portrait"/>
          <w:cols w:equalWidth="0" w:num="1">
            <w:col w:w="11420"/>
          </w:cols>
          <w:pgMar w:left="240" w:top="140" w:right="2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40" w:right="239" w:bottom="1440" w:gutter="0" w:footer="0" w:header="0"/>
          <w:type w:val="continuous"/>
        </w:sectPr>
      </w:pPr>
    </w:p>
    <w:bookmarkStart w:id="37" w:name="page38"/>
    <w:bookmarkEnd w:id="3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22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IT assets under such subscriptions, with existing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customers delaying purchasing decisions in anticipation of new developments or enhancements by us or our competitors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9"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our effective tax rate; and</w:t>
      </w:r>
    </w:p>
    <w:p>
      <w:pPr>
        <w:spacing w:after="0" w:line="9"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w:t>
      </w:r>
    </w:p>
    <w:p>
      <w:pPr>
        <w:spacing w:after="0" w:line="19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Any one of these or other factors discussed elsewhere in this Quarterly Report on Form 10-Q,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face intense competition.</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including IBM; endpoint security vendors with nascent vulnerability assessment capabilities, including Tanium and CrowdStrike; and providers of point solutions that compete with some of the features present in our solutions. We also compete against internally-developed efforts that often use open source solutions.</w:t>
      </w:r>
    </w:p>
    <w:p>
      <w:pPr>
        <w:spacing w:after="0" w:line="200" w:lineRule="exact"/>
        <w:rPr>
          <w:sz w:val="20"/>
          <w:szCs w:val="20"/>
          <w:color w:val="auto"/>
        </w:rPr>
      </w:pPr>
    </w:p>
    <w:p>
      <w:pPr>
        <w:spacing w:after="0" w:line="22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and broader global distribution and presence. In addition, our industry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38" w:name="page39"/>
    <w:bookmarkEnd w:id="3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is evolving rapidly and is becoming increasingly competitive. Larger and more established companies may focus on cybersecurity and could directly compete with us. Smaller companies could also launch new products and services that we do not offer and that could gain market acceptance quickly.</w:t>
      </w:r>
    </w:p>
    <w:p>
      <w:pPr>
        <w:spacing w:after="0" w:line="200" w:lineRule="exact"/>
        <w:rPr>
          <w:sz w:val="20"/>
          <w:szCs w:val="20"/>
          <w:color w:val="auto"/>
        </w:rPr>
      </w:pPr>
    </w:p>
    <w:p>
      <w:pPr>
        <w:spacing w:after="0" w:line="21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competitors may be able to respond more quickly and effectively than we can to new or changing opportunities, technologies, standards or customer requirements. With the introduction of new technologies, the evolution of our offerings and new market entrants, we expect competition to intensify in the future. 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offerings and cause the average sales price for our offerings to decline. These larger competitors are also often in a better position to withstand any significant reduction in capital spending, and will therefore not be as susceptible to economic downturns. One component of our enterprise platform involves assessing Cyber Exposure in a public cloud environment. We are dependent upon the public cloud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0" w:lineRule="exact"/>
        <w:rPr>
          <w:sz w:val="20"/>
          <w:szCs w:val="20"/>
          <w:color w:val="auto"/>
        </w:rPr>
      </w:pPr>
    </w:p>
    <w:p>
      <w:pPr>
        <w:spacing w:after="0" w:line="22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1" w:lineRule="exact"/>
        <w:rPr>
          <w:sz w:val="20"/>
          <w:szCs w:val="20"/>
          <w:color w:val="auto"/>
        </w:rPr>
      </w:pPr>
    </w:p>
    <w:p>
      <w:pPr>
        <w:ind w:left="340" w:right="520"/>
        <w:spacing w:after="0" w:line="287" w:lineRule="auto"/>
        <w:rPr>
          <w:sz w:val="20"/>
          <w:szCs w:val="20"/>
          <w:color w:val="auto"/>
        </w:rPr>
      </w:pPr>
      <w:r>
        <w:rPr>
          <w:rFonts w:ascii="Arial" w:cs="Arial" w:eastAsia="Arial" w:hAnsi="Arial"/>
          <w:sz w:val="18"/>
          <w:szCs w:val="18"/>
          <w:b w:val="1"/>
          <w:bCs w:val="1"/>
          <w:i w:val="1"/>
          <w:iCs w:val="1"/>
          <w:color w:val="auto"/>
        </w:rPr>
        <w:t>If we do not continue to innovate and offer solutions that address the dynamic cybersecurity landscape, we may not remain competitive.</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cybersecurity market is characterized by very rapid technological advances, changes in customer requirements, frequent new product introductions and enhancements and evolving industry standards. Our success also depends on continued innovation to provide features that make our solutions responsive to the cybersecurity landscape. While we continue to invest significant resources in research and development in order to ensure that our solutions continue to address the cyber security risks that our customers face, the introduction of solutions and services embodying new technologies could render our existing solutions or services obsolete or less attractive to customers. In addition, developing new solutions and product enhancements is expensive and time-consuming, and there is no assurance that such activities will result in significant cost savings, revenue or other expected benefits. For example, we plan to release a new product, Tenable.io Lumin, and there can be no assurance that product will offer the benefits we expect or generate customer interest. We may also face delays or uncertainty in our release timing for Tenable.io Lumin that may be costly or reduce the benefits of Lumin.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w:t>
      </w:r>
    </w:p>
    <w:p>
      <w:pPr>
        <w:spacing w:after="0" w:line="200" w:lineRule="exact"/>
        <w:rPr>
          <w:sz w:val="20"/>
          <w:szCs w:val="20"/>
          <w:color w:val="auto"/>
        </w:rPr>
      </w:pPr>
    </w:p>
    <w:p>
      <w:pPr>
        <w:spacing w:after="0" w:line="206" w:lineRule="exact"/>
        <w:rPr>
          <w:sz w:val="20"/>
          <w:szCs w:val="20"/>
          <w:color w:val="auto"/>
        </w:rPr>
      </w:pPr>
    </w:p>
    <w:p>
      <w:pPr>
        <w:ind w:left="340" w:right="40"/>
        <w:spacing w:after="0" w:line="262"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Our subscription offerings are term-based and a majority of our subscription contracts entered into in 2017 and 2018 were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0" w:right="239" w:bottom="1440" w:gutter="0" w:footer="0" w:header="0"/>
          <w:type w:val="continuous"/>
        </w:sectPr>
      </w:pPr>
    </w:p>
    <w:bookmarkStart w:id="39" w:name="page40"/>
    <w:bookmarkEnd w:id="3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Quarterly Report on Form 10-Q.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00" w:lineRule="exact"/>
        <w:rPr>
          <w:sz w:val="20"/>
          <w:szCs w:val="20"/>
          <w:color w:val="auto"/>
        </w:rPr>
      </w:pPr>
    </w:p>
    <w:p>
      <w:pPr>
        <w:spacing w:after="0" w:line="22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while customers are typically invoiced in advance, including multi-year contracts, and our contracts generally do not provide for refunds during the subscription or maintenance period, a small number of customers could take the position that provisions in their customer agreements give them the right to terminate their agreement with us, or allege a material breach of their agreement with us, due to or in connection with the sale of our common stock. Early termination of these customer agreements for these reasons would generally only allow us to retain fees already paid by the customer for services rendered prior to the termination. Termination of these agreements, or allegations that we have breached one of these agreements with them, could decrease our customer revenue and increase legal and administrative costs.</w:t>
      </w:r>
    </w:p>
    <w:p>
      <w:pPr>
        <w:spacing w:after="0" w:line="200" w:lineRule="exact"/>
        <w:rPr>
          <w:sz w:val="20"/>
          <w:szCs w:val="20"/>
          <w:color w:val="auto"/>
        </w:rPr>
      </w:pPr>
    </w:p>
    <w:p>
      <w:pPr>
        <w:spacing w:after="0" w:line="203" w:lineRule="exact"/>
        <w:rPr>
          <w:sz w:val="20"/>
          <w:szCs w:val="20"/>
          <w:color w:val="auto"/>
        </w:rPr>
      </w:pPr>
    </w:p>
    <w:p>
      <w:pPr>
        <w:ind w:left="340" w:right="160"/>
        <w:spacing w:after="0" w:line="287"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reliable performance of our solutions and network infrastructure.</w:t>
      </w:r>
    </w:p>
    <w:p>
      <w:pPr>
        <w:spacing w:after="0" w:line="175" w:lineRule="exact"/>
        <w:rPr>
          <w:sz w:val="20"/>
          <w:szCs w:val="20"/>
          <w:color w:val="auto"/>
        </w:rPr>
      </w:pPr>
    </w:p>
    <w:p>
      <w:pPr>
        <w:jc w:val="both"/>
        <w:ind w:right="40" w:firstLine="324"/>
        <w:spacing w:after="0" w:line="256" w:lineRule="auto"/>
        <w:rPr>
          <w:sz w:val="20"/>
          <w:szCs w:val="20"/>
          <w:color w:val="auto"/>
        </w:rPr>
      </w:pPr>
      <w:r>
        <w:rPr>
          <w:rFonts w:ascii="Arial" w:cs="Arial" w:eastAsia="Arial" w:hAnsi="Arial"/>
          <w:sz w:val="18"/>
          <w:szCs w:val="18"/>
          <w:color w:val="auto"/>
        </w:rPr>
        <w:t>We have experienced, and may in the future experience, disruptions, outages and other performance problems due to a variety of factors, including infrastructure changes, human or software errors, capacity constraints and fraud or cybersecurity attacks. In some instances, we may not be able to identify the cause or causes of these performance problems within an acceptable period of time.</w:t>
      </w:r>
    </w:p>
    <w:p>
      <w:pPr>
        <w:spacing w:after="0" w:line="200" w:lineRule="exact"/>
        <w:rPr>
          <w:sz w:val="20"/>
          <w:szCs w:val="20"/>
          <w:color w:val="auto"/>
        </w:rPr>
      </w:pPr>
    </w:p>
    <w:p>
      <w:pPr>
        <w:spacing w:after="0" w:line="21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Prolonged delays or unforeseen difficulties in connection with adding capacity or upgrading our network architecture when required may cause our service quality to suffer. Problems with the reliability or security of our systems could harm our reputation. Damage to our reputation and the cost of remedying these problems could negatively affect our business, financial condition, and operating results.</w:t>
      </w:r>
    </w:p>
    <w:p>
      <w:pPr>
        <w:spacing w:after="0" w:line="200" w:lineRule="exact"/>
        <w:rPr>
          <w:sz w:val="20"/>
          <w:szCs w:val="20"/>
          <w:color w:val="auto"/>
        </w:rPr>
      </w:pPr>
    </w:p>
    <w:p>
      <w:pPr>
        <w:spacing w:after="0" w:line="21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 cause us to issue credits to customers, subject us to potential liability and cause customers to not renew their purchases of our solutions.</w:t>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47"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building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Tenable.io is hosted on Amazon Web Services, or AWS, which provides us with computing and storage capacity. Interruptions in our systems or the third-party systems on which we rely, particularly AWS, whether due to system failures, computer viruses, physical or electronic break-ins or other factors, could affect the security or availability of our solutions, network infrastructure and website.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0" w:name="page41"/>
    <w:bookmarkEnd w:id="4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at any time, with no or limited notice. For example, our agreement with AWS allows AWS to terminate the agreement with 30 days’ written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0" w:lineRule="exact"/>
        <w:rPr>
          <w:sz w:val="20"/>
          <w:szCs w:val="20"/>
          <w:color w:val="auto"/>
        </w:rPr>
      </w:pPr>
    </w:p>
    <w:p>
      <w:pPr>
        <w:spacing w:after="0" w:line="225"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It is possible that our customers and potential customers would hold us accountable for any breach of security affecting third parties’ infrastructure. We may incur significant liability from those customers and from third parties with respect to any such breach. Because our agreement with AWS limits their liability for damages, we may not be able to recover a material portion of our liabilities to our customers and third parties from AWS in the event of any breach affecting AWS systems.</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continue to grow, we may not be able to manage our growth effectively.</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recently experienced a period of rapid growth in our headcount and operations. In particular, we grew from 751 employees as of December 31, 2016 to 984 employees as of December 31, 2017 and to 1,205 employees as of September 30, 2018. We have also significantly increased the size of our customer base over the last several years. We anticipate that we will continue to significantly expand our operations and headcount in the near term. Our growth has placed, and future growth will place, a significant strain on our management, administrative, operational and financial infrastructure. Our success will depend in part on our ability to manage this growth effectively. To manage the expected growth of our operations and personnel, we will need to continue to improve our operational, financial and management controls and our reporting systems and procedures. Failure to effectively manage our growth could result in difficulty or delays in deploying our solutions and services to customers, declines in quality or customer satisfaction, increases in costs, difficulties in introducing new features or other operational difficulties. Any of these difficulties could adversely impact our business performance and results of operations.</w:t>
      </w:r>
    </w:p>
    <w:p>
      <w:pPr>
        <w:spacing w:after="0" w:line="200" w:lineRule="exact"/>
        <w:rPr>
          <w:sz w:val="20"/>
          <w:szCs w:val="20"/>
          <w:color w:val="auto"/>
        </w:rPr>
      </w:pPr>
    </w:p>
    <w:p>
      <w:pPr>
        <w:spacing w:after="0" w:line="229" w:lineRule="exact"/>
        <w:rPr>
          <w:sz w:val="20"/>
          <w:szCs w:val="20"/>
          <w:color w:val="auto"/>
        </w:rPr>
      </w:pPr>
    </w:p>
    <w:p>
      <w:pPr>
        <w:jc w:val="both"/>
        <w:ind w:right="260" w:firstLine="324"/>
        <w:spacing w:after="0" w:line="253" w:lineRule="auto"/>
        <w:rPr>
          <w:sz w:val="20"/>
          <w:szCs w:val="20"/>
          <w:color w:val="auto"/>
        </w:rPr>
      </w:pPr>
      <w:r>
        <w:rPr>
          <w:rFonts w:ascii="Arial" w:cs="Arial" w:eastAsia="Arial" w:hAnsi="Arial"/>
          <w:sz w:val="18"/>
          <w:szCs w:val="18"/>
          <w:color w:val="auto"/>
        </w:rPr>
        <w:t>Our rapid growth also makes it difficult to evaluate our future prospects. Our ability to forecast our future operating results is subject to a number of uncertainties, including our ability to plan for and model future growth. If our assumptions regarding these uncertainties, which we use to plan our business, are incorrect or change in reaction to changes in our markets, or if we do not address these risks successfully, our operating and financial results could differ materially from our expectations, our business could suffer and the trading price of our stock may decline.</w:t>
      </w:r>
    </w:p>
    <w:p>
      <w:pPr>
        <w:spacing w:after="0" w:line="400" w:lineRule="exact"/>
        <w:rPr>
          <w:sz w:val="20"/>
          <w:szCs w:val="20"/>
          <w:color w:val="auto"/>
        </w:rPr>
      </w:pPr>
    </w:p>
    <w:p>
      <w:pPr>
        <w:ind w:left="340" w:right="60"/>
        <w:spacing w:after="0" w:line="287"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7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4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Further, the length of time that potential customers devote to their testing and evaluation, contract negotiation and budgeting processes varies significantly, depending on the size of the organization and nature of the product or service under consideration. In addition, we might devote substantial time and effort to a particular unsuccessful sales effort, and as a result, we could lose other sales opportunities or incur expenses that are not offset by an increase in revenue, which could harm our business.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0" w:right="259" w:bottom="1440" w:gutter="0" w:footer="0" w:header="0"/>
        </w:sectPr>
      </w:pPr>
    </w:p>
    <w:bookmarkStart w:id="41" w:name="page42"/>
    <w:bookmarkEnd w:id="4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our third-party channel partner network of distributors and resellers to generate a substantial amount of our revenue.</w:t>
      </w:r>
    </w:p>
    <w:p>
      <w:pPr>
        <w:spacing w:after="0" w:line="24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2016, 2017 and the nine months ended September 30, 2017 and 2018, we derived 80%, 83%, 82% and 87%, respectively, of our revenue from subscriptions and perpetual licenses sold through channel partners, and the percentage of revenue derived from channel partners may increase in future periods. Ingram Micro, Inc., a distributor, accounted for 42%, 45% 42% and 46% of our revenue in 2016, 2017 and the nine months ended September 30, 2017 and 2018, respectively, and 51% of our accounts receivable as of each of December 31, 2016 and 2017 and 47% as of September 30, 2018. At December 31, 2017, our channel partners accounted for over 20% of our new enterprise customer sales.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200" w:lineRule="exact"/>
        <w:rPr>
          <w:sz w:val="20"/>
          <w:szCs w:val="20"/>
          <w:color w:val="auto"/>
        </w:rPr>
      </w:pPr>
    </w:p>
    <w:p>
      <w:pPr>
        <w:spacing w:after="0" w:line="202" w:lineRule="exact"/>
        <w:rPr>
          <w:sz w:val="20"/>
          <w:szCs w:val="20"/>
          <w:color w:val="auto"/>
        </w:rPr>
      </w:pPr>
    </w:p>
    <w:p>
      <w:pPr>
        <w:ind w:left="340" w:right="100"/>
        <w:spacing w:after="0" w:line="287"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75" w:lineRule="exact"/>
        <w:rPr>
          <w:sz w:val="20"/>
          <w:szCs w:val="20"/>
          <w:color w:val="auto"/>
        </w:rPr>
      </w:pPr>
    </w:p>
    <w:p>
      <w:pPr>
        <w:ind w:right="140" w:firstLine="324"/>
        <w:spacing w:after="0" w:line="251"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00" w:lineRule="exact"/>
        <w:rPr>
          <w:sz w:val="20"/>
          <w:szCs w:val="20"/>
          <w:color w:val="auto"/>
        </w:rPr>
      </w:pPr>
    </w:p>
    <w:p>
      <w:pPr>
        <w:spacing w:after="0" w:line="22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2" w:name="page43"/>
    <w:bookmarkEnd w:id="4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enterprise platform and to grow or maintain our customer base. In addition, engaging in sales activities to foreign governments introduces additional compliance risks, including risks specific to the U.S. Foreign Corrupt Practices Act of 1977, as amended, or the FCPA, the U.K. Bribery Act 2010 and other similar statutory requirements prohibiting bribery and corruption in the jurisdictions in which we operate.</w:t>
      </w:r>
    </w:p>
    <w:p>
      <w:pPr>
        <w:spacing w:after="0" w:line="200" w:lineRule="exact"/>
        <w:rPr>
          <w:sz w:val="20"/>
          <w:szCs w:val="20"/>
          <w:color w:val="auto"/>
        </w:rPr>
      </w:pPr>
    </w:p>
    <w:p>
      <w:pPr>
        <w:spacing w:after="0" w:line="21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 the FAR. Under the FAR, certain types of contracts require pricing that is based on estimated direct and indirect costs, which are subject to change.</w:t>
      </w:r>
    </w:p>
    <w:p>
      <w:pPr>
        <w:spacing w:after="0" w:line="200" w:lineRule="exact"/>
        <w:rPr>
          <w:sz w:val="20"/>
          <w:szCs w:val="20"/>
          <w:color w:val="auto"/>
        </w:rPr>
      </w:pPr>
    </w:p>
    <w:p>
      <w:pPr>
        <w:spacing w:after="0" w:line="218" w:lineRule="exact"/>
        <w:rPr>
          <w:sz w:val="20"/>
          <w:szCs w:val="20"/>
          <w:color w:val="auto"/>
        </w:rPr>
      </w:pPr>
    </w:p>
    <w:p>
      <w:pPr>
        <w:ind w:right="340" w:firstLine="324"/>
        <w:spacing w:after="0" w:line="252"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00" w:lineRule="exact"/>
        <w:rPr>
          <w:sz w:val="20"/>
          <w:szCs w:val="20"/>
          <w:color w:val="auto"/>
        </w:rPr>
      </w:pPr>
    </w:p>
    <w:p>
      <w:pPr>
        <w:spacing w:after="0" w:line="225"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need to reduce our prices or change our pricing model to remain competitive.</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that can be monitored, or the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mid-to large-size enterprises may demand substantial price discounts as part of the negotiation of sales contracts. As a result, we may be required or choose to reduce our prices or change our pricing model, which could adversely affect our business, operating results and financial condition.</w:t>
      </w:r>
    </w:p>
    <w:p>
      <w:pPr>
        <w:spacing w:after="0" w:line="200" w:lineRule="exact"/>
        <w:rPr>
          <w:sz w:val="20"/>
          <w:szCs w:val="20"/>
          <w:color w:val="auto"/>
        </w:rPr>
      </w:pPr>
    </w:p>
    <w:p>
      <w:pPr>
        <w:spacing w:after="0" w:line="201" w:lineRule="exact"/>
        <w:rPr>
          <w:sz w:val="20"/>
          <w:szCs w:val="20"/>
          <w:color w:val="auto"/>
        </w:rPr>
      </w:pPr>
    </w:p>
    <w:p>
      <w:pPr>
        <w:ind w:left="340" w:right="820"/>
        <w:spacing w:after="0" w:line="287"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w:t>
      </w:r>
    </w:p>
    <w:p>
      <w:pPr>
        <w:spacing w:after="0" w:line="17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Our enterprise platform offerings are generally priced based on the number of IT assets or IP addresses that a customer chooses to monitor. As the amount of IT assets or IP addresses within our customers’ organizations grows, we may face pressure from our customers regarding our pricing, which could adversely affect our revenue and operating margins.</w:t>
      </w:r>
    </w:p>
    <w:p>
      <w:pPr>
        <w:spacing w:after="0" w:line="200" w:lineRule="exact"/>
        <w:rPr>
          <w:sz w:val="20"/>
          <w:szCs w:val="20"/>
          <w:color w:val="auto"/>
        </w:rPr>
      </w:pPr>
    </w:p>
    <w:p>
      <w:pPr>
        <w:spacing w:after="0" w:line="21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400" w:lineRule="exact"/>
        <w:rPr>
          <w:sz w:val="20"/>
          <w:szCs w:val="20"/>
          <w:color w:val="auto"/>
        </w:rPr>
      </w:pPr>
    </w:p>
    <w:p>
      <w:pPr>
        <w:ind w:left="340" w:right="640"/>
        <w:spacing w:after="0" w:line="287"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7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For example, if Tenable.io</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00"/>
          </w:cols>
          <w:pgMar w:left="240" w:top="140" w:right="259" w:bottom="1440" w:gutter="0" w:footer="0" w:header="0"/>
          <w:type w:val="continuous"/>
        </w:sectPr>
      </w:pPr>
    </w:p>
    <w:bookmarkStart w:id="43" w:name="page44"/>
    <w:bookmarkEnd w:id="4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does not garner widespread market adoption and implementation, our operating results and competitive position could suffer.</w:t>
      </w:r>
    </w:p>
    <w:p>
      <w:pPr>
        <w:spacing w:after="0" w:line="200" w:lineRule="exact"/>
        <w:rPr>
          <w:sz w:val="20"/>
          <w:szCs w:val="20"/>
          <w:color w:val="auto"/>
        </w:rPr>
      </w:pPr>
    </w:p>
    <w:p>
      <w:pPr>
        <w:spacing w:after="0" w:line="241" w:lineRule="exact"/>
        <w:rPr>
          <w:sz w:val="20"/>
          <w:szCs w:val="20"/>
          <w:color w:val="auto"/>
        </w:rPr>
      </w:pPr>
    </w:p>
    <w:p>
      <w:pPr>
        <w:jc w:val="both"/>
        <w:ind w:right="260" w:firstLine="324"/>
        <w:spacing w:after="0" w:line="262" w:lineRule="auto"/>
        <w:rPr>
          <w:sz w:val="20"/>
          <w:szCs w:val="20"/>
          <w:color w:val="auto"/>
        </w:rPr>
      </w:pPr>
      <w:r>
        <w:rPr>
          <w:rFonts w:ascii="Arial" w:cs="Arial" w:eastAsia="Arial" w:hAnsi="Arial"/>
          <w:sz w:val="18"/>
          <w:szCs w:val="18"/>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200" w:lineRule="exact"/>
        <w:rPr>
          <w:sz w:val="20"/>
          <w:szCs w:val="20"/>
          <w:color w:val="auto"/>
        </w:rPr>
      </w:pPr>
    </w:p>
    <w:p>
      <w:pPr>
        <w:spacing w:after="0" w:line="212" w:lineRule="exact"/>
        <w:rPr>
          <w:sz w:val="20"/>
          <w:szCs w:val="20"/>
          <w:color w:val="auto"/>
        </w:rPr>
      </w:pPr>
    </w:p>
    <w:p>
      <w:pPr>
        <w:ind w:right="680" w:firstLine="324"/>
        <w:spacing w:after="0" w:line="262"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19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predict market demand accurately in terms of functionality and to supply offerings that meets this demand in a timely fashion;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customers, causing them to delay IT purchases;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25"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396" w:lineRule="exact"/>
        <w:rPr>
          <w:sz w:val="20"/>
          <w:szCs w:val="20"/>
          <w:color w:val="auto"/>
        </w:rPr>
      </w:pPr>
    </w:p>
    <w:p>
      <w:pPr>
        <w:ind w:left="340" w:right="80"/>
        <w:spacing w:after="0" w:line="287"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200" w:lineRule="exact"/>
        <w:rPr>
          <w:sz w:val="20"/>
          <w:szCs w:val="20"/>
          <w:color w:val="auto"/>
        </w:rPr>
      </w:pPr>
    </w:p>
    <w:p>
      <w:pPr>
        <w:spacing w:after="0" w:line="204" w:lineRule="exact"/>
        <w:rPr>
          <w:sz w:val="20"/>
          <w:szCs w:val="20"/>
          <w:color w:val="auto"/>
        </w:rPr>
      </w:pPr>
    </w:p>
    <w:p>
      <w:pPr>
        <w:ind w:left="340" w:right="460"/>
        <w:spacing w:after="0" w:line="287"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7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40" w:right="279" w:bottom="1440" w:gutter="0" w:footer="0" w:header="0"/>
        </w:sectPr>
      </w:pPr>
    </w:p>
    <w:bookmarkStart w:id="44" w:name="page45"/>
    <w:bookmarkEnd w:id="4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right="560"/>
        <w:spacing w:after="0" w:line="287"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31% and 33% of our revenue in 2017 and the nine months ended September 30, 2018, respectively. Our growth strategy is dependent, in part, on our continued international expansion. We expect to conduct a significant amount of our 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20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right="4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referendum in June 2016 in which voters approved an exit from the European Union, commonly referred to as “Brexit”;</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costs of staffing, managing and potentially reorganizing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ind w:left="660" w:right="18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w:t>
      </w:r>
    </w:p>
    <w:p>
      <w:pPr>
        <w:spacing w:after="0" w:line="22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200" w:lineRule="exact"/>
        <w:rPr>
          <w:sz w:val="20"/>
          <w:szCs w:val="20"/>
          <w:color w:val="auto"/>
        </w:rPr>
      </w:pPr>
    </w:p>
    <w:p>
      <w:pPr>
        <w:spacing w:after="0" w:line="206" w:lineRule="exact"/>
        <w:rPr>
          <w:sz w:val="20"/>
          <w:szCs w:val="20"/>
          <w:color w:val="auto"/>
        </w:rPr>
      </w:pPr>
    </w:p>
    <w:p>
      <w:pPr>
        <w:ind w:left="340" w:right="760"/>
        <w:spacing w:after="0" w:line="287"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man insurance on any of our executive officers or key employees. From time to time, there may be changes in our senior management team resulting from the termination or</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140" w:right="279" w:bottom="1440" w:gutter="0" w:footer="0" w:header="0"/>
        </w:sectPr>
      </w:pPr>
    </w:p>
    <w:bookmarkStart w:id="45" w:name="page46"/>
    <w:bookmarkEnd w:id="4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200" w:lineRule="exact"/>
        <w:rPr>
          <w:sz w:val="20"/>
          <w:szCs w:val="20"/>
          <w:color w:val="auto"/>
        </w:rPr>
      </w:pPr>
    </w:p>
    <w:p>
      <w:pPr>
        <w:spacing w:after="0" w:line="22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ability to successfully pursue our growth strategy also depends on our ability to attract, motivate and retain our personnel. Competition for well-qualified employees in all aspects of our business, including sales personnel, professional services personnel and software engineers, is intense. Our recruiting efforts focus on elite universities and our primary recruiting competition are well-known, high-paying firms.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effectively develop and expand our sales and marketing capabilities.</w:t>
      </w:r>
    </w:p>
    <w:p>
      <w:pPr>
        <w:spacing w:after="0" w:line="247"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ability to increase our customer base and achieve broader market acceptance of our Cyber Exposure solutions will depend to a significant extent on our ability to expand our sales and marketing operations. We plan to continue expanding our sales force and our third-party channel partner network of distributors and resellers both domestically and internationally; however, there is no assurance that we will be successful in attracting and retaining talented sales personnel or strategic partners or that any new sales personnel or strategic partners will be able to achieve productivity in a reasonable period of time or at all. We also plan to dedicate significant resources to sales and marketing programs, including through electronic marketing campaigns and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47"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47"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Cyber Exposure ecosystem by integrating third party data into our platform. For example, we developed our Industrial Security solution in partnership with Siemens.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w:t>
      </w:r>
    </w:p>
    <w:p>
      <w:pPr>
        <w:spacing w:after="0" w:line="200" w:lineRule="exact"/>
        <w:rPr>
          <w:sz w:val="20"/>
          <w:szCs w:val="20"/>
          <w:color w:val="auto"/>
        </w:rPr>
      </w:pPr>
    </w:p>
    <w:p>
      <w:pPr>
        <w:spacing w:after="0" w:line="22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3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47"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140" w:right="259" w:bottom="1440" w:gutter="0" w:footer="0" w:header="0"/>
          <w:type w:val="continuous"/>
        </w:sectPr>
      </w:pPr>
    </w:p>
    <w:bookmarkStart w:id="46" w:name="page47"/>
    <w:bookmarkEnd w:id="4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applications, internal technology systems and our website for our development, marketing, operational support, hosted services and sales activities. In the event of a major hurricane, earthquake or catastrophic event such as fire, power loss, telecommunications failure, cyberattack, war or terrorist attack,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acquisitions could disrupt our business and adversely affect our business operations and financial results.</w:t>
      </w:r>
    </w:p>
    <w:p>
      <w:pPr>
        <w:spacing w:after="0" w:line="247" w:lineRule="exact"/>
        <w:rPr>
          <w:sz w:val="20"/>
          <w:szCs w:val="20"/>
          <w:color w:val="auto"/>
        </w:rPr>
      </w:pPr>
    </w:p>
    <w:p>
      <w:pPr>
        <w:ind w:right="660" w:firstLine="324"/>
        <w:spacing w:after="0" w:line="262" w:lineRule="auto"/>
        <w:rPr>
          <w:sz w:val="20"/>
          <w:szCs w:val="20"/>
          <w:color w:val="auto"/>
        </w:rPr>
      </w:pPr>
      <w:r>
        <w:rPr>
          <w:rFonts w:ascii="Arial" w:cs="Arial" w:eastAsia="Arial" w:hAnsi="Arial"/>
          <w:sz w:val="18"/>
          <w:szCs w:val="18"/>
          <w:color w:val="auto"/>
        </w:rPr>
        <w:t>We have in the past acquired products and technologies from other parties, and we may choose to expand our current business by acquiring additional businesses or technologies in the future. Acquisitions involve many risks, including the following:</w:t>
      </w:r>
    </w:p>
    <w:p>
      <w:pPr>
        <w:spacing w:after="0" w:line="196" w:lineRule="exact"/>
        <w:rPr>
          <w:sz w:val="20"/>
          <w:szCs w:val="20"/>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1"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9" w:lineRule="exact"/>
        <w:rPr>
          <w:rFonts w:ascii="Arial" w:cs="Arial" w:eastAsia="Arial" w:hAnsi="Arial"/>
          <w:sz w:val="18"/>
          <w:szCs w:val="18"/>
          <w:color w:val="auto"/>
        </w:rPr>
      </w:pPr>
    </w:p>
    <w:p>
      <w:pPr>
        <w:ind w:left="660" w:righ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9"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196"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400" w:lineRule="exact"/>
        <w:rPr>
          <w:sz w:val="20"/>
          <w:szCs w:val="20"/>
          <w:color w:val="auto"/>
        </w:rPr>
      </w:pPr>
    </w:p>
    <w:p>
      <w:pPr>
        <w:ind w:left="340" w:right="220"/>
        <w:spacing w:after="0" w:line="287" w:lineRule="auto"/>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 all.</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expect that our existing cash and cash equivalents will be sufficient to meet our anticipated cash needs for working capital and capital expenditures for at least the next 12 months.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loan and security agreement with Silicon Valley Bank includes restrictive covenants relating to our capital raising activities and other financial and operational matters, which may make it more difficult for us to obtain additional capital and to pursue business opportunities, including potential acquisitions, and any debt financing that we secure in the future could have similar restrictive covenants.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0" w:right="259" w:bottom="1440" w:gutter="0" w:footer="0" w:header="0"/>
        </w:sectPr>
      </w:pPr>
    </w:p>
    <w:bookmarkStart w:id="47" w:name="page48"/>
    <w:bookmarkEnd w:id="4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40" w:right="500"/>
        <w:spacing w:after="0" w:line="269"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revenue recognition rules. Significant changes in current principles will affect our consolidated financial statements and changes in financial accounting standards or practices may cause adverse, unexpected financial reporting fluctuations and harm our results of operations.</w:t>
      </w:r>
    </w:p>
    <w:p>
      <w:pPr>
        <w:spacing w:after="0" w:line="190" w:lineRule="exact"/>
        <w:rPr>
          <w:sz w:val="20"/>
          <w:szCs w:val="20"/>
          <w:color w:val="auto"/>
        </w:rPr>
      </w:pPr>
    </w:p>
    <w:p>
      <w:pPr>
        <w:ind w:right="480" w:firstLine="324"/>
        <w:spacing w:after="0" w:line="253"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or FASB,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0" w:lineRule="exact"/>
        <w:rPr>
          <w:sz w:val="20"/>
          <w:szCs w:val="20"/>
          <w:color w:val="auto"/>
        </w:rPr>
      </w:pPr>
    </w:p>
    <w:p>
      <w:pPr>
        <w:spacing w:after="0" w:line="20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For example, in May 2014, the FASB issued new accounting guidance on revenue recognition in the form of ASU No. 2014-09,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from Contracts with Customers (Topic 606)</w:t>
      </w:r>
      <w:r>
        <w:rPr>
          <w:rFonts w:ascii="Arial" w:cs="Arial" w:eastAsia="Arial" w:hAnsi="Arial"/>
          <w:sz w:val="18"/>
          <w:szCs w:val="18"/>
          <w:color w:val="auto"/>
        </w:rPr>
        <w:t>, or ASC 606. The core principle of ASC 606 is that an entity should recognize revenue to depict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promised goods or services to customers in an amount that reflects the consideration to which the entity expects to be entitled in exchange for those goods or services. We early adopted ASC 606 as of January 1, 2017. The most significant impact of adopting ASC 606 was the deferral of perpetual license revenue over an estimated economic life, including estimated maintenance renewal periods, whereas under previous guidance we recognized perpetual license revenue upon delivery of the perpetual license. The impact of the adoption of ASC 606 on our 2017 revenue was a net increase of $3.5 million after giving effect to the recognition of perpetual license revenue from prior year sales and the deferral of perpetual license revenue from 2017 sales. Additionally, the incremental costs of obtaining a contract with a customer are deferred and will be amortized over a longer estimated period of benefit, whereas under previous guidance such costs were recognized immediately or amortized over the contract term.</w:t>
      </w:r>
    </w:p>
    <w:p>
      <w:pPr>
        <w:spacing w:after="0" w:line="398" w:lineRule="exact"/>
        <w:rPr>
          <w:sz w:val="20"/>
          <w:szCs w:val="20"/>
          <w:color w:val="auto"/>
        </w:rPr>
      </w:pPr>
    </w:p>
    <w:p>
      <w:pPr>
        <w:ind w:left="340" w:right="80"/>
        <w:spacing w:after="0" w:line="28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5"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estimated economic life of perpetual licenses for revenue recognition, the estimated period of benefit for deferred commissions, income taxes and the related valuation allowance and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00" w:lineRule="exact"/>
        <w:rPr>
          <w:sz w:val="20"/>
          <w:szCs w:val="20"/>
          <w:color w:val="auto"/>
        </w:rPr>
      </w:pPr>
    </w:p>
    <w:p>
      <w:pPr>
        <w:spacing w:after="0" w:line="22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200" w:lineRule="exact"/>
        <w:rPr>
          <w:sz w:val="20"/>
          <w:szCs w:val="20"/>
          <w:color w:val="auto"/>
        </w:rPr>
      </w:pPr>
    </w:p>
    <w:p>
      <w:pPr>
        <w:spacing w:after="0" w:line="203" w:lineRule="exact"/>
        <w:rPr>
          <w:sz w:val="20"/>
          <w:szCs w:val="20"/>
          <w:color w:val="auto"/>
        </w:rPr>
      </w:pPr>
    </w:p>
    <w:p>
      <w:pPr>
        <w:ind w:left="340" w:right="660"/>
        <w:spacing w:after="0" w:line="287" w:lineRule="auto"/>
        <w:rPr>
          <w:sz w:val="20"/>
          <w:szCs w:val="20"/>
          <w:color w:val="auto"/>
        </w:rPr>
      </w:pPr>
      <w:r>
        <w:rPr>
          <w:rFonts w:ascii="Arial" w:cs="Arial" w:eastAsia="Arial" w:hAnsi="Arial"/>
          <w:sz w:val="18"/>
          <w:szCs w:val="18"/>
          <w:b w:val="1"/>
          <w:bCs w:val="1"/>
          <w:i w:val="1"/>
          <w:iCs w:val="1"/>
          <w:color w:val="auto"/>
        </w:rPr>
        <w:t>Our operating results may be negatively affected if we are required to pay additional state sales tax, value added, or other transaction taxes, and we could be subject to liability with respect to all or a portion of past or future sales.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40" w:right="279" w:bottom="1440" w:gutter="0" w:footer="0" w:header="0"/>
        </w:sectPr>
      </w:pPr>
    </w:p>
    <w:bookmarkStart w:id="48" w:name="page49"/>
    <w:bookmarkEnd w:id="4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Further, due to uncertainty in the application and interpretation of applicable tax laws in various jurisdictions, we may be exposed to sales and use, value added or other transaction tax liability. A successful assertion that we are required to pay additional taxes in connection with sales of our solutions, or the imposition of new laws or regulations requiring the payment of additional taxes, would create increased costs and administrative burdens for us. If we are subject to additional taxes and determine to offset such increased costs by collecting and remitting sales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sales or otherwise harm our business and operating results.</w:t>
      </w: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4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As of December 31, 2017 we had federal, state and foreign net operating loss carryforwards, or NOLs, of $103.7 million, $38.6 million, and $18.4 million, respectively, available to offset future taxable income, which begin to expire in 2030. A lack of future taxable income would adversely affect our ability to utilize these NOLs before they expire.</w:t>
      </w:r>
    </w:p>
    <w:p>
      <w:pPr>
        <w:spacing w:after="0" w:line="200" w:lineRule="exact"/>
        <w:rPr>
          <w:sz w:val="20"/>
          <w:szCs w:val="20"/>
          <w:color w:val="auto"/>
        </w:rPr>
      </w:pPr>
    </w:p>
    <w:p>
      <w:pPr>
        <w:spacing w:after="0" w:line="21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NOLs if a company experiences a more-than -50-percent ownership change over a three-year testing period. Based upon our analysis as of December 31, 2017, we have determined that we do not expect these limitations to impair our ability to use our NOLs prior to expiration. However, if changes in our ownership occur in the future, our ability to use our NOLs may be further limited. For these reasons, we may not be able to utilize a material portion of the NOLs, even if we achieve profitability.</w:t>
      </w:r>
    </w:p>
    <w:p>
      <w:pPr>
        <w:spacing w:after="0" w:line="200" w:lineRule="exact"/>
        <w:rPr>
          <w:sz w:val="20"/>
          <w:szCs w:val="20"/>
          <w:color w:val="auto"/>
        </w:rPr>
      </w:pPr>
    </w:p>
    <w:p>
      <w:pPr>
        <w:spacing w:after="0" w:line="201" w:lineRule="exact"/>
        <w:rPr>
          <w:sz w:val="20"/>
          <w:szCs w:val="20"/>
          <w:color w:val="auto"/>
        </w:rPr>
      </w:pPr>
    </w:p>
    <w:p>
      <w:pPr>
        <w:ind w:left="340" w:right="240"/>
        <w:spacing w:after="0" w:line="287" w:lineRule="auto"/>
        <w:rPr>
          <w:sz w:val="20"/>
          <w:szCs w:val="20"/>
          <w:color w:val="auto"/>
        </w:rPr>
      </w:pPr>
      <w:r>
        <w:rPr>
          <w:rFonts w:ascii="Arial" w:cs="Arial" w:eastAsia="Arial" w:hAnsi="Arial"/>
          <w:sz w:val="18"/>
          <w:szCs w:val="18"/>
          <w:b w:val="1"/>
          <w:bCs w:val="1"/>
          <w:i w:val="1"/>
          <w:iCs w:val="1"/>
          <w:color w:val="auto"/>
        </w:rPr>
        <w:t>Uncertainties in the interpretation and application of the 2017 Tax Cuts and Jobs Act could materially affect our tax obligations and effective tax rate.</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Forecasts of our income tax position and effective tax rate for financial accounting purposes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our assessment of the need for valuation allowances,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200" w:lineRule="exact"/>
        <w:rPr>
          <w:sz w:val="20"/>
          <w:szCs w:val="20"/>
          <w:color w:val="auto"/>
        </w:rPr>
      </w:pPr>
    </w:p>
    <w:p>
      <w:pPr>
        <w:spacing w:after="0" w:line="22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On December 22, 2017, U.S. Federal tax reform was enacted with the signing of the Tax Cuts and Jobs Act, or TCJA. Notable provisions of the TCJA include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w:t>
      </w:r>
    </w:p>
    <w:p>
      <w:pPr>
        <w:spacing w:after="0" w:line="200" w:lineRule="exact"/>
        <w:rPr>
          <w:sz w:val="20"/>
          <w:szCs w:val="20"/>
          <w:color w:val="auto"/>
        </w:rPr>
      </w:pPr>
    </w:p>
    <w:p>
      <w:pPr>
        <w:spacing w:after="0" w:line="22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While the changes from the TCJA are generally effective beginning in 2018, U.S. GAAP accounting for income taxes requires the effect of a change in tax laws or rates to be recognized in income from continuing operations for the period that includes the enactment date. Due to the complexities involved in accounting for the enactment of the TCJA, the Securities and Exchange Commission published Staff Accounting Bulletin No. 118, which allows us to record provisional amounts in earnings for the year ended December 31, 2017. Where reasonable estimates can be made, the provisional accounting should be based on such estimates. When no reasonable estimate can be made, the provisional accounting may be based on the tax law in effect before the TCJA. We are required to complete our tax accounting for the TCJA in the period when we have obtained, prepared, and analyzed the information to complete the income tax accounting, or by December 22, 2018, whichever date comes first.</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140" w:right="259" w:bottom="1440" w:gutter="0" w:footer="0" w:header="0"/>
          <w:type w:val="continuous"/>
        </w:sectPr>
      </w:pPr>
    </w:p>
    <w:bookmarkStart w:id="49" w:name="page50"/>
    <w:bookmarkEnd w:id="4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have not completed our accounting for the tax effects of enactment of the TCJA; however, as we describe in Note 9 to our consolidated financial statements appearing elsewhere in this Quarterly Report on Form 10-Q, we have made reasonable estimates of the effects of the TCJA in certain cases in our financial statements that are included as a component of income tax expense. The U.S. Department of Treasury has broad authority to issue regulations and interpretative guidance that may significantly impact how we will apply the law and impact our results of operations in the period issued. As additional regulatory guidance is issued by the applicable taxing authorities, as accounting treatment is clarified, as we perform additional analysis on the application of the law, and as we refine estimates in calculating the effect, our final analysis, which will be recorded in the period completed, may be different from our current provisional amounts, which could materially affect our tax obligations and effective tax rate.</w:t>
      </w:r>
    </w:p>
    <w:p>
      <w:pPr>
        <w:spacing w:after="0" w:line="400" w:lineRule="exact"/>
        <w:rPr>
          <w:sz w:val="20"/>
          <w:szCs w:val="20"/>
          <w:color w:val="auto"/>
        </w:rPr>
      </w:pPr>
    </w:p>
    <w:p>
      <w:pPr>
        <w:ind w:left="340" w:right="260"/>
        <w:spacing w:after="0" w:line="269" w:lineRule="auto"/>
        <w:rPr>
          <w:sz w:val="20"/>
          <w:szCs w:val="20"/>
          <w:color w:val="auto"/>
        </w:rPr>
      </w:pPr>
      <w:r>
        <w:rPr>
          <w:rFonts w:ascii="Arial" w:cs="Arial" w:eastAsia="Arial" w:hAnsi="Arial"/>
          <w:sz w:val="18"/>
          <w:szCs w:val="18"/>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9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subject to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to recipients in the public or private sector. We use third-party law firms, accountants, and other representatives for regulatory compliance, sales, and other purposes in several countries. We sell directly and indirectly, via third-party representatives, to the U.S. and non-U.S. government sectors, and our employees and third-party representatives interact with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200" w:lineRule="exact"/>
        <w:rPr>
          <w:sz w:val="20"/>
          <w:szCs w:val="20"/>
          <w:color w:val="auto"/>
        </w:rPr>
      </w:pPr>
    </w:p>
    <w:p>
      <w:pPr>
        <w:spacing w:after="0" w:line="204" w:lineRule="exact"/>
        <w:rPr>
          <w:sz w:val="20"/>
          <w:szCs w:val="20"/>
          <w:color w:val="auto"/>
        </w:rPr>
      </w:pPr>
    </w:p>
    <w:p>
      <w:pPr>
        <w:ind w:left="340" w:right="360"/>
        <w:spacing w:after="0" w:line="269"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9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0" w:right="259" w:bottom="1440" w:gutter="0" w:footer="0" w:header="0"/>
        </w:sectPr>
      </w:pPr>
    </w:p>
    <w:bookmarkStart w:id="50" w:name="page51"/>
    <w:bookmarkEnd w:id="50"/>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00" w:lineRule="exact"/>
        <w:rPr>
          <w:sz w:val="20"/>
          <w:szCs w:val="20"/>
          <w:color w:val="auto"/>
        </w:rPr>
      </w:pPr>
    </w:p>
    <w:p>
      <w:pPr>
        <w:spacing w:after="0" w:line="22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75"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their clearances or terminate employment with us,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400" w:lineRule="exact"/>
        <w:rPr>
          <w:sz w:val="20"/>
          <w:szCs w:val="20"/>
          <w:color w:val="auto"/>
        </w:rPr>
      </w:pPr>
    </w:p>
    <w:p>
      <w:pPr>
        <w:ind w:left="340" w:right="520"/>
        <w:spacing w:after="0" w:line="287"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7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200" w:lineRule="exact"/>
        <w:rPr>
          <w:sz w:val="20"/>
          <w:szCs w:val="20"/>
          <w:color w:val="auto"/>
        </w:rPr>
      </w:pPr>
    </w:p>
    <w:p>
      <w:pPr>
        <w:spacing w:after="0" w:line="220"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As of September 30, 2018, we had 14 issued patents and three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and “Tenable.io” names and our Tenable logo in the United States and certain other countries. We have registrations and/or pending applications for additional marks in the United States; however, we cannot assure you that any future trademark registrations will be issued for pending or future applications or 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1" w:name="page52"/>
    <w:bookmarkEnd w:id="51"/>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200" w:lineRule="exact"/>
        <w:rPr>
          <w:sz w:val="20"/>
          <w:szCs w:val="20"/>
          <w:color w:val="auto"/>
        </w:rPr>
      </w:pPr>
    </w:p>
    <w:p>
      <w:pPr>
        <w:spacing w:after="0" w:line="22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00" w:lineRule="exact"/>
        <w:rPr>
          <w:sz w:val="20"/>
          <w:szCs w:val="20"/>
          <w:color w:val="auto"/>
        </w:rPr>
      </w:pPr>
    </w:p>
    <w:p>
      <w:pPr>
        <w:spacing w:after="0" w:line="22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400" w:lineRule="exact"/>
        <w:rPr>
          <w:sz w:val="20"/>
          <w:szCs w:val="20"/>
          <w:color w:val="auto"/>
        </w:rPr>
      </w:pPr>
    </w:p>
    <w:p>
      <w:pPr>
        <w:ind w:left="340" w:right="220"/>
        <w:spacing w:after="0" w:line="28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 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0" w:lineRule="exact"/>
        <w:rPr>
          <w:sz w:val="20"/>
          <w:szCs w:val="20"/>
          <w:color w:val="auto"/>
        </w:rPr>
      </w:pPr>
    </w:p>
    <w:p>
      <w:pPr>
        <w:spacing w:after="0" w:line="227"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There may be third-party intellectual property rights, including issued or pending patents that cover significant aspects of our technologies or business methods.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0" w:right="239" w:bottom="1440" w:gutter="0" w:footer="0" w:header="0"/>
        </w:sectPr>
      </w:pPr>
    </w:p>
    <w:bookmarkStart w:id="52" w:name="page53"/>
    <w:bookmarkEnd w:id="52"/>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200" w:lineRule="exact"/>
        <w:rPr>
          <w:sz w:val="20"/>
          <w:szCs w:val="20"/>
          <w:color w:val="auto"/>
        </w:rPr>
      </w:pPr>
    </w:p>
    <w:p>
      <w:pPr>
        <w:spacing w:after="0" w:line="207" w:lineRule="exact"/>
        <w:rPr>
          <w:sz w:val="20"/>
          <w:szCs w:val="20"/>
          <w:color w:val="auto"/>
        </w:rPr>
      </w:pPr>
    </w:p>
    <w:p>
      <w:pPr>
        <w:ind w:left="340" w:right="400"/>
        <w:spacing w:after="0" w:line="287"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00" w:lineRule="exact"/>
        <w:rPr>
          <w:sz w:val="20"/>
          <w:szCs w:val="20"/>
          <w:color w:val="auto"/>
        </w:rPr>
      </w:pPr>
    </w:p>
    <w:p>
      <w:pPr>
        <w:spacing w:after="0" w:line="228"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47"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20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3" w:name="page54"/>
    <w:bookmarkEnd w:id="53"/>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4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ind w:left="660" w:right="102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 and sales of shares of our common stock by us or our stockholders;</w:t>
      </w:r>
    </w:p>
    <w:p>
      <w:pPr>
        <w:ind w:left="660" w:right="58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 active public trading market may not continue to develop or be sustained.</w:t>
      </w:r>
    </w:p>
    <w:p>
      <w:pPr>
        <w:spacing w:after="0" w:line="247"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our initial public offering, or IPO, in July 2018, there was no public market or active private market for our common stock. Following our IPO, an active public trading market may not continue to develop or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400" w:lineRule="exact"/>
        <w:rPr>
          <w:sz w:val="20"/>
          <w:szCs w:val="20"/>
          <w:color w:val="auto"/>
        </w:rPr>
      </w:pPr>
    </w:p>
    <w:p>
      <w:pPr>
        <w:ind w:left="340" w:right="30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7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As a new public company, we may be slow to attract research coverage and the analysts who publish information about our common stock will have had relatively little experience with our company, which could affect their ability to accurately forecast our results and make it more likely that we fail to meet their estimates.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200" w:lineRule="exact"/>
        <w:rPr>
          <w:sz w:val="20"/>
          <w:szCs w:val="20"/>
          <w:color w:val="auto"/>
        </w:rPr>
      </w:pPr>
    </w:p>
    <w:p>
      <w:pPr>
        <w:spacing w:after="0" w:line="206" w:lineRule="exact"/>
        <w:rPr>
          <w:sz w:val="20"/>
          <w:szCs w:val="20"/>
          <w:color w:val="auto"/>
        </w:rPr>
      </w:pPr>
    </w:p>
    <w:p>
      <w:pPr>
        <w:ind w:left="340" w:right="240"/>
        <w:spacing w:after="0" w:line="287"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or the perception that they might occur, could reduce the price that our common stock might otherwise attain.</w:t>
      </w:r>
    </w:p>
    <w:p>
      <w:pPr>
        <w:spacing w:after="0" w:line="175"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 Shares of our common stock owned by our directors, executive officers and substantially all of</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40" w:right="259" w:bottom="1440" w:gutter="0" w:footer="0" w:header="0"/>
        </w:sectPr>
      </w:pPr>
    </w:p>
    <w:bookmarkStart w:id="54" w:name="page55"/>
    <w:bookmarkEnd w:id="54"/>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stockholders are restricted as a result of securities laws, lock-up agreements or other contractual restrictions that restrict transfers until January 2019, which is 180 days after the date of our IPO. Subject to certain limitations, 80,179,454 shares of our common stock will be eligible for sale upon the expiration of this 180-day lock-up period. The underwriters in our IPO may, in their sole discretion, permit our stockholders who are subject to these lock-up agreements to sell shares prior to the expiration of the lock-up agreements.</w:t>
      </w:r>
    </w:p>
    <w:p>
      <w:pPr>
        <w:spacing w:after="0" w:line="200" w:lineRule="exact"/>
        <w:rPr>
          <w:sz w:val="20"/>
          <w:szCs w:val="20"/>
          <w:color w:val="auto"/>
        </w:rPr>
      </w:pPr>
    </w:p>
    <w:p>
      <w:pPr>
        <w:spacing w:after="0" w:line="220"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Additionally, stockholders holding 70,927,042 shares of our common stock outstanding, will, after the expiration of the lock-up periods specified above, have the right, subject to various conditions and limitations, to include their shares of our common stock in registration statements relating to our securities. If the offer and sale of these shares are registered, they will be freely tradable without restriction under the Securities Act. Shares of common stock sold under such registration statements can be freely sold in the public market. In the event such registration rights are exercised and a large number of shares of common stock are sold in the public market, such sales could reduce the trading price of our common stock.</w:t>
      </w:r>
    </w:p>
    <w:p>
      <w:pPr>
        <w:spacing w:after="0" w:line="200" w:lineRule="exact"/>
        <w:rPr>
          <w:sz w:val="20"/>
          <w:szCs w:val="20"/>
          <w:color w:val="auto"/>
        </w:rPr>
      </w:pPr>
    </w:p>
    <w:p>
      <w:pPr>
        <w:spacing w:after="0" w:line="225"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In addition, in the future we may issue common stock or other securities convertible into shares of our common stock from time to time in connection with a financing, acquisition, investment or otherwise. The number of new shares of our common stock issued in connection with raising additional capital could constitute a material portion of the then outstanding shares of our common stock, which could result in substantial dilution to our existing stockholders and cause the market price of our common stock to decline.</w:t>
      </w:r>
    </w:p>
    <w:p>
      <w:pPr>
        <w:spacing w:after="0" w:line="398" w:lineRule="exact"/>
        <w:rPr>
          <w:sz w:val="20"/>
          <w:szCs w:val="20"/>
          <w:color w:val="auto"/>
        </w:rPr>
      </w:pPr>
    </w:p>
    <w:p>
      <w:pPr>
        <w:ind w:left="340" w:right="120"/>
        <w:spacing w:after="0" w:line="269" w:lineRule="auto"/>
        <w:rPr>
          <w:sz w:val="20"/>
          <w:szCs w:val="20"/>
          <w:color w:val="auto"/>
        </w:rPr>
      </w:pPr>
      <w:r>
        <w:rPr>
          <w:rFonts w:ascii="Arial" w:cs="Arial" w:eastAsia="Arial" w:hAnsi="Arial"/>
          <w:sz w:val="18"/>
          <w:szCs w:val="18"/>
          <w:b w:val="1"/>
          <w:bCs w:val="1"/>
          <w:i w:val="1"/>
          <w:iCs w:val="1"/>
          <w:color w:val="auto"/>
        </w:rPr>
        <w:t>Concentration of ownership among our existing directors, executive officers and holders of 5% or more of our outstanding common stock may prevent new investors from influencing significant corporate decisions, including the ability to influence the outcome of director elections and other matters requiring stockholder approval.</w:t>
      </w:r>
    </w:p>
    <w:p>
      <w:pPr>
        <w:spacing w:after="0" w:line="190"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executive officers, directors and current beneficial owners of 5% or more of our common stock beneficially own a significant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398" w:lineRule="exact"/>
        <w:rPr>
          <w:sz w:val="20"/>
          <w:szCs w:val="20"/>
          <w:color w:val="auto"/>
        </w:rPr>
      </w:pPr>
    </w:p>
    <w:p>
      <w:pPr>
        <w:ind w:left="340" w:right="320"/>
        <w:spacing w:after="0" w:line="28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As a public company, we are subject to the reporting and corporate governance requirements of the Exchange Act, the listing requirements of the Nasdaq Stock Market and other applicable securities rules and regulations, including the Sarbanes-Oxley Act and the Dodd-Frank Wall Street Reform and Consumer Protection Act. Compliance with these rules and regulations increases our legal and financial compliance costs, makes some activities more difficult, time-consuming or costly and increases demand on our systems and resources, particularly after we are no longer an “emerging growth company” as defined in the JOBS Act. Among other things, the Exchange Act requires that we file annual, quarterly and current reports with respect to our business and results of operations and maintain effective disclosure controls and procedures and internal control over financial reporting. In order to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results of operations and prospects. Although we have already hired and are in the process of hiring, additional personnel to help comply with these requirements, we may need to further expand our legal and finance departments in the future, which will increase our costs and expenses.</w:t>
      </w:r>
    </w:p>
    <w:p>
      <w:pPr>
        <w:spacing w:after="0" w:line="200" w:lineRule="exact"/>
        <w:rPr>
          <w:sz w:val="20"/>
          <w:szCs w:val="20"/>
          <w:color w:val="auto"/>
        </w:rPr>
      </w:pPr>
    </w:p>
    <w:p>
      <w:pPr>
        <w:spacing w:after="0" w:line="228"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and prospects may be harmed. As a result of disclosure of information in the filings required of a</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5" w:name="page56"/>
    <w:bookmarkEnd w:id="55"/>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public company, our business and financial condition will become more visible, which may result in threatened or actual litigation, including by competitors and other third parties. If such claims are successful, our business, financial condition, results of operations and prospects could be materially harmed, and even if the claims do not result in litigation or are resolved in our favor, these claims, and the time and resources necessary to resolve them, could divert the resources of our management and materially harm our business, financial condition, results of operations and prospects.</w:t>
      </w:r>
    </w:p>
    <w:p>
      <w:pPr>
        <w:spacing w:after="0" w:line="200" w:lineRule="exact"/>
        <w:rPr>
          <w:sz w:val="20"/>
          <w:szCs w:val="20"/>
          <w:color w:val="auto"/>
        </w:rPr>
      </w:pPr>
    </w:p>
    <w:p>
      <w:pPr>
        <w:spacing w:after="0" w:line="222"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executive officers and members of our board of directors, particularly to serve on our audit committee and compensation committee.</w:t>
      </w:r>
    </w:p>
    <w:p>
      <w:pPr>
        <w:spacing w:after="0" w:line="200" w:lineRule="exact"/>
        <w:rPr>
          <w:sz w:val="20"/>
          <w:szCs w:val="20"/>
          <w:color w:val="auto"/>
        </w:rPr>
      </w:pPr>
    </w:p>
    <w:p>
      <w:pPr>
        <w:spacing w:after="0" w:line="220" w:lineRule="exact"/>
        <w:rPr>
          <w:sz w:val="20"/>
          <w:szCs w:val="20"/>
          <w:color w:val="auto"/>
        </w:rPr>
      </w:pPr>
    </w:p>
    <w:p>
      <w:pPr>
        <w:ind w:right="720" w:firstLine="324"/>
        <w:spacing w:after="0" w:line="262"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390" w:lineRule="exact"/>
        <w:rPr>
          <w:sz w:val="20"/>
          <w:szCs w:val="20"/>
          <w:color w:val="auto"/>
        </w:rPr>
      </w:pPr>
    </w:p>
    <w:p>
      <w:pPr>
        <w:ind w:left="340" w:right="160"/>
        <w:spacing w:after="0" w:line="28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loan and security agreement with Silicon Valley Bank contains restrictive covenants that prohibit us, subject to certain exceptions, from paying dividends on our common stock.</w:t>
      </w:r>
    </w:p>
    <w:p>
      <w:pPr>
        <w:spacing w:after="0" w:line="200" w:lineRule="exact"/>
        <w:rPr>
          <w:sz w:val="20"/>
          <w:szCs w:val="20"/>
          <w:color w:val="auto"/>
        </w:rPr>
      </w:pPr>
    </w:p>
    <w:p>
      <w:pPr>
        <w:spacing w:after="0" w:line="203" w:lineRule="exact"/>
        <w:rPr>
          <w:sz w:val="20"/>
          <w:szCs w:val="20"/>
          <w:color w:val="auto"/>
        </w:rPr>
      </w:pPr>
    </w:p>
    <w:p>
      <w:pPr>
        <w:ind w:left="340"/>
        <w:spacing w:after="0" w:line="269"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for the year ending December 31, 2019.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We will be required to disclose significant changes made in our internal control procedures on a quarterly basis.</w:t>
      </w:r>
    </w:p>
    <w:p>
      <w:pPr>
        <w:spacing w:after="0" w:line="200" w:lineRule="exact"/>
        <w:rPr>
          <w:sz w:val="20"/>
          <w:szCs w:val="20"/>
          <w:color w:val="auto"/>
        </w:rPr>
      </w:pPr>
    </w:p>
    <w:p>
      <w:pPr>
        <w:spacing w:after="0" w:line="22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commenced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w:t>
      </w:r>
    </w:p>
    <w:p>
      <w:pPr>
        <w:spacing w:after="0" w:line="200" w:lineRule="exact"/>
        <w:rPr>
          <w:sz w:val="20"/>
          <w:szCs w:val="20"/>
          <w:color w:val="auto"/>
        </w:rPr>
      </w:pPr>
    </w:p>
    <w:p>
      <w:pPr>
        <w:spacing w:after="0" w:line="225"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140" w:right="239" w:bottom="1440" w:gutter="0" w:footer="0" w:header="0"/>
          <w:type w:val="continuous"/>
        </w:sectPr>
      </w:pPr>
    </w:p>
    <w:bookmarkStart w:id="56" w:name="page57"/>
    <w:bookmarkEnd w:id="56"/>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19" w:lineRule="exact"/>
        <w:rPr>
          <w:sz w:val="20"/>
          <w:szCs w:val="20"/>
          <w:color w:val="auto"/>
        </w:rPr>
      </w:pPr>
    </w:p>
    <w:p>
      <w:pPr>
        <w:jc w:val="both"/>
        <w:ind w:left="340" w:right="220"/>
        <w:spacing w:after="0" w:line="269"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204" w:lineRule="exact"/>
        <w:rPr>
          <w:sz w:val="20"/>
          <w:szCs w:val="20"/>
          <w:color w:val="auto"/>
        </w:rPr>
      </w:pPr>
    </w:p>
    <w:p>
      <w:pPr>
        <w:ind w:left="660" w:right="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ind w:left="660" w:right="3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ind w:left="660" w:right="24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jc w:val="both"/>
        <w:ind w:left="660" w:right="8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390" w:lineRule="exact"/>
        <w:rPr>
          <w:sz w:val="20"/>
          <w:szCs w:val="20"/>
          <w:color w:val="auto"/>
        </w:rPr>
      </w:pPr>
    </w:p>
    <w:p>
      <w:pPr>
        <w:ind w:left="340" w:right="280"/>
        <w:spacing w:after="0" w:line="262"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9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Delaware General Corporation Law, our amended and restated certificate of incorporation or our amended and restated bylaws, or any action asserting a claim against us that is governed by the internal affairs doctrine. Our amended and restated certificate of incorporation further provides that the U.S. federal district courts will be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amended and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40" w:right="239" w:bottom="1440" w:gutter="0" w:footer="0" w:header="0"/>
        </w:sectPr>
      </w:pPr>
    </w:p>
    <w:bookmarkStart w:id="57" w:name="page58"/>
    <w:bookmarkEnd w:id="57"/>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restated certificate of incorporation to be inapplicable or unenforceable in an action, we may incur additional costs associated with resolving such action in other jurisdictions, which could adversely affect our results of operations and financial condition.</w:t>
      </w:r>
    </w:p>
    <w:p>
      <w:pPr>
        <w:spacing w:after="0" w:line="390" w:lineRule="exact"/>
        <w:rPr>
          <w:sz w:val="20"/>
          <w:szCs w:val="20"/>
          <w:color w:val="auto"/>
        </w:rPr>
      </w:pPr>
    </w:p>
    <w:p>
      <w:pPr>
        <w:ind w:left="340" w:right="900"/>
        <w:spacing w:after="0" w:line="28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75"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(1) January 1, 2024, which is the beginning of the first fiscal year following the fifth anniversary of our IPO; (2) the first fiscal year after our annual gross revenue is $ 1.07 billion or more; (3) the date on which we have, during the previous three-year period, issued more than $1.0 billion in non-convertible debt securities; or (4) as of the end of any fiscal year in which the market value of our common stock held by non-affiliates exceeded $700.0 million as of the end of the second quarter of that fiscal year. We cannot predict if investors will find our common stock less attractive if we choose to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On July 30, 2018, we completed our IPO, in which we issued and sold 12,535,000 shares of common stock at a price to the public</w:t>
      </w:r>
    </w:p>
    <w:p>
      <w:pPr>
        <w:spacing w:after="0" w:line="9"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of $23.00 per share, including 1,635,000 shares of common stock purchased by our underwriters pursuant to the full exercise of their over-allotment option to purchase additional shares. The offer and sale of all of the shares in the IPO were registered under the Securities Act pursuant to a registration statement on Form S-1 (File No. 333-226002), which was declared effective by the SEC on July 25, 2018.</w:t>
      </w:r>
    </w:p>
    <w:p>
      <w:pPr>
        <w:spacing w:after="0" w:line="202"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Morgan Stanley &amp; Co. LLC, J.P. Morgan Securities LLC, Allen &amp; Company LLC and Deutsche Bank Securities Inc. acted as active book-running managers for the offering. Stifel, Nicolaus &amp; Company, Incorporated acted as passive book-running manager for the offering, and William Blair &amp; Company, L.L.C. and BTIG, LLC acted as co-managers for the offering. The offering commenced on July 25, 2018 and did not terminate before all securities registered in the registration statement were sold.</w:t>
      </w:r>
    </w:p>
    <w:p>
      <w:pPr>
        <w:spacing w:after="0" w:line="204" w:lineRule="exact"/>
        <w:rPr>
          <w:sz w:val="20"/>
          <w:szCs w:val="20"/>
          <w:color w:val="auto"/>
        </w:rPr>
      </w:pPr>
    </w:p>
    <w:p>
      <w:pPr>
        <w:jc w:val="both"/>
        <w:ind w:right="300" w:firstLine="324"/>
        <w:spacing w:after="0" w:line="256" w:lineRule="auto"/>
        <w:rPr>
          <w:sz w:val="20"/>
          <w:szCs w:val="20"/>
          <w:color w:val="auto"/>
        </w:rPr>
      </w:pPr>
      <w:r>
        <w:rPr>
          <w:rFonts w:ascii="Arial" w:cs="Arial" w:eastAsia="Arial" w:hAnsi="Arial"/>
          <w:sz w:val="18"/>
          <w:szCs w:val="18"/>
          <w:color w:val="auto"/>
        </w:rPr>
        <w:t>We received net proceeds of $264.8 million after deducting underwriting discounts and commissions and offering expenses. No offering expenses were paid directly or indirectly to any of our directors, officers or persons owning ten percent or more of our capital stock (or their associates or affiliates).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has been no material change in the planned use of the IPO proceeds as described in our Prospectus.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0" w:right="259" w:bottom="1440" w:gutter="0" w:footer="0" w:header="0"/>
        </w:sectPr>
      </w:pPr>
    </w:p>
    <w:bookmarkStart w:id="58" w:name="page59"/>
    <w:bookmarkEnd w:id="58"/>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ectPr>
          <w:pgSz w:w="11900" w:h="16838" w:orient="portrait"/>
          <w:cols w:equalWidth="0" w:num="1">
            <w:col w:w="11340"/>
          </w:cols>
          <w:pgMar w:left="240" w:top="140" w:right="319" w:bottom="1440" w:gutter="0" w:footer="0" w:header="0"/>
        </w:sectPr>
      </w:pP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8"/>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340" w:type="dxa"/>
            <w:vAlign w:val="bottom"/>
            <w:gridSpan w:val="6"/>
          </w:tcPr>
          <w:p>
            <w:pPr>
              <w:ind w:left="2540"/>
              <w:spacing w:after="0"/>
              <w:rPr>
                <w:sz w:val="20"/>
                <w:szCs w:val="20"/>
                <w:color w:val="auto"/>
              </w:rPr>
            </w:pPr>
            <w:r>
              <w:rPr>
                <w:rFonts w:ascii="Arial" w:cs="Arial" w:eastAsia="Arial" w:hAnsi="Arial"/>
                <w:sz w:val="16"/>
                <w:szCs w:val="16"/>
                <w:b w:val="1"/>
                <w:bCs w:val="1"/>
                <w:color w:val="auto"/>
              </w:rPr>
              <w:t>Description</w:t>
            </w:r>
          </w:p>
        </w:tc>
      </w:tr>
      <w:tr>
        <w:trPr>
          <w:trHeight w:val="311"/>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700" w:type="dxa"/>
            <w:vAlign w:val="bottom"/>
            <w:tcBorders>
              <w:top w:val="single" w:sz="8" w:color="auto"/>
            </w:tcBorders>
            <w:gridSpan w:val="7"/>
          </w:tcPr>
          <w:p>
            <w:pPr>
              <w:spacing w:after="0"/>
              <w:rPr>
                <w:rFonts w:ascii="Arial" w:cs="Arial" w:eastAsia="Arial" w:hAnsi="Arial"/>
                <w:sz w:val="16"/>
                <w:szCs w:val="16"/>
                <w:color w:val="0000FF"/>
              </w:rPr>
            </w:pPr>
            <w:hyperlink r:id="rId8">
              <w:r>
                <w:rPr>
                  <w:rFonts w:ascii="Arial" w:cs="Arial" w:eastAsia="Arial" w:hAnsi="Arial"/>
                  <w:sz w:val="16"/>
                  <w:szCs w:val="16"/>
                  <w:color w:val="0000FF"/>
                </w:rPr>
                <w:t>Amended and Restated Certificate of Incorporation of Tenable Holdings, Inc.</w:t>
              </w:r>
            </w:hyperlink>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80" w:type="dxa"/>
            <w:vAlign w:val="bottom"/>
            <w:tcBorders>
              <w:top w:val="single" w:sz="8" w:color="0000FF"/>
              <w:bottom w:val="single" w:sz="8" w:color="0000FF"/>
            </w:tcBorders>
            <w:gridSpan w:val="3"/>
          </w:tcPr>
          <w:p>
            <w:pPr>
              <w:spacing w:after="0"/>
              <w:rPr>
                <w:rFonts w:ascii="Arial" w:cs="Arial" w:eastAsia="Arial" w:hAnsi="Arial"/>
                <w:sz w:val="16"/>
                <w:szCs w:val="16"/>
                <w:color w:val="0000FF"/>
              </w:rPr>
            </w:pPr>
            <w:hyperlink r:id="rId9">
              <w:r>
                <w:rPr>
                  <w:rFonts w:ascii="Arial" w:cs="Arial" w:eastAsia="Arial" w:hAnsi="Arial"/>
                  <w:sz w:val="16"/>
                  <w:szCs w:val="16"/>
                  <w:color w:val="0000FF"/>
                </w:rPr>
                <w:t>Amended and Restated Bylaws of Tenable Holdings, Inc.</w:t>
              </w:r>
            </w:hyperlink>
          </w:p>
        </w:tc>
        <w:tc>
          <w:tcPr>
            <w:tcW w:w="1380" w:type="dxa"/>
            <w:vAlign w:val="bottom"/>
            <w:tcBorders>
              <w:top w:val="single" w:sz="8" w:color="0000FF"/>
            </w:tcBorders>
          </w:tcPr>
          <w:p>
            <w:pPr>
              <w:spacing w:after="0"/>
              <w:rPr>
                <w:sz w:val="24"/>
                <w:szCs w:val="24"/>
                <w:color w:val="auto"/>
              </w:rPr>
            </w:pPr>
          </w:p>
        </w:tc>
        <w:tc>
          <w:tcPr>
            <w:tcW w:w="1240" w:type="dxa"/>
            <w:vAlign w:val="bottom"/>
            <w:gridSpan w:val="3"/>
          </w:tcPr>
          <w:p>
            <w:pPr>
              <w:spacing w:after="0"/>
              <w:rPr>
                <w:sz w:val="24"/>
                <w:szCs w:val="24"/>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00" w:type="dxa"/>
            <w:vAlign w:val="bottom"/>
            <w:tcBorders>
              <w:bottom w:val="single" w:sz="8" w:color="0000FF"/>
            </w:tcBorders>
            <w:gridSpan w:val="2"/>
          </w:tcPr>
          <w:p>
            <w:pPr>
              <w:spacing w:after="0"/>
              <w:rPr>
                <w:rFonts w:ascii="Arial" w:cs="Arial" w:eastAsia="Arial" w:hAnsi="Arial"/>
                <w:sz w:val="16"/>
                <w:szCs w:val="16"/>
                <w:color w:val="0000FF"/>
              </w:rPr>
            </w:pPr>
            <w:hyperlink r:id="rId10">
              <w:r>
                <w:rPr>
                  <w:rFonts w:ascii="Arial" w:cs="Arial" w:eastAsia="Arial" w:hAnsi="Arial"/>
                  <w:sz w:val="16"/>
                  <w:szCs w:val="16"/>
                  <w:color w:val="0000FF"/>
                </w:rPr>
                <w:t>Common Stock Certificate of Tenable Holdings, Inc.</w:t>
              </w:r>
            </w:hyperlink>
          </w:p>
        </w:tc>
        <w:tc>
          <w:tcPr>
            <w:tcW w:w="3000" w:type="dxa"/>
            <w:vAlign w:val="bottom"/>
            <w:gridSpan w:val="5"/>
          </w:tcPr>
          <w:p>
            <w:pPr>
              <w:spacing w:after="0"/>
              <w:rPr>
                <w:sz w:val="24"/>
                <w:szCs w:val="24"/>
                <w:color w:val="auto"/>
              </w:rPr>
            </w:pPr>
          </w:p>
        </w:tc>
      </w:tr>
      <w:tr>
        <w:trPr>
          <w:trHeight w:val="601"/>
        </w:trPr>
        <w:tc>
          <w:tcPr>
            <w:tcW w:w="92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00" w:type="dxa"/>
            <w:vAlign w:val="bottom"/>
            <w:gridSpan w:val="7"/>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Certification of the Principal Executive Officer pursuant to Rules 13a-14(a) and 15d-14(a)</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940" w:type="dxa"/>
            <w:vAlign w:val="bottom"/>
            <w:gridSpan w:val="4"/>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0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61">
              <w:r>
                <w:rPr>
                  <w:rFonts w:ascii="Arial" w:cs="Arial" w:eastAsia="Arial" w:hAnsi="Arial"/>
                  <w:sz w:val="16"/>
                  <w:szCs w:val="16"/>
                  <w:color w:val="0000FF"/>
                </w:rPr>
                <w:t>under the Exchange Act, as adopted pursuant to Section 302 of the Sarbanes-Oxley Act of</w:t>
              </w:r>
            </w:hyperlink>
          </w:p>
        </w:tc>
        <w:tc>
          <w:tcPr>
            <w:tcW w:w="2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40"/>
              <w:spacing w:after="0" w:line="169" w:lineRule="exact"/>
              <w:rPr>
                <w:rFonts w:ascii="Arial" w:cs="Arial" w:eastAsia="Arial" w:hAnsi="Arial"/>
                <w:sz w:val="16"/>
                <w:szCs w:val="16"/>
                <w:color w:val="0000FF"/>
                <w:w w:val="95"/>
              </w:rPr>
            </w:pPr>
            <w:hyperlink w:anchor="page61">
              <w:r>
                <w:rPr>
                  <w:rFonts w:ascii="Arial" w:cs="Arial" w:eastAsia="Arial" w:hAnsi="Arial"/>
                  <w:sz w:val="16"/>
                  <w:szCs w:val="16"/>
                  <w:color w:val="0000FF"/>
                  <w:w w:val="95"/>
                </w:rPr>
                <w:t>2002</w:t>
              </w:r>
            </w:hyperlink>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00" w:type="dxa"/>
            <w:vAlign w:val="bottom"/>
            <w:gridSpan w:val="7"/>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Certification of the Principal Financial Officer pursuant to Rules 13a-14(a) and 15d-14(a)</w:t>
              </w:r>
            </w:hyperlink>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300" w:type="dxa"/>
            <w:vAlign w:val="bottom"/>
            <w:gridSpan w:val="5"/>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500" w:type="dxa"/>
            <w:vAlign w:val="bottom"/>
            <w:tcBorders>
              <w:bottom w:val="single" w:sz="8" w:color="0000FF"/>
            </w:tcBorders>
            <w:gridSpan w:val="6"/>
          </w:tcPr>
          <w:p>
            <w:pPr>
              <w:spacing w:after="0" w:line="169" w:lineRule="exact"/>
              <w:rPr>
                <w:rFonts w:ascii="Arial" w:cs="Arial" w:eastAsia="Arial" w:hAnsi="Arial"/>
                <w:sz w:val="16"/>
                <w:szCs w:val="16"/>
                <w:color w:val="0000FF"/>
              </w:rPr>
            </w:pPr>
            <w:hyperlink w:anchor="page62">
              <w:r>
                <w:rPr>
                  <w:rFonts w:ascii="Arial" w:cs="Arial" w:eastAsia="Arial" w:hAnsi="Arial"/>
                  <w:sz w:val="16"/>
                  <w:szCs w:val="16"/>
                  <w:color w:val="0000FF"/>
                </w:rPr>
                <w:t>under the Exchange Act, as adopted pursuant to Section 302 of the Sarbanes-Oxley Act of</w:t>
              </w:r>
            </w:hyperlink>
          </w:p>
        </w:tc>
        <w:tc>
          <w:tcPr>
            <w:tcW w:w="2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ind w:left="40"/>
              <w:spacing w:after="0" w:line="169" w:lineRule="exact"/>
              <w:rPr>
                <w:rFonts w:ascii="Arial" w:cs="Arial" w:eastAsia="Arial" w:hAnsi="Arial"/>
                <w:sz w:val="16"/>
                <w:szCs w:val="16"/>
                <w:color w:val="0000FF"/>
                <w:w w:val="95"/>
              </w:rPr>
            </w:pPr>
            <w:hyperlink w:anchor="page62">
              <w:r>
                <w:rPr>
                  <w:rFonts w:ascii="Arial" w:cs="Arial" w:eastAsia="Arial" w:hAnsi="Arial"/>
                  <w:sz w:val="16"/>
                  <w:szCs w:val="16"/>
                  <w:color w:val="0000FF"/>
                  <w:w w:val="95"/>
                </w:rPr>
                <w:t>2002</w:t>
              </w:r>
            </w:hyperlink>
          </w:p>
        </w:tc>
        <w:tc>
          <w:tcPr>
            <w:tcW w:w="3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238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3.1 to the Company's Current Report on Form 8-K (File No. 001-38600) on July 30,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413" w:lineRule="exact"/>
        <w:rPr>
          <w:sz w:val="20"/>
          <w:szCs w:val="20"/>
          <w:color w:val="auto"/>
        </w:rPr>
      </w:pPr>
    </w:p>
    <w:p>
      <w:pPr>
        <w:sectPr>
          <w:pgSz w:w="11900" w:h="16838" w:orient="portrait"/>
          <w:cols w:equalWidth="0" w:num="2">
            <w:col w:w="7780" w:space="140"/>
            <w:col w:w="3420"/>
          </w:cols>
          <w:pgMar w:left="240" w:top="140" w:right="319" w:bottom="1440" w:gutter="0" w:footer="0" w:header="0"/>
          <w:type w:val="continuous"/>
        </w:sectPr>
      </w:pPr>
    </w:p>
    <w:tbl>
      <w:tblPr>
        <w:tblLayout w:type="fixed"/>
        <w:tblInd w:w="240" w:type="dxa"/>
        <w:tblCellMar>
          <w:top w:w="0" w:type="dxa"/>
          <w:left w:w="0" w:type="dxa"/>
          <w:bottom w:w="0" w:type="dxa"/>
          <w:right w:w="0" w:type="dxa"/>
        </w:tblCellMar>
      </w:tblPr>
      <w:tr>
        <w:trPr>
          <w:trHeight w:val="184"/>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32.1*</w:t>
            </w:r>
          </w:p>
        </w:tc>
        <w:tc>
          <w:tcPr>
            <w:tcW w:w="6560" w:type="dxa"/>
            <w:vAlign w:val="bottom"/>
            <w:tcBorders>
              <w:bottom w:val="single" w:sz="8" w:color="0000FF"/>
            </w:tcBorders>
            <w:gridSpan w:val="3"/>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Certification of the Principal Executive Officer and the Principal Financial Officer pursuant to</w:t>
              </w:r>
            </w:hyperlink>
          </w:p>
        </w:tc>
        <w:tc>
          <w:tcPr>
            <w:tcW w:w="140" w:type="dxa"/>
            <w:vAlign w:val="bottom"/>
          </w:tcPr>
          <w:p>
            <w:pPr>
              <w:spacing w:after="0"/>
              <w:rPr>
                <w:sz w:val="16"/>
                <w:szCs w:val="16"/>
                <w:color w:val="auto"/>
              </w:rPr>
            </w:pPr>
          </w:p>
        </w:tc>
        <w:tc>
          <w:tcPr>
            <w:tcW w:w="1160" w:type="dxa"/>
            <w:vAlign w:val="bottom"/>
          </w:tcPr>
          <w:p>
            <w:pPr>
              <w:ind w:left="140"/>
              <w:spacing w:after="0"/>
              <w:rPr>
                <w:sz w:val="20"/>
                <w:szCs w:val="20"/>
                <w:color w:val="auto"/>
              </w:rPr>
            </w:pPr>
            <w:r>
              <w:rPr>
                <w:rFonts w:ascii="Arial" w:cs="Arial" w:eastAsia="Arial" w:hAnsi="Arial"/>
                <w:sz w:val="16"/>
                <w:szCs w:val="16"/>
                <w:color w:val="auto"/>
              </w:rPr>
              <w:t>Filed herewith</w:t>
            </w:r>
          </w:p>
        </w:tc>
      </w:tr>
      <w:tr>
        <w:trPr>
          <w:trHeight w:val="169"/>
        </w:trPr>
        <w:tc>
          <w:tcPr>
            <w:tcW w:w="840" w:type="dxa"/>
            <w:vAlign w:val="bottom"/>
          </w:tcPr>
          <w:p>
            <w:pPr>
              <w:spacing w:after="0"/>
              <w:rPr>
                <w:sz w:val="14"/>
                <w:szCs w:val="14"/>
                <w:color w:val="auto"/>
              </w:rPr>
            </w:pPr>
          </w:p>
        </w:tc>
        <w:tc>
          <w:tcPr>
            <w:tcW w:w="6700" w:type="dxa"/>
            <w:vAlign w:val="bottom"/>
            <w:gridSpan w:val="4"/>
          </w:tcPr>
          <w:p>
            <w:pPr>
              <w:spacing w:after="0" w:line="169" w:lineRule="exact"/>
              <w:rPr>
                <w:rFonts w:ascii="Arial" w:cs="Arial" w:eastAsia="Arial" w:hAnsi="Arial"/>
                <w:sz w:val="16"/>
                <w:szCs w:val="16"/>
                <w:color w:val="0000FF"/>
              </w:rPr>
            </w:pPr>
            <w:hyperlink w:anchor="page63">
              <w:r>
                <w:rPr>
                  <w:rFonts w:ascii="Arial" w:cs="Arial" w:eastAsia="Arial" w:hAnsi="Arial"/>
                  <w:sz w:val="16"/>
                  <w:szCs w:val="16"/>
                  <w:color w:val="0000FF"/>
                </w:rPr>
                <w:t>18 U.S.C. Section 1350, as adopted pursuant to Section 906 of the Sarbanes-Oxley Act of</w:t>
              </w:r>
            </w:hyperlink>
          </w:p>
        </w:tc>
        <w:tc>
          <w:tcPr>
            <w:tcW w:w="1160" w:type="dxa"/>
            <w:vAlign w:val="bottom"/>
          </w:tcPr>
          <w:p>
            <w:pPr>
              <w:spacing w:after="0"/>
              <w:rPr>
                <w:sz w:val="14"/>
                <w:szCs w:val="14"/>
                <w:color w:val="auto"/>
              </w:rPr>
            </w:pPr>
          </w:p>
        </w:tc>
      </w:tr>
      <w:tr>
        <w:trPr>
          <w:trHeight w:val="169"/>
        </w:trPr>
        <w:tc>
          <w:tcPr>
            <w:tcW w:w="8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5"/>
              </w:rPr>
            </w:pPr>
            <w:hyperlink w:anchor="page63">
              <w:r>
                <w:rPr>
                  <w:rFonts w:ascii="Arial" w:cs="Arial" w:eastAsia="Arial" w:hAnsi="Arial"/>
                  <w:sz w:val="16"/>
                  <w:szCs w:val="16"/>
                  <w:color w:val="0000FF"/>
                  <w:w w:val="95"/>
                </w:rPr>
                <w:t>2002</w:t>
              </w:r>
            </w:hyperlink>
          </w:p>
        </w:tc>
        <w:tc>
          <w:tcPr>
            <w:tcW w:w="610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85"/>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8"/>
              </w:rPr>
              <w:t>101.SCH</w:t>
            </w:r>
          </w:p>
        </w:tc>
        <w:tc>
          <w:tcPr>
            <w:tcW w:w="670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c>
          <w:tcPr>
            <w:tcW w:w="1160" w:type="dxa"/>
            <w:vAlign w:val="bottom"/>
          </w:tcPr>
          <w:p>
            <w:pPr>
              <w:spacing w:after="0"/>
              <w:rPr>
                <w:sz w:val="24"/>
                <w:szCs w:val="24"/>
                <w:color w:val="auto"/>
              </w:rPr>
            </w:pP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101.CAL</w:t>
            </w:r>
          </w:p>
        </w:tc>
        <w:tc>
          <w:tcPr>
            <w:tcW w:w="670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1160" w:type="dxa"/>
            <w:vAlign w:val="bottom"/>
          </w:tcPr>
          <w:p>
            <w:pPr>
              <w:spacing w:after="0"/>
              <w:rPr>
                <w:sz w:val="23"/>
                <w:szCs w:val="23"/>
                <w:color w:val="auto"/>
              </w:rPr>
            </w:pP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101.DEF</w:t>
            </w:r>
          </w:p>
        </w:tc>
        <w:tc>
          <w:tcPr>
            <w:tcW w:w="670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160" w:type="dxa"/>
            <w:vAlign w:val="bottom"/>
          </w:tcPr>
          <w:p>
            <w:pPr>
              <w:spacing w:after="0"/>
              <w:rPr>
                <w:sz w:val="23"/>
                <w:szCs w:val="23"/>
                <w:color w:val="auto"/>
              </w:rPr>
            </w:pP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rPr>
              <w:t>101.LAB</w:t>
            </w:r>
          </w:p>
        </w:tc>
        <w:tc>
          <w:tcPr>
            <w:tcW w:w="6700" w:type="dxa"/>
            <w:vAlign w:val="bottom"/>
            <w:gridSpan w:val="4"/>
          </w:tcPr>
          <w:p>
            <w:pPr>
              <w:spacing w:after="0"/>
              <w:rPr>
                <w:sz w:val="20"/>
                <w:szCs w:val="20"/>
                <w:color w:val="auto"/>
              </w:rPr>
            </w:pPr>
            <w:r>
              <w:rPr>
                <w:rFonts w:ascii="Arial" w:cs="Arial" w:eastAsia="Arial" w:hAnsi="Arial"/>
                <w:sz w:val="16"/>
                <w:szCs w:val="16"/>
                <w:color w:val="auto"/>
              </w:rPr>
              <w:t>XBRL Taxonomy Extension Label Linkbase Document.</w:t>
            </w:r>
          </w:p>
        </w:tc>
        <w:tc>
          <w:tcPr>
            <w:tcW w:w="1160" w:type="dxa"/>
            <w:vAlign w:val="bottom"/>
          </w:tcPr>
          <w:p>
            <w:pPr>
              <w:spacing w:after="0"/>
              <w:rPr>
                <w:sz w:val="23"/>
                <w:szCs w:val="23"/>
                <w:color w:val="auto"/>
              </w:rPr>
            </w:pPr>
          </w:p>
        </w:tc>
      </w:tr>
      <w:tr>
        <w:trPr>
          <w:trHeight w:val="270"/>
        </w:trPr>
        <w:tc>
          <w:tcPr>
            <w:tcW w:w="840" w:type="dxa"/>
            <w:vAlign w:val="bottom"/>
          </w:tcPr>
          <w:p>
            <w:pPr>
              <w:jc w:val="right"/>
              <w:ind w:right="99"/>
              <w:spacing w:after="0"/>
              <w:rPr>
                <w:sz w:val="20"/>
                <w:szCs w:val="20"/>
                <w:color w:val="auto"/>
              </w:rPr>
            </w:pPr>
            <w:r>
              <w:rPr>
                <w:rFonts w:ascii="Arial" w:cs="Arial" w:eastAsia="Arial" w:hAnsi="Arial"/>
                <w:sz w:val="16"/>
                <w:szCs w:val="16"/>
                <w:color w:val="auto"/>
                <w:w w:val="99"/>
              </w:rPr>
              <w:t>101.PRE</w:t>
            </w:r>
          </w:p>
        </w:tc>
        <w:tc>
          <w:tcPr>
            <w:tcW w:w="670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1160" w:type="dxa"/>
            <w:vAlign w:val="bottom"/>
          </w:tcPr>
          <w:p>
            <w:pPr>
              <w:spacing w:after="0"/>
              <w:rPr>
                <w:sz w:val="23"/>
                <w:szCs w:val="23"/>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 w:lineRule="exact"/>
        <w:rPr>
          <w:sz w:val="20"/>
          <w:szCs w:val="20"/>
          <w:color w:val="auto"/>
        </w:rPr>
      </w:pPr>
    </w:p>
    <w:p>
      <w:pPr>
        <w:ind w:right="280" w:firstLine="332"/>
        <w:spacing w:after="0" w:line="256"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140" w:right="319" w:bottom="1440" w:gutter="0" w:footer="0" w:header="0"/>
          <w:type w:val="continuous"/>
        </w:sectPr>
      </w:pPr>
    </w:p>
    <w:bookmarkStart w:id="59" w:name="page60"/>
    <w:bookmarkEnd w:id="59"/>
    <w:p>
      <w:pPr>
        <w:ind w:left="2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580" w:type="dxa"/>
            <w:vAlign w:val="bottom"/>
            <w:gridSpan w:val="2"/>
          </w:tcPr>
          <w:p>
            <w:pPr>
              <w:ind w:left="1060"/>
              <w:spacing w:after="0"/>
              <w:rPr>
                <w:sz w:val="20"/>
                <w:szCs w:val="20"/>
                <w:color w:val="auto"/>
              </w:rPr>
            </w:pPr>
            <w:r>
              <w:rPr>
                <w:rFonts w:ascii="Arial" w:cs="Arial" w:eastAsia="Arial" w:hAnsi="Arial"/>
                <w:sz w:val="18"/>
                <w:szCs w:val="18"/>
                <w:b w:val="1"/>
                <w:bCs w:val="1"/>
                <w:color w:val="auto"/>
              </w:rPr>
              <w:t>TENABLE HOLDINGS, INC.</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620" w:type="dxa"/>
            <w:vAlign w:val="bottom"/>
          </w:tcPr>
          <w:p>
            <w:pPr>
              <w:ind w:left="60"/>
              <w:spacing w:after="0"/>
              <w:rPr>
                <w:sz w:val="20"/>
                <w:szCs w:val="20"/>
                <w:color w:val="auto"/>
              </w:rPr>
            </w:pPr>
            <w:r>
              <w:rPr>
                <w:rFonts w:ascii="Arial" w:cs="Arial" w:eastAsia="Arial" w:hAnsi="Arial"/>
                <w:sz w:val="18"/>
                <w:szCs w:val="18"/>
                <w:color w:val="auto"/>
              </w:rPr>
              <w:t>November 7, 2018</w:t>
            </w:r>
          </w:p>
        </w:tc>
        <w:tc>
          <w:tcPr>
            <w:tcW w:w="6580" w:type="dxa"/>
            <w:vAlign w:val="bottom"/>
            <w:gridSpan w:val="2"/>
          </w:tcPr>
          <w:p>
            <w:pPr>
              <w:ind w:left="1060"/>
              <w:spacing w:after="0"/>
              <w:rPr>
                <w:sz w:val="20"/>
                <w:szCs w:val="20"/>
                <w:color w:val="auto"/>
              </w:rPr>
            </w:pPr>
            <w:r>
              <w:rPr>
                <w:rFonts w:ascii="Arial" w:cs="Arial" w:eastAsia="Arial" w:hAnsi="Arial"/>
                <w:sz w:val="18"/>
                <w:szCs w:val="18"/>
                <w:color w:val="auto"/>
              </w:rPr>
              <w:t>By: /s/ Amit Y. Yoran</w:t>
            </w:r>
          </w:p>
        </w:tc>
      </w:tr>
      <w:tr>
        <w:trPr>
          <w:trHeight w:val="243"/>
        </w:trPr>
        <w:tc>
          <w:tcPr>
            <w:tcW w:w="5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 Yoran</w:t>
            </w:r>
          </w:p>
        </w:tc>
      </w:tr>
      <w:tr>
        <w:trPr>
          <w:trHeight w:val="270"/>
        </w:trPr>
        <w:tc>
          <w:tcPr>
            <w:tcW w:w="5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w:t>
            </w:r>
          </w:p>
        </w:tc>
      </w:tr>
      <w:tr>
        <w:trPr>
          <w:trHeight w:val="270"/>
        </w:trPr>
        <w:tc>
          <w:tcPr>
            <w:tcW w:w="5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88"/>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2620" w:type="dxa"/>
            <w:vAlign w:val="bottom"/>
          </w:tcPr>
          <w:p>
            <w:pPr>
              <w:ind w:left="60"/>
              <w:spacing w:after="0"/>
              <w:rPr>
                <w:sz w:val="20"/>
                <w:szCs w:val="20"/>
                <w:color w:val="auto"/>
              </w:rPr>
            </w:pPr>
            <w:r>
              <w:rPr>
                <w:rFonts w:ascii="Arial" w:cs="Arial" w:eastAsia="Arial" w:hAnsi="Arial"/>
                <w:sz w:val="18"/>
                <w:szCs w:val="18"/>
                <w:color w:val="auto"/>
              </w:rPr>
              <w:t>November 7, 2018</w:t>
            </w:r>
          </w:p>
        </w:tc>
        <w:tc>
          <w:tcPr>
            <w:tcW w:w="6580" w:type="dxa"/>
            <w:vAlign w:val="bottom"/>
            <w:gridSpan w:val="2"/>
          </w:tcPr>
          <w:p>
            <w:pPr>
              <w:ind w:left="1060"/>
              <w:spacing w:after="0"/>
              <w:rPr>
                <w:sz w:val="20"/>
                <w:szCs w:val="20"/>
                <w:color w:val="auto"/>
              </w:rPr>
            </w:pPr>
            <w:r>
              <w:rPr>
                <w:rFonts w:ascii="Arial" w:cs="Arial" w:eastAsia="Arial" w:hAnsi="Arial"/>
                <w:sz w:val="18"/>
                <w:szCs w:val="18"/>
                <w:color w:val="auto"/>
              </w:rPr>
              <w:t>By: /s/ Stephen A. Vintz</w:t>
            </w:r>
          </w:p>
        </w:tc>
      </w:tr>
      <w:tr>
        <w:trPr>
          <w:trHeight w:val="243"/>
        </w:trPr>
        <w:tc>
          <w:tcPr>
            <w:tcW w:w="5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70"/>
        </w:trPr>
        <w:tc>
          <w:tcPr>
            <w:tcW w:w="5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50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1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r>
        <w:trPr>
          <w:trHeight w:val="905"/>
        </w:trPr>
        <w:tc>
          <w:tcPr>
            <w:tcW w:w="5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580" w:type="dxa"/>
            <w:vAlign w:val="bottom"/>
            <w:gridSpan w:val="2"/>
          </w:tcPr>
          <w:p>
            <w:pPr>
              <w:jc w:val="right"/>
              <w:ind w:right="3830"/>
              <w:spacing w:after="0"/>
              <w:rPr>
                <w:sz w:val="20"/>
                <w:szCs w:val="20"/>
                <w:color w:val="auto"/>
              </w:rPr>
            </w:pPr>
            <w:r>
              <w:rPr>
                <w:rFonts w:ascii="Arial" w:cs="Arial" w:eastAsia="Arial" w:hAnsi="Arial"/>
                <w:sz w:val="18"/>
                <w:szCs w:val="18"/>
                <w:color w:val="auto"/>
              </w:rPr>
              <w:t>60</w:t>
            </w:r>
          </w:p>
        </w:tc>
      </w:tr>
    </w:tbl>
    <w:p>
      <w:pPr>
        <w:sectPr>
          <w:pgSz w:w="11900" w:h="16838" w:orient="portrait"/>
          <w:cols w:equalWidth="0" w:num="1">
            <w:col w:w="11200"/>
          </w:cols>
          <w:pgMar w:left="240" w:top="140" w:right="4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359"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Amit Y. Yoran, certify that:</w:t>
      </w:r>
    </w:p>
    <w:p>
      <w:pPr>
        <w:spacing w:after="0" w:line="225" w:lineRule="exact"/>
        <w:rPr>
          <w:sz w:val="20"/>
          <w:szCs w:val="20"/>
          <w:color w:val="auto"/>
        </w:rPr>
      </w:pPr>
    </w:p>
    <w:p>
      <w:pPr>
        <w:ind w:left="500" w:hanging="465"/>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November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Chairman</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18"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305"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225" w:lineRule="exact"/>
        <w:rPr>
          <w:sz w:val="20"/>
          <w:szCs w:val="20"/>
          <w:color w:val="auto"/>
        </w:rPr>
      </w:pPr>
    </w:p>
    <w:p>
      <w:pPr>
        <w:ind w:left="500" w:hanging="46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225" w:lineRule="exact"/>
        <w:rPr>
          <w:rFonts w:ascii="Arial" w:cs="Arial" w:eastAsia="Arial" w:hAnsi="Arial"/>
          <w:sz w:val="18"/>
          <w:szCs w:val="18"/>
          <w:color w:val="auto"/>
        </w:rPr>
      </w:pPr>
    </w:p>
    <w:p>
      <w:pPr>
        <w:ind w:left="500" w:right="60" w:hanging="46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00" w:right="160" w:hanging="465"/>
        <w:spacing w:after="0" w:line="24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left="500" w:right="240" w:hanging="465"/>
        <w:spacing w:after="0" w:line="246" w:lineRule="auto"/>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96" w:lineRule="exact"/>
        <w:rPr>
          <w:rFonts w:ascii="Arial" w:cs="Arial" w:eastAsia="Arial" w:hAnsi="Arial"/>
          <w:sz w:val="18"/>
          <w:szCs w:val="18"/>
          <w:color w:val="auto"/>
        </w:rPr>
      </w:pPr>
    </w:p>
    <w:p>
      <w:pPr>
        <w:jc w:val="both"/>
        <w:ind w:left="1080" w:right="60" w:hanging="57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jc w:val="both"/>
        <w:ind w:left="1080" w:right="340" w:hanging="57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80" w:right="160" w:hanging="572"/>
        <w:spacing w:after="0"/>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00" w:right="140" w:hanging="465"/>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80" w:right="60" w:hanging="572"/>
        <w:spacing w:after="0" w:line="246"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1080" w:right="260" w:hanging="572"/>
        <w:spacing w:after="0" w:line="246" w:lineRule="auto"/>
        <w:tabs>
          <w:tab w:leader="none" w:pos="10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November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118"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305"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55"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Quarterly Report on Form 10-Q of Tenable Holdings, Inc. for the fiscal quarter ended September 30, 2018 fully complies with the requirements of Section 13(a) or 15(d) of the Securities Exchange Act of 1934 and that information contained in such Quarterly Report on Form 10-Q fairly presents, in all material respects, the financial condition and results of operations of Tenable Holdings, Inc.</w:t>
      </w:r>
    </w:p>
    <w:p>
      <w:pPr>
        <w:spacing w:after="0" w:line="366"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November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Amit Y. Yoran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Chief Executive Officer and Chairman</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spacing w:after="0" w:line="392" w:lineRule="exact"/>
        <w:rPr>
          <w:sz w:val="20"/>
          <w:szCs w:val="20"/>
          <w:color w:val="auto"/>
        </w:rPr>
      </w:pPr>
    </w:p>
    <w:p>
      <w:pPr>
        <w:ind w:left="40"/>
        <w:spacing w:after="0"/>
        <w:tabs>
          <w:tab w:leader="none" w:pos="700" w:val="left"/>
          <w:tab w:leader="none" w:pos="5840" w:val="left"/>
          <w:tab w:leader="none" w:pos="6300" w:val="left"/>
        </w:tabs>
        <w:rPr>
          <w:sz w:val="20"/>
          <w:szCs w:val="20"/>
          <w:color w:val="auto"/>
        </w:rPr>
      </w:pPr>
      <w:r>
        <w:rPr>
          <w:rFonts w:ascii="Arial" w:cs="Arial" w:eastAsia="Arial" w:hAnsi="Arial"/>
          <w:sz w:val="18"/>
          <w:szCs w:val="18"/>
          <w:color w:val="auto"/>
        </w:rPr>
        <w:t>Date:</w:t>
        <w:tab/>
        <w:t>November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Stephen A. Vintz</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4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8" Type="http://schemas.openxmlformats.org/officeDocument/2006/relationships/hyperlink" Target="http://www.sec.gov/Archives/edgar/data/1660280/000119312518231446/d562353dex31.htm" TargetMode="External"/><Relationship Id="rId9" Type="http://schemas.openxmlformats.org/officeDocument/2006/relationships/hyperlink" Target="http://www.sec.gov/Archives/edgar/data/1660280/000119312518209705/d548092dex34.htm" TargetMode="External"/><Relationship Id="rId10" Type="http://schemas.openxmlformats.org/officeDocument/2006/relationships/hyperlink" Target="http://www.sec.gov/Archives/edgar/data/1660280/000119312518218215/d5480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2019-12-28T18:01:21Z</dcterms:created>
  <dcterms:modified xsi:type="dcterms:W3CDTF">2019-12-28T18:01:21Z</dcterms:modified>
</cp:coreProperties>
</file>