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8682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82355"/>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Vintz Stephen 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49"/>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409" w:lineRule="exact"/>
        <w:rPr>
          <w:sz w:val="24"/>
          <w:szCs w:val="24"/>
          <w:color w:val="auto"/>
        </w:rPr>
      </w:pPr>
    </w:p>
    <w:p>
      <w:pPr>
        <w:sectPr>
          <w:pgSz w:w="11900" w:h="16838" w:orient="portrait"/>
          <w:cols w:equalWidth="0" w:num="3">
            <w:col w:w="3180" w:space="720"/>
            <w:col w:w="3111" w:space="720"/>
            <w:col w:w="3349"/>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21044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45"/>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1,878</w:t>
            </w:r>
          </w:p>
        </w:tc>
        <w:tc>
          <w:tcPr>
            <w:tcW w:w="66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364,557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rPr>
              <w:t>899</w:t>
            </w:r>
          </w:p>
        </w:tc>
        <w:tc>
          <w:tcPr>
            <w:tcW w:w="66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363,658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1,594</w:t>
            </w:r>
          </w:p>
        </w:tc>
        <w:tc>
          <w:tcPr>
            <w:tcW w:w="66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365,252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rPr>
              <w:t>763</w:t>
            </w:r>
          </w:p>
        </w:tc>
        <w:tc>
          <w:tcPr>
            <w:tcW w:w="66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364,489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2,345</w:t>
            </w:r>
          </w:p>
        </w:tc>
        <w:tc>
          <w:tcPr>
            <w:tcW w:w="66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366,834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w w:val="99"/>
              </w:rPr>
              <w:t>1,123</w:t>
            </w:r>
          </w:p>
        </w:tc>
        <w:tc>
          <w:tcPr>
            <w:tcW w:w="66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365,711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5,316</w:t>
            </w:r>
          </w:p>
        </w:tc>
        <w:tc>
          <w:tcPr>
            <w:tcW w:w="66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371,027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w w:val="99"/>
              </w:rPr>
              <w:t>2,544</w:t>
            </w:r>
          </w:p>
        </w:tc>
        <w:tc>
          <w:tcPr>
            <w:tcW w:w="66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368,483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5,095</w:t>
            </w:r>
          </w:p>
        </w:tc>
        <w:tc>
          <w:tcPr>
            <w:tcW w:w="66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373,578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w w:val="99"/>
              </w:rPr>
              <w:t>2,438</w:t>
            </w:r>
          </w:p>
        </w:tc>
        <w:tc>
          <w:tcPr>
            <w:tcW w:w="66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371,140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49"/>
              <w:spacing w:after="0"/>
              <w:rPr>
                <w:sz w:val="20"/>
                <w:szCs w:val="20"/>
                <w:color w:val="auto"/>
              </w:rPr>
            </w:pPr>
            <w:r>
              <w:rPr>
                <w:rFonts w:ascii="Times New Roman" w:cs="Times New Roman" w:eastAsia="Times New Roman" w:hAnsi="Times New Roman"/>
                <w:sz w:val="17"/>
                <w:szCs w:val="17"/>
                <w:color w:val="0000FF"/>
                <w:w w:val="99"/>
              </w:rPr>
              <w:t>4,518</w:t>
            </w:r>
          </w:p>
        </w:tc>
        <w:tc>
          <w:tcPr>
            <w:tcW w:w="66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375,658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45"/>
              <w:spacing w:after="0"/>
              <w:rPr>
                <w:sz w:val="20"/>
                <w:szCs w:val="20"/>
                <w:color w:val="auto"/>
              </w:rPr>
            </w:pPr>
            <w:r>
              <w:rPr>
                <w:rFonts w:ascii="Times New Roman" w:cs="Times New Roman" w:eastAsia="Times New Roman" w:hAnsi="Times New Roman"/>
                <w:sz w:val="17"/>
                <w:szCs w:val="17"/>
                <w:color w:val="0000FF"/>
                <w:w w:val="98"/>
              </w:rPr>
              <w:t>11/24/2025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49"/>
              <w:spacing w:after="0"/>
              <w:rPr>
                <w:sz w:val="20"/>
                <w:szCs w:val="20"/>
                <w:color w:val="auto"/>
              </w:rPr>
            </w:pPr>
            <w:r>
              <w:rPr>
                <w:rFonts w:ascii="Times New Roman" w:cs="Times New Roman" w:eastAsia="Times New Roman" w:hAnsi="Times New Roman"/>
                <w:sz w:val="17"/>
                <w:szCs w:val="17"/>
                <w:color w:val="0000FF"/>
                <w:w w:val="99"/>
              </w:rPr>
              <w:t>2,162</w:t>
            </w:r>
          </w:p>
        </w:tc>
        <w:tc>
          <w:tcPr>
            <w:tcW w:w="66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373,496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jc w:val="center"/>
              <w:ind w:right="38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9"/>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5"/>
                <w:szCs w:val="5"/>
                <w:color w:val="auto"/>
              </w:rPr>
            </w:pPr>
          </w:p>
        </w:tc>
        <w:tc>
          <w:tcPr>
            <w:tcW w:w="5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1,878</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5"/>
              </w:rPr>
              <w:t>1,882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9"/>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1,594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5"/>
                <w:szCs w:val="5"/>
                <w:color w:val="auto"/>
              </w:rPr>
            </w:pPr>
          </w:p>
        </w:tc>
        <w:tc>
          <w:tcPr>
            <w:tcW w:w="5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1,594</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5"/>
              </w:rPr>
              <w:t>7,979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ind w:right="9"/>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2,345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5"/>
                <w:szCs w:val="5"/>
                <w:color w:val="auto"/>
              </w:rPr>
            </w:pPr>
          </w:p>
        </w:tc>
        <w:tc>
          <w:tcPr>
            <w:tcW w:w="5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2,345</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21,112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5,316</w:t>
            </w:r>
          </w:p>
        </w:tc>
        <w:tc>
          <w:tcPr>
            <w:tcW w:w="78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ind w:right="9"/>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5,316</w:t>
            </w:r>
          </w:p>
        </w:tc>
        <w:tc>
          <w:tcPr>
            <w:tcW w:w="60" w:type="dxa"/>
            <w:vAlign w:val="bottom"/>
          </w:tcPr>
          <w:p>
            <w:pPr>
              <w:spacing w:after="0"/>
              <w:rPr>
                <w:sz w:val="15"/>
                <w:szCs w:val="1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5"/>
              </w:rPr>
              <w:t>5,316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5,095</w:t>
            </w:r>
          </w:p>
        </w:tc>
        <w:tc>
          <w:tcPr>
            <w:tcW w:w="78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ind w:right="9"/>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5,095</w:t>
            </w:r>
          </w:p>
        </w:tc>
        <w:tc>
          <w:tcPr>
            <w:tcW w:w="60" w:type="dxa"/>
            <w:vAlign w:val="bottom"/>
          </w:tcPr>
          <w:p>
            <w:pPr>
              <w:spacing w:after="0"/>
              <w:rPr>
                <w:sz w:val="15"/>
                <w:szCs w:val="1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25,476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-3316605</wp:posOffset>
            </wp:positionV>
            <wp:extent cx="29210" cy="351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134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00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0002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11/24/2025</w:t>
            </w:r>
          </w:p>
        </w:tc>
        <w:tc>
          <w:tcPr>
            <w:tcW w:w="1100" w:type="dxa"/>
            <w:vAlign w:val="bottom"/>
          </w:tcPr>
          <w:p>
            <w:pPr>
              <w:spacing w:after="0"/>
              <w:rPr>
                <w:sz w:val="15"/>
                <w:szCs w:val="15"/>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4,518</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4,518</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40,670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18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20" w:right="28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2023, the Compensation Committee of the Issuer's Board of Directors certified the achievement of the Performance Restricted Stock Units (PRSUs) granted on February 23, 2022 and determined a 106% payout for the measurement period based on the Issuer's fiscal year 2022 criteria. 25% of the shares underlying the PRSUs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21, 2024, the Compensation Committee of the Issuer's Board of Directors certified the achievement of the Performance Restricted Stock Units (PRSUs) granted on February 22, 2023 and determined a 93.9% payout for the measurement period based on the Issuer's fiscal year 2023 criteria. 25% of the shares underlying the PRSUs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13, 2025, the Compensation Committee of the Issuer's Board of Directors certified the achievement of the Performance Restricted Stock Units (PRSUs) granted on February 22, 2024 and determined a 96.4% payout for the measurement period based on the Issuer's fiscal year 2024 criteria. 25% of the shares underlying the PRSUs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4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11/25/2025</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45943"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2025-11-25T18:56:38Z</dcterms:created>
  <dcterms:modified xsi:type="dcterms:W3CDTF">2025-11-25T18:56:38Z</dcterms:modified>
</cp:coreProperties>
</file>