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231F20"/>
        </w:rPr>
        <w:t>UNITED STATES</w:t>
      </w:r>
    </w:p>
    <w:p>
      <w:pPr>
        <w:spacing w:after="0" w:line="42"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231F20"/>
        </w:rPr>
        <w:t>SECURITIES AND EXCHANGE COMMISSION</w:t>
      </w:r>
    </w:p>
    <w:p>
      <w:pPr>
        <w:spacing w:after="0" w:line="1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231F20"/>
        </w:rPr>
        <w:t>Washington, D.C. 20549</w:t>
      </w:r>
    </w:p>
    <w:p>
      <w:pPr>
        <w:ind w:left="4720"/>
        <w:spacing w:after="0"/>
        <w:rPr>
          <w:sz w:val="20"/>
          <w:szCs w:val="20"/>
          <w:color w:val="auto"/>
        </w:rPr>
      </w:pPr>
      <w:r>
        <w:rPr>
          <w:rFonts w:ascii="Arial" w:cs="Arial" w:eastAsia="Arial" w:hAnsi="Arial"/>
          <w:sz w:val="18"/>
          <w:szCs w:val="18"/>
          <w:b w:val="1"/>
          <w:bCs w:val="1"/>
          <w:color w:val="auto"/>
        </w:rPr>
        <w:t>__________________</w:t>
      </w:r>
    </w:p>
    <w:p>
      <w:pPr>
        <w:spacing w:after="0" w:line="78"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231F20"/>
        </w:rPr>
        <w:t>FORM 10-Q</w:t>
      </w:r>
    </w:p>
    <w:p>
      <w:pPr>
        <w:spacing w:after="0" w:line="43" w:lineRule="exact"/>
        <w:rPr>
          <w:sz w:val="24"/>
          <w:szCs w:val="24"/>
          <w:color w:val="auto"/>
        </w:rPr>
      </w:pPr>
    </w:p>
    <w:p>
      <w:pPr>
        <w:ind w:left="4720"/>
        <w:spacing w:after="0"/>
        <w:rPr>
          <w:sz w:val="20"/>
          <w:szCs w:val="20"/>
          <w:color w:val="auto"/>
        </w:rPr>
      </w:pPr>
      <w:r>
        <w:rPr>
          <w:rFonts w:ascii="Arial" w:cs="Arial" w:eastAsia="Arial" w:hAnsi="Arial"/>
          <w:sz w:val="18"/>
          <w:szCs w:val="18"/>
          <w:b w:val="1"/>
          <w:bCs w:val="1"/>
          <w:color w:val="231F20"/>
        </w:rPr>
        <w:t>__________________</w:t>
      </w:r>
    </w:p>
    <w:p>
      <w:pPr>
        <w:spacing w:after="0" w:line="163" w:lineRule="exact"/>
        <w:rPr>
          <w:sz w:val="24"/>
          <w:szCs w:val="24"/>
          <w:color w:val="auto"/>
        </w:rPr>
      </w:pPr>
    </w:p>
    <w:p>
      <w:pPr>
        <w:ind w:left="580" w:hanging="545"/>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35"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For the Quarterly Period Ended June 30, 2020</w:t>
      </w:r>
    </w:p>
    <w:p>
      <w:pPr>
        <w:spacing w:after="0" w:line="59"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or</w:t>
      </w:r>
    </w:p>
    <w:p>
      <w:pPr>
        <w:spacing w:after="0" w:line="176" w:lineRule="exact"/>
        <w:rPr>
          <w:sz w:val="24"/>
          <w:szCs w:val="24"/>
          <w:color w:val="auto"/>
        </w:rPr>
      </w:pPr>
    </w:p>
    <w:p>
      <w:pPr>
        <w:ind w:left="580" w:hanging="545"/>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81" w:lineRule="exact"/>
        <w:rPr>
          <w:rFonts w:ascii="MS PGothic" w:cs="MS PGothic" w:eastAsia="MS PGothic" w:hAnsi="MS PGothic"/>
          <w:sz w:val="18"/>
          <w:szCs w:val="18"/>
          <w:color w:val="auto"/>
        </w:rPr>
      </w:pPr>
    </w:p>
    <w:p>
      <w:pPr>
        <w:ind w:left="3900"/>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For the transition period from _____ to _____</w:t>
      </w:r>
    </w:p>
    <w:p>
      <w:pPr>
        <w:spacing w:after="0" w:line="113"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Commission file number 001-38600</w:t>
      </w:r>
    </w:p>
    <w:p>
      <w:pPr>
        <w:spacing w:after="0" w:line="22" w:lineRule="exact"/>
        <w:rPr>
          <w:sz w:val="24"/>
          <w:szCs w:val="24"/>
          <w:color w:val="auto"/>
        </w:rPr>
      </w:pPr>
    </w:p>
    <w:p>
      <w:pPr>
        <w:ind w:left="4720"/>
        <w:spacing w:after="0"/>
        <w:rPr>
          <w:sz w:val="20"/>
          <w:szCs w:val="20"/>
          <w:color w:val="auto"/>
        </w:rPr>
      </w:pPr>
      <w:r>
        <w:rPr>
          <w:rFonts w:ascii="Arial" w:cs="Arial" w:eastAsia="Arial" w:hAnsi="Arial"/>
          <w:sz w:val="18"/>
          <w:szCs w:val="18"/>
          <w:b w:val="1"/>
          <w:bCs w:val="1"/>
          <w:color w:val="231F20"/>
        </w:rPr>
        <w:t>__________________</w:t>
      </w:r>
    </w:p>
    <w:p>
      <w:pPr>
        <w:spacing w:after="0" w:line="34"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231F20"/>
        </w:rPr>
        <w:t>TENABLE HOLDINGS, INC.</w:t>
      </w:r>
    </w:p>
    <w:p>
      <w:pPr>
        <w:spacing w:after="0" w:line="43"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231F20"/>
        </w:rPr>
        <w:t>(Exact name of registrant as specified in its charter)</w:t>
      </w:r>
    </w:p>
    <w:p>
      <w:pPr>
        <w:ind w:left="4720"/>
        <w:spacing w:after="0"/>
        <w:rPr>
          <w:sz w:val="20"/>
          <w:szCs w:val="20"/>
          <w:color w:val="auto"/>
        </w:rPr>
      </w:pPr>
      <w:r>
        <w:rPr>
          <w:rFonts w:ascii="Arial" w:cs="Arial" w:eastAsia="Arial" w:hAnsi="Arial"/>
          <w:sz w:val="18"/>
          <w:szCs w:val="18"/>
          <w:b w:val="1"/>
          <w:bCs w:val="1"/>
          <w:color w:val="231F20"/>
        </w:rPr>
        <w:t>__________________</w:t>
      </w:r>
    </w:p>
    <w:p>
      <w:pPr>
        <w:sectPr>
          <w:pgSz w:w="11900" w:h="16838" w:orient="portrait"/>
          <w:cols w:equalWidth="0" w:num="1">
            <w:col w:w="11200"/>
          </w:cols>
          <w:pgMar w:left="320" w:top="217" w:right="379" w:bottom="1440" w:gutter="0" w:footer="0" w:header="0"/>
        </w:sectPr>
      </w:pPr>
    </w:p>
    <w:p>
      <w:pPr>
        <w:spacing w:after="0" w:line="154" w:lineRule="exact"/>
        <w:rPr>
          <w:sz w:val="24"/>
          <w:szCs w:val="24"/>
          <w:color w:val="auto"/>
        </w:rPr>
      </w:pPr>
    </w:p>
    <w:p>
      <w:pPr>
        <w:ind w:left="19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47-5580846</w:t>
      </w:r>
    </w:p>
    <w:p>
      <w:pPr>
        <w:spacing w:after="0" w:line="122" w:lineRule="exact"/>
        <w:rPr>
          <w:sz w:val="24"/>
          <w:szCs w:val="24"/>
          <w:color w:val="auto"/>
        </w:rPr>
      </w:pPr>
    </w:p>
    <w:p>
      <w:pPr>
        <w:sectPr>
          <w:pgSz w:w="11900" w:h="16838" w:orient="portrait"/>
          <w:cols w:equalWidth="0" w:num="2">
            <w:col w:w="7740" w:space="720"/>
            <w:col w:w="2740"/>
          </w:cols>
          <w:pgMar w:left="320" w:top="217" w:right="379" w:bottom="1440" w:gutter="0" w:footer="0" w:header="0"/>
          <w:type w:val="continuous"/>
        </w:sectPr>
      </w:pPr>
    </w:p>
    <w:p>
      <w:pPr>
        <w:ind w:left="460"/>
        <w:spacing w:after="0"/>
        <w:rPr>
          <w:sz w:val="20"/>
          <w:szCs w:val="20"/>
          <w:color w:val="auto"/>
        </w:rPr>
      </w:pPr>
      <w:r>
        <w:rPr>
          <w:rFonts w:ascii="Arial" w:cs="Arial" w:eastAsia="Arial" w:hAnsi="Arial"/>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(I.R.S. Employer Identification Number)</w:t>
      </w:r>
    </w:p>
    <w:p>
      <w:pPr>
        <w:spacing w:after="0" w:line="113" w:lineRule="exact"/>
        <w:rPr>
          <w:sz w:val="24"/>
          <w:szCs w:val="24"/>
          <w:color w:val="auto"/>
        </w:rPr>
      </w:pPr>
    </w:p>
    <w:p>
      <w:pPr>
        <w:sectPr>
          <w:pgSz w:w="11900" w:h="16838" w:orient="portrait"/>
          <w:cols w:equalWidth="0" w:num="2">
            <w:col w:w="6920" w:space="720"/>
            <w:col w:w="3560"/>
          </w:cols>
          <w:pgMar w:left="320" w:top="217" w:right="379" w:bottom="1440" w:gutter="0" w:footer="0" w:header="0"/>
          <w:type w:val="continuous"/>
        </w:sectPr>
      </w:pPr>
    </w:p>
    <w:p>
      <w:pPr>
        <w:jc w:val="center"/>
        <w:ind w:right="-39"/>
        <w:spacing w:after="0"/>
        <w:rPr>
          <w:sz w:val="20"/>
          <w:szCs w:val="20"/>
          <w:color w:val="auto"/>
        </w:rPr>
      </w:pPr>
      <w:r>
        <w:rPr>
          <w:rFonts w:ascii="Arial" w:cs="Arial" w:eastAsia="Arial" w:hAnsi="Arial"/>
          <w:sz w:val="16"/>
          <w:szCs w:val="16"/>
          <w:b w:val="1"/>
          <w:bCs w:val="1"/>
          <w:color w:val="auto"/>
        </w:rPr>
        <w:t>7021 Columbia Gateway Drive, Suite 500, Columbia, Maryland, 21046</w:t>
      </w:r>
    </w:p>
    <w:p>
      <w:pPr>
        <w:spacing w:after="0" w:line="28"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(Address of principal executive offices, including zip code)</w:t>
      </w:r>
    </w:p>
    <w:p>
      <w:pPr>
        <w:spacing w:after="0" w:line="86"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(410) 872-0555</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(Registrant’s telephone number, including area code)</w:t>
      </w:r>
    </w:p>
    <w:p>
      <w:pPr>
        <w:ind w:left="4720"/>
        <w:spacing w:after="0"/>
        <w:rPr>
          <w:sz w:val="20"/>
          <w:szCs w:val="20"/>
          <w:color w:val="auto"/>
        </w:rPr>
      </w:pPr>
      <w:r>
        <w:rPr>
          <w:rFonts w:ascii="Arial" w:cs="Arial" w:eastAsia="Arial" w:hAnsi="Arial"/>
          <w:sz w:val="18"/>
          <w:szCs w:val="18"/>
          <w:b w:val="1"/>
          <w:bCs w:val="1"/>
          <w:color w:val="231F20"/>
        </w:rPr>
        <w:t>__________________</w:t>
      </w:r>
    </w:p>
    <w:p>
      <w:pPr>
        <w:spacing w:after="0" w:line="120"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ectPr>
          <w:pgSz w:w="11900" w:h="16838" w:orient="portrait"/>
          <w:cols w:equalWidth="0" w:num="1">
            <w:col w:w="11200"/>
          </w:cols>
          <w:pgMar w:left="320" w:top="217" w:right="379" w:bottom="1440" w:gutter="0" w:footer="0" w:header="0"/>
          <w:type w:val="continuous"/>
        </w:sectPr>
      </w:pPr>
    </w:p>
    <w:p>
      <w:pPr>
        <w:spacing w:after="0" w:line="167" w:lineRule="exact"/>
        <w:rPr>
          <w:sz w:val="24"/>
          <w:szCs w:val="24"/>
          <w:color w:val="auto"/>
        </w:rPr>
      </w:pPr>
    </w:p>
    <w:p>
      <w:pPr>
        <w:ind w:left="1440"/>
        <w:spacing w:after="0"/>
        <w:rPr>
          <w:sz w:val="20"/>
          <w:szCs w:val="20"/>
          <w:color w:val="auto"/>
        </w:rPr>
      </w:pPr>
      <w:r>
        <w:rPr>
          <w:rFonts w:ascii="Arial" w:cs="Arial" w:eastAsia="Arial" w:hAnsi="Arial"/>
          <w:sz w:val="16"/>
          <w:szCs w:val="16"/>
          <w:color w:val="auto"/>
        </w:rPr>
        <w:t>Title of each class</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Arial" w:cs="Arial" w:eastAsia="Arial" w:hAnsi="Arial"/>
          <w:sz w:val="15"/>
          <w:szCs w:val="15"/>
          <w:color w:val="auto"/>
        </w:rPr>
        <w:t>Trading Symbol(s)</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Arial" w:cs="Arial" w:eastAsia="Arial" w:hAnsi="Arial"/>
          <w:sz w:val="16"/>
          <w:szCs w:val="16"/>
          <w:color w:val="auto"/>
        </w:rPr>
        <w:t>Name of each exchange on which registered</w:t>
      </w:r>
    </w:p>
    <w:p>
      <w:pPr>
        <w:spacing w:after="0" w:line="59" w:lineRule="exact"/>
        <w:rPr>
          <w:sz w:val="24"/>
          <w:szCs w:val="24"/>
          <w:color w:val="auto"/>
        </w:rPr>
      </w:pPr>
    </w:p>
    <w:p>
      <w:pPr>
        <w:sectPr>
          <w:pgSz w:w="11900" w:h="16838" w:orient="portrait"/>
          <w:cols w:equalWidth="0" w:num="3">
            <w:col w:w="4260" w:space="720"/>
            <w:col w:w="1860" w:space="720"/>
            <w:col w:w="3640"/>
          </w:cols>
          <w:pgMar w:left="320" w:top="217" w:right="379" w:bottom="1440" w:gutter="0" w:footer="0" w:header="0"/>
          <w:type w:val="continuous"/>
        </w:sectPr>
      </w:pPr>
    </w:p>
    <w:p>
      <w:pPr>
        <w:ind w:left="560"/>
        <w:spacing w:after="0"/>
        <w:rPr>
          <w:sz w:val="20"/>
          <w:szCs w:val="20"/>
          <w:color w:val="auto"/>
        </w:rPr>
      </w:pPr>
      <w:r>
        <w:rPr>
          <w:rFonts w:ascii="Arial" w:cs="Arial" w:eastAsia="Arial" w:hAnsi="Arial"/>
          <w:sz w:val="16"/>
          <w:szCs w:val="16"/>
          <w:color w:val="auto"/>
        </w:rPr>
        <w:t>Common Stock, par value $0.01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TENB</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The Nasdaq Stock Market LLC</w:t>
      </w:r>
    </w:p>
    <w:p>
      <w:pPr>
        <w:spacing w:after="0" w:line="140" w:lineRule="exact"/>
        <w:rPr>
          <w:sz w:val="24"/>
          <w:szCs w:val="24"/>
          <w:color w:val="auto"/>
        </w:rPr>
      </w:pPr>
    </w:p>
    <w:p>
      <w:pPr>
        <w:sectPr>
          <w:pgSz w:w="11900" w:h="16838" w:orient="portrait"/>
          <w:cols w:equalWidth="0" w:num="3">
            <w:col w:w="4700" w:space="720"/>
            <w:col w:w="1920" w:space="720"/>
            <w:col w:w="3140"/>
          </w:cols>
          <w:pgMar w:left="320" w:top="217" w:right="379" w:bottom="1440" w:gutter="0" w:footer="0" w:header="0"/>
          <w:type w:val="continuous"/>
        </w:sectPr>
      </w:pPr>
    </w:p>
    <w:p>
      <w:pPr>
        <w:jc w:val="both"/>
        <w:ind w:right="360"/>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6" w:lineRule="exact"/>
        <w:rPr>
          <w:sz w:val="24"/>
          <w:szCs w:val="24"/>
          <w:color w:val="auto"/>
        </w:rPr>
      </w:pPr>
    </w:p>
    <w:p>
      <w:pPr>
        <w:ind w:right="440"/>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6" w:lineRule="exact"/>
        <w:rPr>
          <w:sz w:val="24"/>
          <w:szCs w:val="24"/>
          <w:color w:val="auto"/>
        </w:rPr>
      </w:pPr>
    </w:p>
    <w:p>
      <w:pPr>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5" w:lineRule="exact"/>
        <w:rPr>
          <w:sz w:val="24"/>
          <w:szCs w:val="24"/>
          <w:color w:val="auto"/>
        </w:rPr>
      </w:pPr>
    </w:p>
    <w:tbl>
      <w:tblPr>
        <w:tblLayout w:type="fixed"/>
        <w:tblInd w:w="40" w:type="dxa"/>
        <w:tblCellMar>
          <w:top w:w="0" w:type="dxa"/>
          <w:left w:w="0" w:type="dxa"/>
          <w:bottom w:w="0" w:type="dxa"/>
          <w:right w:w="0" w:type="dxa"/>
        </w:tblCellMar>
      </w:tblPr>
      <w:tr>
        <w:trPr>
          <w:trHeight w:val="254"/>
        </w:trPr>
        <w:tc>
          <w:tcPr>
            <w:tcW w:w="34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100" w:type="dxa"/>
            <w:vAlign w:val="bottom"/>
          </w:tcPr>
          <w:p>
            <w:pPr>
              <w:ind w:left="1520"/>
              <w:spacing w:after="0" w:line="161" w:lineRule="exact"/>
              <w:rPr>
                <w:sz w:val="20"/>
                <w:szCs w:val="20"/>
                <w:color w:val="auto"/>
              </w:rPr>
            </w:pPr>
            <w:r>
              <w:rPr>
                <w:rFonts w:ascii="MS PGothic" w:cs="MS PGothic" w:eastAsia="MS PGothic" w:hAnsi="MS PGothic"/>
                <w:sz w:val="16"/>
                <w:szCs w:val="16"/>
                <w:color w:val="auto"/>
              </w:rPr>
              <w:t>☒</w:t>
            </w:r>
          </w:p>
        </w:tc>
        <w:tc>
          <w:tcPr>
            <w:tcW w:w="3800" w:type="dxa"/>
            <w:vAlign w:val="bottom"/>
          </w:tcPr>
          <w:p>
            <w:pPr>
              <w:ind w:left="420"/>
              <w:spacing w:after="0"/>
              <w:rPr>
                <w:sz w:val="20"/>
                <w:szCs w:val="20"/>
                <w:color w:val="auto"/>
              </w:rPr>
            </w:pPr>
            <w:r>
              <w:rPr>
                <w:rFonts w:ascii="Arial" w:cs="Arial" w:eastAsia="Arial" w:hAnsi="Arial"/>
                <w:sz w:val="16"/>
                <w:szCs w:val="16"/>
                <w:color w:val="auto"/>
              </w:rPr>
              <w:t>Accelerated filer</w:t>
            </w:r>
          </w:p>
        </w:tc>
        <w:tc>
          <w:tcPr>
            <w:tcW w:w="1600" w:type="dxa"/>
            <w:vAlign w:val="bottom"/>
          </w:tcPr>
          <w:p>
            <w:pPr>
              <w:ind w:left="14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3440" w:type="dxa"/>
            <w:vAlign w:val="bottom"/>
          </w:tcPr>
          <w:p>
            <w:pPr>
              <w:spacing w:after="0"/>
              <w:rPr>
                <w:sz w:val="20"/>
                <w:szCs w:val="20"/>
                <w:color w:val="auto"/>
              </w:rPr>
            </w:pPr>
            <w:r>
              <w:rPr>
                <w:rFonts w:ascii="Arial" w:cs="Arial" w:eastAsia="Arial" w:hAnsi="Arial"/>
                <w:sz w:val="16"/>
                <w:szCs w:val="16"/>
                <w:color w:val="auto"/>
              </w:rPr>
              <w:t>Non-accelerated filer</w:t>
            </w:r>
          </w:p>
        </w:tc>
        <w:tc>
          <w:tcPr>
            <w:tcW w:w="2100" w:type="dxa"/>
            <w:vAlign w:val="bottom"/>
          </w:tcPr>
          <w:p>
            <w:pPr>
              <w:ind w:left="1520"/>
              <w:spacing w:after="0" w:line="161" w:lineRule="exact"/>
              <w:rPr>
                <w:sz w:val="20"/>
                <w:szCs w:val="20"/>
                <w:color w:val="auto"/>
              </w:rPr>
            </w:pPr>
            <w:r>
              <w:rPr>
                <w:rFonts w:ascii="MS PGothic" w:cs="MS PGothic" w:eastAsia="MS PGothic" w:hAnsi="MS PGothic"/>
                <w:sz w:val="16"/>
                <w:szCs w:val="16"/>
                <w:color w:val="auto"/>
              </w:rPr>
              <w:t>☐</w:t>
            </w:r>
          </w:p>
        </w:tc>
        <w:tc>
          <w:tcPr>
            <w:tcW w:w="380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70"/>
        </w:trPr>
        <w:tc>
          <w:tcPr>
            <w:tcW w:w="344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2100" w:type="dxa"/>
            <w:vAlign w:val="bottom"/>
          </w:tcPr>
          <w:p>
            <w:pPr>
              <w:ind w:left="1520"/>
              <w:spacing w:after="0" w:line="161" w:lineRule="exact"/>
              <w:rPr>
                <w:sz w:val="20"/>
                <w:szCs w:val="20"/>
                <w:color w:val="auto"/>
              </w:rPr>
            </w:pPr>
            <w:r>
              <w:rPr>
                <w:rFonts w:ascii="MS PGothic" w:cs="MS PGothic" w:eastAsia="MS PGothic" w:hAnsi="MS PGothic"/>
                <w:sz w:val="16"/>
                <w:szCs w:val="16"/>
                <w:color w:val="auto"/>
              </w:rPr>
              <w:t>☐</w:t>
            </w:r>
          </w:p>
        </w:tc>
        <w:tc>
          <w:tcPr>
            <w:tcW w:w="3800" w:type="dxa"/>
            <w:vAlign w:val="bottom"/>
          </w:tcPr>
          <w:p>
            <w:pPr>
              <w:ind w:left="420"/>
              <w:spacing w:after="0"/>
              <w:rPr>
                <w:sz w:val="20"/>
                <w:szCs w:val="20"/>
                <w:color w:val="auto"/>
              </w:rPr>
            </w:pPr>
            <w:r>
              <w:rPr>
                <w:rFonts w:ascii="Arial" w:cs="Arial" w:eastAsia="Arial" w:hAnsi="Arial"/>
                <w:sz w:val="16"/>
                <w:szCs w:val="16"/>
                <w:color w:val="auto"/>
              </w:rPr>
              <w:t>Smaller reporting company</w:t>
            </w:r>
          </w:p>
        </w:tc>
        <w:tc>
          <w:tcPr>
            <w:tcW w:w="1600" w:type="dxa"/>
            <w:vAlign w:val="bottom"/>
          </w:tcPr>
          <w:p>
            <w:pPr>
              <w:ind w:left="14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57" w:lineRule="exact"/>
        <w:rPr>
          <w:sz w:val="24"/>
          <w:szCs w:val="24"/>
          <w:color w:val="auto"/>
        </w:rPr>
      </w:pPr>
    </w:p>
    <w:p>
      <w:pPr>
        <w:ind w:left="40" w:right="60"/>
        <w:spacing w:after="0" w:line="212"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76" w:lineRule="exact"/>
        <w:rPr>
          <w:sz w:val="24"/>
          <w:szCs w:val="24"/>
          <w:color w:val="auto"/>
        </w:rPr>
      </w:pPr>
    </w:p>
    <w:p>
      <w:pPr>
        <w:ind w:right="1560"/>
        <w:spacing w:after="0" w:line="267"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The number of shares of the Registrant's common stock outstanding as of July 24, 2020 was 101,263,716.</w:t>
      </w:r>
    </w:p>
    <w:p>
      <w:pPr>
        <w:sectPr>
          <w:pgSz w:w="11900" w:h="16838" w:orient="portrait"/>
          <w:cols w:equalWidth="0" w:num="1">
            <w:col w:w="11200"/>
          </w:cols>
          <w:pgMar w:left="320" w:top="217" w:right="37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960" w:type="dxa"/>
            <w:vAlign w:val="bottom"/>
          </w:tcPr>
          <w:p>
            <w:pPr>
              <w:jc w:val="center"/>
              <w:ind w:left="470"/>
              <w:spacing w:after="0"/>
              <w:rPr>
                <w:sz w:val="20"/>
                <w:szCs w:val="20"/>
                <w:color w:val="auto"/>
              </w:rPr>
            </w:pPr>
            <w:r>
              <w:rPr>
                <w:rFonts w:ascii="Arial" w:cs="Arial" w:eastAsia="Arial" w:hAnsi="Arial"/>
                <w:sz w:val="18"/>
                <w:szCs w:val="18"/>
                <w:b w:val="1"/>
                <w:bCs w:val="1"/>
                <w:color w:val="auto"/>
              </w:rPr>
              <w:t>TENABLE HOLDINGS, INC.</w:t>
            </w:r>
          </w:p>
        </w:tc>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39"/>
        </w:trPr>
        <w:tc>
          <w:tcPr>
            <w:tcW w:w="7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960" w:type="dxa"/>
            <w:vAlign w:val="bottom"/>
          </w:tcPr>
          <w:p>
            <w:pPr>
              <w:jc w:val="center"/>
              <w:ind w:left="470"/>
              <w:spacing w:after="0"/>
              <w:rPr>
                <w:sz w:val="20"/>
                <w:szCs w:val="20"/>
                <w:color w:val="auto"/>
              </w:rPr>
            </w:pPr>
            <w:r>
              <w:rPr>
                <w:rFonts w:ascii="Arial" w:cs="Arial" w:eastAsia="Arial" w:hAnsi="Arial"/>
                <w:sz w:val="18"/>
                <w:szCs w:val="18"/>
                <w:b w:val="1"/>
                <w:bCs w:val="1"/>
                <w:color w:val="auto"/>
                <w:w w:val="98"/>
              </w:rPr>
              <w:t>TABLE OF CONTENTS</w:t>
            </w:r>
          </w:p>
        </w:tc>
        <w:tc>
          <w:tcPr>
            <w:tcW w:w="128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567"/>
        </w:trPr>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960" w:type="dxa"/>
            <w:vAlign w:val="bottom"/>
          </w:tcPr>
          <w:p>
            <w:pPr>
              <w:spacing w:after="0"/>
              <w:rPr>
                <w:sz w:val="24"/>
                <w:szCs w:val="24"/>
                <w:color w:val="auto"/>
              </w:rPr>
            </w:pPr>
          </w:p>
        </w:tc>
        <w:tc>
          <w:tcPr>
            <w:tcW w:w="1700" w:type="dxa"/>
            <w:vAlign w:val="bottom"/>
            <w:gridSpan w:val="2"/>
          </w:tcPr>
          <w:p>
            <w:pPr>
              <w:ind w:left="1280"/>
              <w:spacing w:after="0"/>
              <w:rPr>
                <w:sz w:val="20"/>
                <w:szCs w:val="20"/>
                <w:color w:val="auto"/>
              </w:rPr>
            </w:pPr>
            <w:r>
              <w:rPr>
                <w:rFonts w:ascii="Arial" w:cs="Arial" w:eastAsia="Arial" w:hAnsi="Arial"/>
                <w:sz w:val="18"/>
                <w:szCs w:val="18"/>
                <w:color w:val="auto"/>
                <w:w w:val="95"/>
              </w:rPr>
              <w:t>Page</w:t>
            </w:r>
          </w:p>
        </w:tc>
      </w:tr>
      <w:tr>
        <w:trPr>
          <w:trHeight w:val="277"/>
        </w:trPr>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960" w:type="dxa"/>
            <w:vAlign w:val="bottom"/>
          </w:tcPr>
          <w:p>
            <w:pPr>
              <w:jc w:val="center"/>
              <w:ind w:left="490"/>
              <w:spacing w:after="0"/>
              <w:rPr>
                <w:rFonts w:ascii="Arial" w:cs="Arial" w:eastAsia="Arial" w:hAnsi="Arial"/>
                <w:sz w:val="18"/>
                <w:szCs w:val="18"/>
                <w:b w:val="1"/>
                <w:bCs w:val="1"/>
                <w:u w:val="single" w:color="auto"/>
                <w:color w:val="0000EE"/>
                <w:w w:val="99"/>
              </w:rPr>
            </w:pPr>
            <w:hyperlink w:anchor="page3">
              <w:r>
                <w:rPr>
                  <w:rFonts w:ascii="Arial" w:cs="Arial" w:eastAsia="Arial" w:hAnsi="Arial"/>
                  <w:sz w:val="18"/>
                  <w:szCs w:val="18"/>
                  <w:b w:val="1"/>
                  <w:bCs w:val="1"/>
                  <w:u w:val="single" w:color="auto"/>
                  <w:color w:val="0000EE"/>
                  <w:w w:val="99"/>
                </w:rPr>
                <w:t>PART I – FINANCIAL INFORMATION</w:t>
              </w:r>
            </w:hyperlink>
          </w:p>
        </w:tc>
        <w:tc>
          <w:tcPr>
            <w:tcW w:w="128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r>
      <w:tr>
        <w:trPr>
          <w:trHeight w:val="270"/>
        </w:trPr>
        <w:tc>
          <w:tcPr>
            <w:tcW w:w="780" w:type="dxa"/>
            <w:vAlign w:val="bottom"/>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w:t>
              </w:r>
            </w:hyperlink>
          </w:p>
        </w:tc>
        <w:tc>
          <w:tcPr>
            <w:tcW w:w="8500" w:type="dxa"/>
            <w:vAlign w:val="bottom"/>
            <w:gridSpan w:val="2"/>
          </w:tcPr>
          <w:p>
            <w:pPr>
              <w:ind w:left="1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Statements</w:t>
              </w:r>
            </w:hyperlink>
          </w:p>
        </w:tc>
        <w:tc>
          <w:tcPr>
            <w:tcW w:w="1280" w:type="dxa"/>
            <w:vAlign w:val="bottom"/>
          </w:tcPr>
          <w:p>
            <w:pPr>
              <w:spacing w:after="0"/>
              <w:rPr>
                <w:sz w:val="23"/>
                <w:szCs w:val="23"/>
                <w:color w:val="auto"/>
              </w:rPr>
            </w:pPr>
          </w:p>
        </w:tc>
        <w:tc>
          <w:tcPr>
            <w:tcW w:w="420" w:type="dxa"/>
            <w:vAlign w:val="bottom"/>
          </w:tcPr>
          <w:p>
            <w:pPr>
              <w:spacing w:after="0"/>
              <w:rPr>
                <w:sz w:val="23"/>
                <w:szCs w:val="23"/>
                <w:color w:val="auto"/>
              </w:rPr>
            </w:pPr>
          </w:p>
        </w:tc>
      </w:tr>
      <w:tr>
        <w:trPr>
          <w:trHeight w:val="270"/>
        </w:trPr>
        <w:tc>
          <w:tcPr>
            <w:tcW w:w="780" w:type="dxa"/>
            <w:vAlign w:val="bottom"/>
          </w:tcPr>
          <w:p>
            <w:pPr>
              <w:spacing w:after="0"/>
              <w:rPr>
                <w:sz w:val="23"/>
                <w:szCs w:val="23"/>
                <w:color w:val="auto"/>
              </w:rPr>
            </w:pPr>
          </w:p>
        </w:tc>
        <w:tc>
          <w:tcPr>
            <w:tcW w:w="8500" w:type="dxa"/>
            <w:vAlign w:val="bottom"/>
            <w:gridSpan w:val="2"/>
          </w:tcPr>
          <w:p>
            <w:pPr>
              <w:ind w:left="1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Consolidated Balance Sheets</w:t>
              </w:r>
            </w:hyperlink>
          </w:p>
        </w:tc>
        <w:tc>
          <w:tcPr>
            <w:tcW w:w="1700" w:type="dxa"/>
            <w:vAlign w:val="bottom"/>
            <w:gridSpan w:val="2"/>
          </w:tcPr>
          <w:p>
            <w:pPr>
              <w:ind w:left="128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3</w:t>
              </w:r>
            </w:hyperlink>
          </w:p>
        </w:tc>
      </w:tr>
      <w:tr>
        <w:trPr>
          <w:trHeight w:val="270"/>
        </w:trPr>
        <w:tc>
          <w:tcPr>
            <w:tcW w:w="780" w:type="dxa"/>
            <w:vAlign w:val="bottom"/>
          </w:tcPr>
          <w:p>
            <w:pPr>
              <w:spacing w:after="0"/>
              <w:rPr>
                <w:sz w:val="23"/>
                <w:szCs w:val="23"/>
                <w:color w:val="auto"/>
              </w:rPr>
            </w:pPr>
          </w:p>
        </w:tc>
        <w:tc>
          <w:tcPr>
            <w:tcW w:w="8500" w:type="dxa"/>
            <w:vAlign w:val="bottom"/>
            <w:gridSpan w:val="2"/>
          </w:tcPr>
          <w:p>
            <w:pPr>
              <w:ind w:left="12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Consolidated Statements of Operations</w:t>
              </w:r>
            </w:hyperlink>
          </w:p>
        </w:tc>
        <w:tc>
          <w:tcPr>
            <w:tcW w:w="1700" w:type="dxa"/>
            <w:vAlign w:val="bottom"/>
            <w:gridSpan w:val="2"/>
          </w:tcPr>
          <w:p>
            <w:pPr>
              <w:ind w:left="128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4</w:t>
              </w:r>
            </w:hyperlink>
          </w:p>
        </w:tc>
      </w:tr>
      <w:tr>
        <w:trPr>
          <w:trHeight w:val="270"/>
        </w:trPr>
        <w:tc>
          <w:tcPr>
            <w:tcW w:w="780" w:type="dxa"/>
            <w:vAlign w:val="bottom"/>
          </w:tcPr>
          <w:p>
            <w:pPr>
              <w:spacing w:after="0"/>
              <w:rPr>
                <w:sz w:val="23"/>
                <w:szCs w:val="23"/>
                <w:color w:val="auto"/>
              </w:rPr>
            </w:pPr>
          </w:p>
        </w:tc>
        <w:tc>
          <w:tcPr>
            <w:tcW w:w="8500" w:type="dxa"/>
            <w:vAlign w:val="bottom"/>
            <w:gridSpan w:val="2"/>
          </w:tcPr>
          <w:p>
            <w:pPr>
              <w:ind w:left="12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Consolidated Statements of Comprehensive Loss</w:t>
              </w:r>
            </w:hyperlink>
          </w:p>
        </w:tc>
        <w:tc>
          <w:tcPr>
            <w:tcW w:w="1700" w:type="dxa"/>
            <w:vAlign w:val="bottom"/>
            <w:gridSpan w:val="2"/>
          </w:tcPr>
          <w:p>
            <w:pPr>
              <w:ind w:left="128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5</w:t>
              </w:r>
            </w:hyperlink>
          </w:p>
        </w:tc>
      </w:tr>
      <w:tr>
        <w:trPr>
          <w:trHeight w:val="270"/>
        </w:trPr>
        <w:tc>
          <w:tcPr>
            <w:tcW w:w="780" w:type="dxa"/>
            <w:vAlign w:val="bottom"/>
          </w:tcPr>
          <w:p>
            <w:pPr>
              <w:spacing w:after="0"/>
              <w:rPr>
                <w:sz w:val="23"/>
                <w:szCs w:val="23"/>
                <w:color w:val="auto"/>
              </w:rPr>
            </w:pPr>
          </w:p>
        </w:tc>
        <w:tc>
          <w:tcPr>
            <w:tcW w:w="8500" w:type="dxa"/>
            <w:vAlign w:val="bottom"/>
            <w:gridSpan w:val="2"/>
          </w:tcPr>
          <w:p>
            <w:pPr>
              <w:ind w:left="12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Consolidated Statements of Stockholders' Equity</w:t>
              </w:r>
            </w:hyperlink>
          </w:p>
        </w:tc>
        <w:tc>
          <w:tcPr>
            <w:tcW w:w="1700" w:type="dxa"/>
            <w:vAlign w:val="bottom"/>
            <w:gridSpan w:val="2"/>
          </w:tcPr>
          <w:p>
            <w:pPr>
              <w:ind w:left="128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6</w:t>
              </w:r>
            </w:hyperlink>
          </w:p>
        </w:tc>
      </w:tr>
      <w:tr>
        <w:trPr>
          <w:trHeight w:val="270"/>
        </w:trPr>
        <w:tc>
          <w:tcPr>
            <w:tcW w:w="780" w:type="dxa"/>
            <w:vAlign w:val="bottom"/>
          </w:tcPr>
          <w:p>
            <w:pPr>
              <w:spacing w:after="0"/>
              <w:rPr>
                <w:sz w:val="23"/>
                <w:szCs w:val="23"/>
                <w:color w:val="auto"/>
              </w:rPr>
            </w:pPr>
          </w:p>
        </w:tc>
        <w:tc>
          <w:tcPr>
            <w:tcW w:w="8500" w:type="dxa"/>
            <w:vAlign w:val="bottom"/>
            <w:gridSpan w:val="2"/>
          </w:tcPr>
          <w:p>
            <w:pPr>
              <w:ind w:left="12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Consolidated Statements of Cash Flows</w:t>
              </w:r>
            </w:hyperlink>
          </w:p>
        </w:tc>
        <w:tc>
          <w:tcPr>
            <w:tcW w:w="1700" w:type="dxa"/>
            <w:vAlign w:val="bottom"/>
            <w:gridSpan w:val="2"/>
          </w:tcPr>
          <w:p>
            <w:pPr>
              <w:ind w:left="128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7</w:t>
              </w:r>
            </w:hyperlink>
          </w:p>
        </w:tc>
      </w:tr>
      <w:tr>
        <w:trPr>
          <w:trHeight w:val="270"/>
        </w:trPr>
        <w:tc>
          <w:tcPr>
            <w:tcW w:w="780" w:type="dxa"/>
            <w:vAlign w:val="bottom"/>
          </w:tcPr>
          <w:p>
            <w:pPr>
              <w:spacing w:after="0"/>
              <w:rPr>
                <w:sz w:val="23"/>
                <w:szCs w:val="23"/>
                <w:color w:val="auto"/>
              </w:rPr>
            </w:pPr>
          </w:p>
        </w:tc>
        <w:tc>
          <w:tcPr>
            <w:tcW w:w="8500" w:type="dxa"/>
            <w:vAlign w:val="bottom"/>
            <w:gridSpan w:val="2"/>
          </w:tcPr>
          <w:p>
            <w:pPr>
              <w:ind w:left="12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Notes to Consolidated Financial Statements</w:t>
              </w:r>
            </w:hyperlink>
          </w:p>
        </w:tc>
        <w:tc>
          <w:tcPr>
            <w:tcW w:w="1700" w:type="dxa"/>
            <w:vAlign w:val="bottom"/>
            <w:gridSpan w:val="2"/>
          </w:tcPr>
          <w:p>
            <w:pPr>
              <w:ind w:left="128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8</w:t>
              </w:r>
            </w:hyperlink>
          </w:p>
        </w:tc>
      </w:tr>
      <w:tr>
        <w:trPr>
          <w:trHeight w:val="270"/>
        </w:trPr>
        <w:tc>
          <w:tcPr>
            <w:tcW w:w="780" w:type="dxa"/>
            <w:vAlign w:val="bottom"/>
          </w:tcPr>
          <w:p>
            <w:pPr>
              <w:spacing w:after="0"/>
              <w:rPr>
                <w:sz w:val="23"/>
                <w:szCs w:val="23"/>
                <w:color w:val="auto"/>
              </w:rPr>
            </w:pPr>
          </w:p>
        </w:tc>
        <w:tc>
          <w:tcPr>
            <w:tcW w:w="540" w:type="dxa"/>
            <w:vAlign w:val="bottom"/>
          </w:tcPr>
          <w:p>
            <w:pPr>
              <w:ind w:left="36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1.</w:t>
              </w:r>
            </w:hyperlink>
          </w:p>
        </w:tc>
        <w:tc>
          <w:tcPr>
            <w:tcW w:w="7960" w:type="dxa"/>
            <w:vAlign w:val="bottom"/>
          </w:tcPr>
          <w:p>
            <w:pPr>
              <w:ind w:left="2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Business and Summary of Significant Accounting Policies</w:t>
              </w:r>
            </w:hyperlink>
          </w:p>
        </w:tc>
        <w:tc>
          <w:tcPr>
            <w:tcW w:w="1700" w:type="dxa"/>
            <w:vAlign w:val="bottom"/>
            <w:gridSpan w:val="2"/>
          </w:tcPr>
          <w:p>
            <w:pPr>
              <w:ind w:left="128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8</w:t>
              </w:r>
            </w:hyperlink>
          </w:p>
        </w:tc>
      </w:tr>
      <w:tr>
        <w:trPr>
          <w:trHeight w:val="270"/>
        </w:trPr>
        <w:tc>
          <w:tcPr>
            <w:tcW w:w="780" w:type="dxa"/>
            <w:vAlign w:val="bottom"/>
          </w:tcPr>
          <w:p>
            <w:pPr>
              <w:spacing w:after="0"/>
              <w:rPr>
                <w:sz w:val="23"/>
                <w:szCs w:val="23"/>
                <w:color w:val="auto"/>
              </w:rPr>
            </w:pPr>
          </w:p>
        </w:tc>
        <w:tc>
          <w:tcPr>
            <w:tcW w:w="540" w:type="dxa"/>
            <w:vAlign w:val="bottom"/>
          </w:tcPr>
          <w:p>
            <w:pPr>
              <w:ind w:left="36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2.</w:t>
              </w:r>
            </w:hyperlink>
          </w:p>
        </w:tc>
        <w:tc>
          <w:tcPr>
            <w:tcW w:w="7960" w:type="dxa"/>
            <w:vAlign w:val="bottom"/>
          </w:tcPr>
          <w:p>
            <w:pPr>
              <w:ind w:left="2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Revenue Recognition</w:t>
              </w:r>
            </w:hyperlink>
          </w:p>
        </w:tc>
        <w:tc>
          <w:tcPr>
            <w:tcW w:w="1700" w:type="dxa"/>
            <w:vAlign w:val="bottom"/>
            <w:gridSpan w:val="2"/>
          </w:tcPr>
          <w:p>
            <w:pPr>
              <w:ind w:left="128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9</w:t>
              </w:r>
            </w:hyperlink>
          </w:p>
        </w:tc>
      </w:tr>
      <w:tr>
        <w:trPr>
          <w:trHeight w:val="270"/>
        </w:trPr>
        <w:tc>
          <w:tcPr>
            <w:tcW w:w="780" w:type="dxa"/>
            <w:vAlign w:val="bottom"/>
          </w:tcPr>
          <w:p>
            <w:pPr>
              <w:spacing w:after="0"/>
              <w:rPr>
                <w:sz w:val="23"/>
                <w:szCs w:val="23"/>
                <w:color w:val="auto"/>
              </w:rPr>
            </w:pPr>
          </w:p>
        </w:tc>
        <w:tc>
          <w:tcPr>
            <w:tcW w:w="540" w:type="dxa"/>
            <w:vAlign w:val="bottom"/>
          </w:tcPr>
          <w:p>
            <w:pPr>
              <w:ind w:left="3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3.</w:t>
              </w:r>
            </w:hyperlink>
          </w:p>
        </w:tc>
        <w:tc>
          <w:tcPr>
            <w:tcW w:w="7960" w:type="dxa"/>
            <w:vAlign w:val="bottom"/>
          </w:tcPr>
          <w:p>
            <w:pPr>
              <w:ind w:left="2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Cash and Cash Equivalents and Short-Term Investments</w:t>
              </w:r>
            </w:hyperlink>
          </w:p>
        </w:tc>
        <w:tc>
          <w:tcPr>
            <w:tcW w:w="1700" w:type="dxa"/>
            <w:vAlign w:val="bottom"/>
            <w:gridSpan w:val="2"/>
          </w:tcPr>
          <w:p>
            <w:pPr>
              <w:ind w:left="128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10</w:t>
              </w:r>
            </w:hyperlink>
          </w:p>
        </w:tc>
      </w:tr>
      <w:tr>
        <w:trPr>
          <w:trHeight w:val="270"/>
        </w:trPr>
        <w:tc>
          <w:tcPr>
            <w:tcW w:w="780" w:type="dxa"/>
            <w:vAlign w:val="bottom"/>
          </w:tcPr>
          <w:p>
            <w:pPr>
              <w:spacing w:after="0"/>
              <w:rPr>
                <w:sz w:val="23"/>
                <w:szCs w:val="23"/>
                <w:color w:val="auto"/>
              </w:rPr>
            </w:pPr>
          </w:p>
        </w:tc>
        <w:tc>
          <w:tcPr>
            <w:tcW w:w="540" w:type="dxa"/>
            <w:vAlign w:val="bottom"/>
          </w:tcPr>
          <w:p>
            <w:pPr>
              <w:ind w:left="3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4.</w:t>
              </w:r>
            </w:hyperlink>
          </w:p>
        </w:tc>
        <w:tc>
          <w:tcPr>
            <w:tcW w:w="7960" w:type="dxa"/>
            <w:vAlign w:val="bottom"/>
          </w:tcPr>
          <w:p>
            <w:pPr>
              <w:ind w:left="2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Fair Value Measurements</w:t>
              </w:r>
            </w:hyperlink>
          </w:p>
        </w:tc>
        <w:tc>
          <w:tcPr>
            <w:tcW w:w="1700" w:type="dxa"/>
            <w:vAlign w:val="bottom"/>
            <w:gridSpan w:val="2"/>
          </w:tcPr>
          <w:p>
            <w:pPr>
              <w:ind w:left="128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10</w:t>
              </w:r>
            </w:hyperlink>
          </w:p>
        </w:tc>
      </w:tr>
      <w:tr>
        <w:trPr>
          <w:trHeight w:val="270"/>
        </w:trPr>
        <w:tc>
          <w:tcPr>
            <w:tcW w:w="780" w:type="dxa"/>
            <w:vAlign w:val="bottom"/>
          </w:tcPr>
          <w:p>
            <w:pPr>
              <w:spacing w:after="0"/>
              <w:rPr>
                <w:sz w:val="23"/>
                <w:szCs w:val="23"/>
                <w:color w:val="auto"/>
              </w:rPr>
            </w:pPr>
          </w:p>
        </w:tc>
        <w:tc>
          <w:tcPr>
            <w:tcW w:w="540" w:type="dxa"/>
            <w:vAlign w:val="bottom"/>
          </w:tcPr>
          <w:p>
            <w:pPr>
              <w:ind w:left="3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5.</w:t>
              </w:r>
            </w:hyperlink>
          </w:p>
        </w:tc>
        <w:tc>
          <w:tcPr>
            <w:tcW w:w="7960" w:type="dxa"/>
            <w:vAlign w:val="bottom"/>
          </w:tcPr>
          <w:p>
            <w:pPr>
              <w:ind w:left="2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Property and Equipment, Net</w:t>
              </w:r>
            </w:hyperlink>
          </w:p>
        </w:tc>
        <w:tc>
          <w:tcPr>
            <w:tcW w:w="1700" w:type="dxa"/>
            <w:vAlign w:val="bottom"/>
            <w:gridSpan w:val="2"/>
          </w:tcPr>
          <w:p>
            <w:pPr>
              <w:ind w:left="128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11</w:t>
              </w:r>
            </w:hyperlink>
          </w:p>
        </w:tc>
      </w:tr>
      <w:tr>
        <w:trPr>
          <w:trHeight w:val="270"/>
        </w:trPr>
        <w:tc>
          <w:tcPr>
            <w:tcW w:w="780" w:type="dxa"/>
            <w:vAlign w:val="bottom"/>
          </w:tcPr>
          <w:p>
            <w:pPr>
              <w:spacing w:after="0"/>
              <w:rPr>
                <w:sz w:val="23"/>
                <w:szCs w:val="23"/>
                <w:color w:val="auto"/>
              </w:rPr>
            </w:pPr>
          </w:p>
        </w:tc>
        <w:tc>
          <w:tcPr>
            <w:tcW w:w="540" w:type="dxa"/>
            <w:vAlign w:val="bottom"/>
          </w:tcPr>
          <w:p>
            <w:pPr>
              <w:ind w:left="3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6.</w:t>
              </w:r>
            </w:hyperlink>
          </w:p>
        </w:tc>
        <w:tc>
          <w:tcPr>
            <w:tcW w:w="7960" w:type="dxa"/>
            <w:vAlign w:val="bottom"/>
          </w:tcPr>
          <w:p>
            <w:pPr>
              <w:ind w:left="2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Goodwill and Acquired Intangible Assets</w:t>
              </w:r>
            </w:hyperlink>
          </w:p>
        </w:tc>
        <w:tc>
          <w:tcPr>
            <w:tcW w:w="1700" w:type="dxa"/>
            <w:vAlign w:val="bottom"/>
            <w:gridSpan w:val="2"/>
          </w:tcPr>
          <w:p>
            <w:pPr>
              <w:ind w:left="128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12</w:t>
              </w:r>
            </w:hyperlink>
          </w:p>
        </w:tc>
      </w:tr>
      <w:tr>
        <w:trPr>
          <w:trHeight w:val="270"/>
        </w:trPr>
        <w:tc>
          <w:tcPr>
            <w:tcW w:w="780" w:type="dxa"/>
            <w:vAlign w:val="bottom"/>
          </w:tcPr>
          <w:p>
            <w:pPr>
              <w:spacing w:after="0"/>
              <w:rPr>
                <w:sz w:val="23"/>
                <w:szCs w:val="23"/>
                <w:color w:val="auto"/>
              </w:rPr>
            </w:pPr>
          </w:p>
        </w:tc>
        <w:tc>
          <w:tcPr>
            <w:tcW w:w="540" w:type="dxa"/>
            <w:vAlign w:val="bottom"/>
          </w:tcPr>
          <w:p>
            <w:pPr>
              <w:ind w:left="3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7.</w:t>
              </w:r>
            </w:hyperlink>
          </w:p>
        </w:tc>
        <w:tc>
          <w:tcPr>
            <w:tcW w:w="7960" w:type="dxa"/>
            <w:vAlign w:val="bottom"/>
          </w:tcPr>
          <w:p>
            <w:pPr>
              <w:ind w:left="2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Leases</w:t>
              </w:r>
            </w:hyperlink>
          </w:p>
        </w:tc>
        <w:tc>
          <w:tcPr>
            <w:tcW w:w="1700" w:type="dxa"/>
            <w:vAlign w:val="bottom"/>
            <w:gridSpan w:val="2"/>
          </w:tcPr>
          <w:p>
            <w:pPr>
              <w:ind w:left="128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12</w:t>
              </w:r>
            </w:hyperlink>
          </w:p>
        </w:tc>
      </w:tr>
      <w:tr>
        <w:trPr>
          <w:trHeight w:val="270"/>
        </w:trPr>
        <w:tc>
          <w:tcPr>
            <w:tcW w:w="780" w:type="dxa"/>
            <w:vAlign w:val="bottom"/>
          </w:tcPr>
          <w:p>
            <w:pPr>
              <w:spacing w:after="0"/>
              <w:rPr>
                <w:sz w:val="23"/>
                <w:szCs w:val="23"/>
                <w:color w:val="auto"/>
              </w:rPr>
            </w:pPr>
          </w:p>
        </w:tc>
        <w:tc>
          <w:tcPr>
            <w:tcW w:w="540" w:type="dxa"/>
            <w:vAlign w:val="bottom"/>
          </w:tcPr>
          <w:p>
            <w:pPr>
              <w:ind w:left="360"/>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8.</w:t>
              </w:r>
            </w:hyperlink>
          </w:p>
        </w:tc>
        <w:tc>
          <w:tcPr>
            <w:tcW w:w="7960" w:type="dxa"/>
            <w:vAlign w:val="bottom"/>
          </w:tcPr>
          <w:p>
            <w:pPr>
              <w:ind w:left="20"/>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Debt</w:t>
              </w:r>
            </w:hyperlink>
          </w:p>
        </w:tc>
        <w:tc>
          <w:tcPr>
            <w:tcW w:w="1700" w:type="dxa"/>
            <w:vAlign w:val="bottom"/>
            <w:gridSpan w:val="2"/>
          </w:tcPr>
          <w:p>
            <w:pPr>
              <w:ind w:left="1280"/>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13</w:t>
              </w:r>
            </w:hyperlink>
          </w:p>
        </w:tc>
      </w:tr>
      <w:tr>
        <w:trPr>
          <w:trHeight w:val="270"/>
        </w:trPr>
        <w:tc>
          <w:tcPr>
            <w:tcW w:w="780" w:type="dxa"/>
            <w:vAlign w:val="bottom"/>
          </w:tcPr>
          <w:p>
            <w:pPr>
              <w:spacing w:after="0"/>
              <w:rPr>
                <w:sz w:val="23"/>
                <w:szCs w:val="23"/>
                <w:color w:val="auto"/>
              </w:rPr>
            </w:pPr>
          </w:p>
        </w:tc>
        <w:tc>
          <w:tcPr>
            <w:tcW w:w="540" w:type="dxa"/>
            <w:vAlign w:val="bottom"/>
          </w:tcPr>
          <w:p>
            <w:pPr>
              <w:ind w:left="360"/>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9.</w:t>
              </w:r>
            </w:hyperlink>
          </w:p>
        </w:tc>
        <w:tc>
          <w:tcPr>
            <w:tcW w:w="7960" w:type="dxa"/>
            <w:vAlign w:val="bottom"/>
          </w:tcPr>
          <w:p>
            <w:pPr>
              <w:ind w:left="20"/>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Stock-Based Compensation</w:t>
              </w:r>
            </w:hyperlink>
          </w:p>
        </w:tc>
        <w:tc>
          <w:tcPr>
            <w:tcW w:w="1700" w:type="dxa"/>
            <w:vAlign w:val="bottom"/>
            <w:gridSpan w:val="2"/>
          </w:tcPr>
          <w:p>
            <w:pPr>
              <w:ind w:left="1280"/>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14</w:t>
              </w:r>
            </w:hyperlink>
          </w:p>
        </w:tc>
      </w:tr>
      <w:tr>
        <w:trPr>
          <w:trHeight w:val="270"/>
        </w:trPr>
        <w:tc>
          <w:tcPr>
            <w:tcW w:w="780" w:type="dxa"/>
            <w:vAlign w:val="bottom"/>
          </w:tcPr>
          <w:p>
            <w:pPr>
              <w:spacing w:after="0"/>
              <w:rPr>
                <w:sz w:val="23"/>
                <w:szCs w:val="23"/>
                <w:color w:val="auto"/>
              </w:rPr>
            </w:pPr>
          </w:p>
        </w:tc>
        <w:tc>
          <w:tcPr>
            <w:tcW w:w="8500" w:type="dxa"/>
            <w:vAlign w:val="bottom"/>
            <w:gridSpan w:val="2"/>
          </w:tcPr>
          <w:p>
            <w:pPr>
              <w:ind w:left="360"/>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10. Net Loss Per Share</w:t>
              </w:r>
            </w:hyperlink>
          </w:p>
        </w:tc>
        <w:tc>
          <w:tcPr>
            <w:tcW w:w="1700" w:type="dxa"/>
            <w:vAlign w:val="bottom"/>
            <w:gridSpan w:val="2"/>
          </w:tcPr>
          <w:p>
            <w:pPr>
              <w:ind w:left="1280"/>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15</w:t>
              </w:r>
            </w:hyperlink>
          </w:p>
        </w:tc>
      </w:tr>
      <w:tr>
        <w:trPr>
          <w:trHeight w:val="270"/>
        </w:trPr>
        <w:tc>
          <w:tcPr>
            <w:tcW w:w="780" w:type="dxa"/>
            <w:vAlign w:val="bottom"/>
          </w:tcPr>
          <w:p>
            <w:pPr>
              <w:spacing w:after="0"/>
              <w:rPr>
                <w:sz w:val="23"/>
                <w:szCs w:val="23"/>
                <w:color w:val="auto"/>
              </w:rPr>
            </w:pPr>
          </w:p>
        </w:tc>
        <w:tc>
          <w:tcPr>
            <w:tcW w:w="8500" w:type="dxa"/>
            <w:vAlign w:val="bottom"/>
            <w:gridSpan w:val="2"/>
          </w:tcPr>
          <w:p>
            <w:pPr>
              <w:ind w:left="360"/>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11. Geographic Information</w:t>
              </w:r>
            </w:hyperlink>
          </w:p>
        </w:tc>
        <w:tc>
          <w:tcPr>
            <w:tcW w:w="1700" w:type="dxa"/>
            <w:vAlign w:val="bottom"/>
            <w:gridSpan w:val="2"/>
          </w:tcPr>
          <w:p>
            <w:pPr>
              <w:ind w:left="1280"/>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16</w:t>
              </w:r>
            </w:hyperlink>
          </w:p>
        </w:tc>
      </w:tr>
      <w:tr>
        <w:trPr>
          <w:trHeight w:val="581"/>
        </w:trPr>
        <w:tc>
          <w:tcPr>
            <w:tcW w:w="780" w:type="dxa"/>
            <w:vAlign w:val="bottom"/>
          </w:tcPr>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Item 2.</w:t>
              </w:r>
            </w:hyperlink>
          </w:p>
        </w:tc>
        <w:tc>
          <w:tcPr>
            <w:tcW w:w="8500" w:type="dxa"/>
            <w:vAlign w:val="bottom"/>
            <w:gridSpan w:val="2"/>
          </w:tcPr>
          <w:p>
            <w:pPr>
              <w:ind w:left="120"/>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Management’s Discussion and Analysis of Financial Condition and Results of Operations</w:t>
              </w:r>
            </w:hyperlink>
          </w:p>
        </w:tc>
        <w:tc>
          <w:tcPr>
            <w:tcW w:w="1700" w:type="dxa"/>
            <w:vAlign w:val="bottom"/>
            <w:gridSpan w:val="2"/>
          </w:tcPr>
          <w:p>
            <w:pPr>
              <w:ind w:left="1280"/>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17</w:t>
              </w:r>
            </w:hyperlink>
          </w:p>
        </w:tc>
      </w:tr>
      <w:tr>
        <w:trPr>
          <w:trHeight w:val="256"/>
        </w:trPr>
        <w:tc>
          <w:tcPr>
            <w:tcW w:w="780" w:type="dxa"/>
            <w:vAlign w:val="bottom"/>
          </w:tcPr>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Item 3.</w:t>
              </w:r>
            </w:hyperlink>
          </w:p>
        </w:tc>
        <w:tc>
          <w:tcPr>
            <w:tcW w:w="8500" w:type="dxa"/>
            <w:vAlign w:val="bottom"/>
            <w:gridSpan w:val="2"/>
          </w:tcPr>
          <w:p>
            <w:pPr>
              <w:ind w:left="12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Quantitative and Qualitative Disclosures About Market Risk</w:t>
              </w:r>
            </w:hyperlink>
          </w:p>
        </w:tc>
        <w:tc>
          <w:tcPr>
            <w:tcW w:w="1700" w:type="dxa"/>
            <w:vAlign w:val="bottom"/>
            <w:gridSpan w:val="2"/>
          </w:tcPr>
          <w:p>
            <w:pPr>
              <w:ind w:left="128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33</w:t>
              </w:r>
            </w:hyperlink>
          </w:p>
        </w:tc>
      </w:tr>
      <w:tr>
        <w:trPr>
          <w:trHeight w:val="257"/>
        </w:trPr>
        <w:tc>
          <w:tcPr>
            <w:tcW w:w="780" w:type="dxa"/>
            <w:vAlign w:val="bottom"/>
          </w:tcPr>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Item 4.</w:t>
              </w:r>
            </w:hyperlink>
          </w:p>
        </w:tc>
        <w:tc>
          <w:tcPr>
            <w:tcW w:w="8500" w:type="dxa"/>
            <w:vAlign w:val="bottom"/>
            <w:gridSpan w:val="2"/>
          </w:tcPr>
          <w:p>
            <w:pPr>
              <w:ind w:left="12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Controls and Procedures</w:t>
              </w:r>
            </w:hyperlink>
          </w:p>
        </w:tc>
        <w:tc>
          <w:tcPr>
            <w:tcW w:w="1700" w:type="dxa"/>
            <w:vAlign w:val="bottom"/>
            <w:gridSpan w:val="2"/>
          </w:tcPr>
          <w:p>
            <w:pPr>
              <w:ind w:left="128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33</w:t>
              </w:r>
            </w:hyperlink>
          </w:p>
        </w:tc>
      </w:tr>
      <w:tr>
        <w:trPr>
          <w:trHeight w:val="257"/>
        </w:trPr>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960" w:type="dxa"/>
            <w:vAlign w:val="bottom"/>
          </w:tcPr>
          <w:p>
            <w:pPr>
              <w:ind w:left="2960"/>
              <w:spacing w:after="0"/>
              <w:rPr>
                <w:rFonts w:ascii="Arial" w:cs="Arial" w:eastAsia="Arial" w:hAnsi="Arial"/>
                <w:sz w:val="18"/>
                <w:szCs w:val="18"/>
                <w:b w:val="1"/>
                <w:bCs w:val="1"/>
                <w:u w:val="single" w:color="auto"/>
                <w:color w:val="0000EE"/>
              </w:rPr>
            </w:pPr>
            <w:hyperlink w:anchor="page35">
              <w:r>
                <w:rPr>
                  <w:rFonts w:ascii="Arial" w:cs="Arial" w:eastAsia="Arial" w:hAnsi="Arial"/>
                  <w:sz w:val="18"/>
                  <w:szCs w:val="18"/>
                  <w:b w:val="1"/>
                  <w:bCs w:val="1"/>
                  <w:u w:val="single" w:color="auto"/>
                  <w:color w:val="0000EE"/>
                </w:rPr>
                <w:t>PART II – OTHER INFORMATION</w:t>
              </w:r>
            </w:hyperlink>
          </w:p>
        </w:tc>
        <w:tc>
          <w:tcPr>
            <w:tcW w:w="128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256"/>
        </w:trPr>
        <w:tc>
          <w:tcPr>
            <w:tcW w:w="780" w:type="dxa"/>
            <w:vAlign w:val="bottom"/>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Item 1.</w:t>
              </w:r>
            </w:hyperlink>
          </w:p>
        </w:tc>
        <w:tc>
          <w:tcPr>
            <w:tcW w:w="8500" w:type="dxa"/>
            <w:vAlign w:val="bottom"/>
            <w:gridSpan w:val="2"/>
          </w:tcPr>
          <w:p>
            <w:pPr>
              <w:ind w:left="12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Legal Proceedings</w:t>
              </w:r>
            </w:hyperlink>
          </w:p>
        </w:tc>
        <w:tc>
          <w:tcPr>
            <w:tcW w:w="1700" w:type="dxa"/>
            <w:vAlign w:val="bottom"/>
            <w:gridSpan w:val="2"/>
          </w:tcPr>
          <w:p>
            <w:pPr>
              <w:ind w:left="128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35</w:t>
              </w:r>
            </w:hyperlink>
          </w:p>
        </w:tc>
      </w:tr>
      <w:tr>
        <w:trPr>
          <w:trHeight w:val="257"/>
        </w:trPr>
        <w:tc>
          <w:tcPr>
            <w:tcW w:w="780" w:type="dxa"/>
            <w:vAlign w:val="bottom"/>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Item 1A.</w:t>
              </w:r>
            </w:hyperlink>
          </w:p>
        </w:tc>
        <w:tc>
          <w:tcPr>
            <w:tcW w:w="8500" w:type="dxa"/>
            <w:vAlign w:val="bottom"/>
            <w:gridSpan w:val="2"/>
          </w:tcPr>
          <w:p>
            <w:pPr>
              <w:ind w:left="12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Risk Factors</w:t>
              </w:r>
            </w:hyperlink>
          </w:p>
        </w:tc>
        <w:tc>
          <w:tcPr>
            <w:tcW w:w="1700" w:type="dxa"/>
            <w:vAlign w:val="bottom"/>
            <w:gridSpan w:val="2"/>
          </w:tcPr>
          <w:p>
            <w:pPr>
              <w:ind w:left="128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35</w:t>
              </w:r>
            </w:hyperlink>
          </w:p>
        </w:tc>
      </w:tr>
      <w:tr>
        <w:trPr>
          <w:trHeight w:val="256"/>
        </w:trPr>
        <w:tc>
          <w:tcPr>
            <w:tcW w:w="780" w:type="dxa"/>
            <w:vAlign w:val="bottom"/>
          </w:tcPr>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Item 2.</w:t>
              </w:r>
            </w:hyperlink>
          </w:p>
        </w:tc>
        <w:tc>
          <w:tcPr>
            <w:tcW w:w="8500" w:type="dxa"/>
            <w:vAlign w:val="bottom"/>
            <w:gridSpan w:val="2"/>
          </w:tcPr>
          <w:p>
            <w:pPr>
              <w:ind w:left="120"/>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Unregistered Sales of Equity Securities and Use of Proceeds</w:t>
              </w:r>
            </w:hyperlink>
          </w:p>
        </w:tc>
        <w:tc>
          <w:tcPr>
            <w:tcW w:w="1700" w:type="dxa"/>
            <w:vAlign w:val="bottom"/>
            <w:gridSpan w:val="2"/>
          </w:tcPr>
          <w:p>
            <w:pPr>
              <w:ind w:left="1280"/>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59</w:t>
              </w:r>
            </w:hyperlink>
          </w:p>
        </w:tc>
      </w:tr>
      <w:tr>
        <w:trPr>
          <w:trHeight w:val="257"/>
        </w:trPr>
        <w:tc>
          <w:tcPr>
            <w:tcW w:w="780" w:type="dxa"/>
            <w:vAlign w:val="bottom"/>
          </w:tcPr>
          <w:p>
            <w:pPr>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Item 6.</w:t>
              </w:r>
            </w:hyperlink>
          </w:p>
        </w:tc>
        <w:tc>
          <w:tcPr>
            <w:tcW w:w="8500" w:type="dxa"/>
            <w:vAlign w:val="bottom"/>
            <w:gridSpan w:val="2"/>
          </w:tcPr>
          <w:p>
            <w:pPr>
              <w:ind w:left="120"/>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Exhibits</w:t>
              </w:r>
            </w:hyperlink>
          </w:p>
        </w:tc>
        <w:tc>
          <w:tcPr>
            <w:tcW w:w="1700" w:type="dxa"/>
            <w:vAlign w:val="bottom"/>
            <w:gridSpan w:val="2"/>
          </w:tcPr>
          <w:p>
            <w:pPr>
              <w:ind w:left="1280"/>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61</w:t>
              </w:r>
            </w:hyperlink>
          </w:p>
        </w:tc>
      </w:tr>
      <w:tr>
        <w:trPr>
          <w:trHeight w:val="256"/>
        </w:trPr>
        <w:tc>
          <w:tcPr>
            <w:tcW w:w="780" w:type="dxa"/>
            <w:vAlign w:val="bottom"/>
          </w:tcPr>
          <w:p>
            <w:pPr>
              <w:spacing w:after="0"/>
              <w:rPr>
                <w:sz w:val="22"/>
                <w:szCs w:val="22"/>
                <w:color w:val="auto"/>
              </w:rPr>
            </w:pPr>
          </w:p>
        </w:tc>
        <w:tc>
          <w:tcPr>
            <w:tcW w:w="8500" w:type="dxa"/>
            <w:vAlign w:val="bottom"/>
            <w:gridSpan w:val="2"/>
          </w:tcPr>
          <w:p>
            <w:pPr>
              <w:ind w:left="120"/>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Signatures</w:t>
              </w:r>
            </w:hyperlink>
          </w:p>
        </w:tc>
        <w:tc>
          <w:tcPr>
            <w:tcW w:w="1700" w:type="dxa"/>
            <w:vAlign w:val="bottom"/>
            <w:gridSpan w:val="2"/>
          </w:tcPr>
          <w:p>
            <w:pPr>
              <w:ind w:left="1280"/>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62</w:t>
              </w:r>
            </w:hyperlink>
          </w:p>
        </w:tc>
      </w:tr>
      <w:tr>
        <w:trPr>
          <w:trHeight w:val="662"/>
        </w:trPr>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960" w:type="dxa"/>
            <w:vAlign w:val="bottom"/>
          </w:tcPr>
          <w:p>
            <w:pPr>
              <w:jc w:val="center"/>
              <w:ind w:left="490"/>
              <w:spacing w:after="0"/>
              <w:rPr>
                <w:sz w:val="20"/>
                <w:szCs w:val="20"/>
                <w:color w:val="auto"/>
              </w:rPr>
            </w:pPr>
            <w:r>
              <w:rPr>
                <w:rFonts w:ascii="Arial" w:cs="Arial" w:eastAsia="Arial" w:hAnsi="Arial"/>
                <w:sz w:val="18"/>
                <w:szCs w:val="18"/>
                <w:color w:val="auto"/>
                <w:w w:val="99"/>
              </w:rPr>
              <w:t>2</w:t>
            </w:r>
          </w:p>
        </w:tc>
        <w:tc>
          <w:tcPr>
            <w:tcW w:w="128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ectPr>
          <w:pgSz w:w="11900" w:h="16838" w:orient="portrait"/>
          <w:cols w:equalWidth="0" w:num="1">
            <w:col w:w="10980"/>
          </w:cols>
          <w:pgMar w:left="360" w:top="333" w:right="55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0" w:type="dxa"/>
            <w:vAlign w:val="bottom"/>
            <w:gridSpan w:val="2"/>
          </w:tcPr>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432"/>
        </w:trPr>
        <w:tc>
          <w:tcPr>
            <w:tcW w:w="860" w:type="dxa"/>
            <w:vAlign w:val="bottom"/>
          </w:tcPr>
          <w:p>
            <w:pPr>
              <w:spacing w:after="0"/>
              <w:rPr>
                <w:sz w:val="24"/>
                <w:szCs w:val="24"/>
                <w:color w:val="auto"/>
              </w:rPr>
            </w:pPr>
          </w:p>
        </w:tc>
        <w:tc>
          <w:tcPr>
            <w:tcW w:w="7540" w:type="dxa"/>
            <w:vAlign w:val="bottom"/>
          </w:tcPr>
          <w:p>
            <w:pPr>
              <w:jc w:val="center"/>
              <w:ind w:left="1890"/>
              <w:spacing w:after="0"/>
              <w:rPr>
                <w:sz w:val="20"/>
                <w:szCs w:val="20"/>
                <w:color w:val="auto"/>
              </w:rPr>
            </w:pPr>
            <w:r>
              <w:rPr>
                <w:rFonts w:ascii="Arial" w:cs="Arial" w:eastAsia="Arial" w:hAnsi="Arial"/>
                <w:sz w:val="18"/>
                <w:szCs w:val="18"/>
                <w:b w:val="1"/>
                <w:bCs w:val="1"/>
                <w:color w:val="auto"/>
                <w:w w:val="99"/>
              </w:rPr>
              <w:t>PART I. FINANCIAL INFORMATION</w:t>
            </w: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01"/>
        </w:trPr>
        <w:tc>
          <w:tcPr>
            <w:tcW w:w="86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540" w:type="dxa"/>
            <w:vAlign w:val="bottom"/>
          </w:tcPr>
          <w:p>
            <w:pPr>
              <w:ind w:left="120"/>
              <w:spacing w:after="0"/>
              <w:rPr>
                <w:sz w:val="20"/>
                <w:szCs w:val="20"/>
                <w:color w:val="auto"/>
              </w:rPr>
            </w:pPr>
            <w:r>
              <w:rPr>
                <w:rFonts w:ascii="Arial" w:cs="Arial" w:eastAsia="Arial" w:hAnsi="Arial"/>
                <w:sz w:val="18"/>
                <w:szCs w:val="18"/>
                <w:b w:val="1"/>
                <w:bCs w:val="1"/>
                <w:color w:val="auto"/>
              </w:rPr>
              <w:t>Financial Statements</w:t>
            </w: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16"/>
        </w:trPr>
        <w:tc>
          <w:tcPr>
            <w:tcW w:w="860" w:type="dxa"/>
            <w:vAlign w:val="bottom"/>
          </w:tcPr>
          <w:p>
            <w:pPr>
              <w:spacing w:after="0"/>
              <w:rPr>
                <w:sz w:val="18"/>
                <w:szCs w:val="18"/>
                <w:color w:val="auto"/>
              </w:rPr>
            </w:pPr>
          </w:p>
        </w:tc>
        <w:tc>
          <w:tcPr>
            <w:tcW w:w="7540" w:type="dxa"/>
            <w:vAlign w:val="bottom"/>
          </w:tcPr>
          <w:p>
            <w:pPr>
              <w:jc w:val="center"/>
              <w:ind w:left="1890"/>
              <w:spacing w:after="0"/>
              <w:rPr>
                <w:sz w:val="20"/>
                <w:szCs w:val="20"/>
                <w:color w:val="auto"/>
              </w:rPr>
            </w:pPr>
            <w:r>
              <w:rPr>
                <w:rFonts w:ascii="Arial" w:cs="Arial" w:eastAsia="Arial" w:hAnsi="Arial"/>
                <w:sz w:val="18"/>
                <w:szCs w:val="18"/>
                <w:b w:val="1"/>
                <w:bCs w:val="1"/>
                <w:color w:val="auto"/>
              </w:rPr>
              <w:t>TENABLE HOLDINGS, INC.</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9"/>
        </w:trPr>
        <w:tc>
          <w:tcPr>
            <w:tcW w:w="860" w:type="dxa"/>
            <w:vAlign w:val="bottom"/>
          </w:tcPr>
          <w:p>
            <w:pPr>
              <w:spacing w:after="0"/>
              <w:rPr>
                <w:sz w:val="20"/>
                <w:szCs w:val="20"/>
                <w:color w:val="auto"/>
              </w:rPr>
            </w:pPr>
          </w:p>
        </w:tc>
        <w:tc>
          <w:tcPr>
            <w:tcW w:w="7540" w:type="dxa"/>
            <w:vAlign w:val="bottom"/>
          </w:tcPr>
          <w:p>
            <w:pPr>
              <w:jc w:val="center"/>
              <w:ind w:left="1890"/>
              <w:spacing w:after="0"/>
              <w:rPr>
                <w:sz w:val="20"/>
                <w:szCs w:val="20"/>
                <w:color w:val="auto"/>
              </w:rPr>
            </w:pPr>
            <w:r>
              <w:rPr>
                <w:rFonts w:ascii="Arial" w:cs="Arial" w:eastAsia="Arial" w:hAnsi="Arial"/>
                <w:sz w:val="18"/>
                <w:szCs w:val="18"/>
                <w:b w:val="1"/>
                <w:bCs w:val="1"/>
                <w:color w:val="auto"/>
                <w:w w:val="99"/>
              </w:rPr>
              <w:t>CONSOLIDATED BALANCE SHEETS</w:t>
            </w: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33"/>
        </w:trPr>
        <w:tc>
          <w:tcPr>
            <w:tcW w:w="86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jc w:val="right"/>
              <w:ind w:right="71"/>
              <w:spacing w:after="0"/>
              <w:rPr>
                <w:sz w:val="20"/>
                <w:szCs w:val="20"/>
                <w:color w:val="auto"/>
              </w:rPr>
            </w:pPr>
            <w:r>
              <w:rPr>
                <w:rFonts w:ascii="Arial" w:cs="Arial" w:eastAsia="Arial" w:hAnsi="Arial"/>
                <w:sz w:val="16"/>
                <w:szCs w:val="16"/>
                <w:b w:val="1"/>
                <w:bCs w:val="1"/>
                <w:color w:val="auto"/>
                <w:w w:val="99"/>
              </w:rPr>
              <w:t>December 31,</w:t>
            </w:r>
          </w:p>
        </w:tc>
      </w:tr>
      <w:tr>
        <w:trPr>
          <w:trHeight w:val="228"/>
        </w:trPr>
        <w:tc>
          <w:tcPr>
            <w:tcW w:w="860" w:type="dxa"/>
            <w:vAlign w:val="bottom"/>
          </w:tcPr>
          <w:p>
            <w:pPr>
              <w:spacing w:after="0"/>
              <w:rPr>
                <w:sz w:val="19"/>
                <w:szCs w:val="19"/>
                <w:color w:val="auto"/>
              </w:rPr>
            </w:pPr>
          </w:p>
        </w:tc>
        <w:tc>
          <w:tcPr>
            <w:tcW w:w="75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31"/>
              <w:spacing w:after="0"/>
              <w:rPr>
                <w:sz w:val="20"/>
                <w:szCs w:val="20"/>
                <w:color w:val="auto"/>
              </w:rPr>
            </w:pPr>
            <w:r>
              <w:rPr>
                <w:rFonts w:ascii="Arial" w:cs="Arial" w:eastAsia="Arial" w:hAnsi="Arial"/>
                <w:sz w:val="16"/>
                <w:szCs w:val="16"/>
                <w:b w:val="1"/>
                <w:bCs w:val="1"/>
                <w:color w:val="auto"/>
              </w:rPr>
              <w:t>June 30, 2020</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2019</w:t>
            </w:r>
          </w:p>
        </w:tc>
      </w:tr>
      <w:tr>
        <w:trPr>
          <w:trHeight w:val="260"/>
        </w:trPr>
        <w:tc>
          <w:tcPr>
            <w:tcW w:w="8400" w:type="dxa"/>
            <w:vAlign w:val="bottom"/>
            <w:gridSpan w:val="2"/>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140" w:type="dxa"/>
            <w:vAlign w:val="bottom"/>
          </w:tcPr>
          <w:p>
            <w:pPr>
              <w:spacing w:after="0"/>
              <w:rPr>
                <w:sz w:val="22"/>
                <w:szCs w:val="22"/>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(unaudited)</w:t>
            </w: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80"/>
        </w:trPr>
        <w:tc>
          <w:tcPr>
            <w:tcW w:w="8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75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63"/>
        </w:trPr>
        <w:tc>
          <w:tcPr>
            <w:tcW w:w="840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7"/>
        </w:trPr>
        <w:tc>
          <w:tcPr>
            <w:tcW w:w="8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136,467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74,363</w:t>
            </w:r>
          </w:p>
        </w:tc>
      </w:tr>
      <w:tr>
        <w:trPr>
          <w:trHeight w:val="263"/>
        </w:trPr>
        <w:tc>
          <w:tcPr>
            <w:tcW w:w="8400" w:type="dxa"/>
            <w:vAlign w:val="bottom"/>
            <w:gridSpan w:val="2"/>
          </w:tcPr>
          <w:p>
            <w:pPr>
              <w:ind w:left="180"/>
              <w:spacing w:after="0"/>
              <w:rPr>
                <w:sz w:val="20"/>
                <w:szCs w:val="20"/>
                <w:color w:val="auto"/>
              </w:rPr>
            </w:pPr>
            <w:r>
              <w:rPr>
                <w:rFonts w:ascii="Arial" w:cs="Arial" w:eastAsia="Arial" w:hAnsi="Arial"/>
                <w:sz w:val="18"/>
                <w:szCs w:val="18"/>
                <w:color w:val="auto"/>
              </w:rPr>
              <w:t>Short-term investments</w:t>
            </w:r>
          </w:p>
        </w:tc>
        <w:tc>
          <w:tcPr>
            <w:tcW w:w="14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105,634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137,904</w:t>
            </w:r>
          </w:p>
        </w:tc>
      </w:tr>
      <w:tr>
        <w:trPr>
          <w:trHeight w:val="235"/>
        </w:trPr>
        <w:tc>
          <w:tcPr>
            <w:tcW w:w="8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Accounts receivable (net of allowance for doubtful accounts of $297 and $764 at June 30, 2020 and</w:t>
            </w: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30"/>
        </w:trPr>
        <w:tc>
          <w:tcPr>
            <w:tcW w:w="8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December 31, 2019, respectively)</w:t>
            </w: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81,782</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94,827</w:t>
            </w:r>
          </w:p>
        </w:tc>
      </w:tr>
      <w:tr>
        <w:trPr>
          <w:trHeight w:val="263"/>
        </w:trPr>
        <w:tc>
          <w:tcPr>
            <w:tcW w:w="8400" w:type="dxa"/>
            <w:vAlign w:val="bottom"/>
            <w:gridSpan w:val="2"/>
          </w:tcPr>
          <w:p>
            <w:pPr>
              <w:ind w:left="180"/>
              <w:spacing w:after="0"/>
              <w:rPr>
                <w:sz w:val="20"/>
                <w:szCs w:val="20"/>
                <w:color w:val="auto"/>
              </w:rPr>
            </w:pPr>
            <w:r>
              <w:rPr>
                <w:rFonts w:ascii="Arial" w:cs="Arial" w:eastAsia="Arial" w:hAnsi="Arial"/>
                <w:sz w:val="18"/>
                <w:szCs w:val="18"/>
                <w:color w:val="auto"/>
              </w:rPr>
              <w:t>Deferred commissions</w:t>
            </w:r>
          </w:p>
        </w:tc>
        <w:tc>
          <w:tcPr>
            <w:tcW w:w="14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29,620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28,499</w:t>
            </w:r>
          </w:p>
        </w:tc>
      </w:tr>
      <w:tr>
        <w:trPr>
          <w:trHeight w:val="270"/>
        </w:trPr>
        <w:tc>
          <w:tcPr>
            <w:tcW w:w="8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26,298</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27,369</w:t>
            </w:r>
          </w:p>
        </w:tc>
      </w:tr>
      <w:tr>
        <w:trPr>
          <w:trHeight w:val="250"/>
        </w:trPr>
        <w:tc>
          <w:tcPr>
            <w:tcW w:w="8400" w:type="dxa"/>
            <w:vAlign w:val="bottom"/>
            <w:gridSpan w:val="2"/>
          </w:tcPr>
          <w:p>
            <w:pPr>
              <w:ind w:left="40"/>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379,801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362,962</w:t>
            </w:r>
          </w:p>
        </w:tc>
      </w:tr>
      <w:tr>
        <w:trPr>
          <w:trHeight w:val="277"/>
        </w:trPr>
        <w:tc>
          <w:tcPr>
            <w:tcW w:w="84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35,144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26,847</w:t>
            </w:r>
          </w:p>
        </w:tc>
      </w:tr>
      <w:tr>
        <w:trPr>
          <w:trHeight w:val="263"/>
        </w:trPr>
        <w:tc>
          <w:tcPr>
            <w:tcW w:w="8400" w:type="dxa"/>
            <w:vAlign w:val="bottom"/>
            <w:gridSpan w:val="2"/>
          </w:tcPr>
          <w:p>
            <w:pPr>
              <w:ind w:left="40"/>
              <w:spacing w:after="0"/>
              <w:rPr>
                <w:sz w:val="20"/>
                <w:szCs w:val="20"/>
                <w:color w:val="auto"/>
              </w:rPr>
            </w:pPr>
            <w:r>
              <w:rPr>
                <w:rFonts w:ascii="Arial" w:cs="Arial" w:eastAsia="Arial" w:hAnsi="Arial"/>
                <w:sz w:val="18"/>
                <w:szCs w:val="18"/>
                <w:color w:val="auto"/>
              </w:rPr>
              <w:t>Deferred commissions (net of current portion)</w:t>
            </w:r>
          </w:p>
        </w:tc>
        <w:tc>
          <w:tcPr>
            <w:tcW w:w="14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42,148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43,766</w:t>
            </w:r>
          </w:p>
        </w:tc>
      </w:tr>
      <w:tr>
        <w:trPr>
          <w:trHeight w:val="277"/>
        </w:trPr>
        <w:tc>
          <w:tcPr>
            <w:tcW w:w="84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lease right-of-use assets</w:t>
            </w: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40,476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42,847</w:t>
            </w:r>
          </w:p>
        </w:tc>
      </w:tr>
      <w:tr>
        <w:trPr>
          <w:trHeight w:val="263"/>
        </w:trPr>
        <w:tc>
          <w:tcPr>
            <w:tcW w:w="8400" w:type="dxa"/>
            <w:vAlign w:val="bottom"/>
            <w:gridSpan w:val="2"/>
          </w:tcPr>
          <w:p>
            <w:pPr>
              <w:ind w:left="40"/>
              <w:spacing w:after="0"/>
              <w:rPr>
                <w:sz w:val="20"/>
                <w:szCs w:val="20"/>
                <w:color w:val="auto"/>
              </w:rPr>
            </w:pPr>
            <w:r>
              <w:rPr>
                <w:rFonts w:ascii="Arial" w:cs="Arial" w:eastAsia="Arial" w:hAnsi="Arial"/>
                <w:sz w:val="18"/>
                <w:szCs w:val="18"/>
                <w:color w:val="auto"/>
              </w:rPr>
              <w:t>Acquired intangible assets, net</w:t>
            </w:r>
          </w:p>
        </w:tc>
        <w:tc>
          <w:tcPr>
            <w:tcW w:w="14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14,350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15,508</w:t>
            </w:r>
          </w:p>
        </w:tc>
      </w:tr>
      <w:tr>
        <w:trPr>
          <w:trHeight w:val="277"/>
        </w:trPr>
        <w:tc>
          <w:tcPr>
            <w:tcW w:w="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75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54,138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54,138</w:t>
            </w:r>
          </w:p>
        </w:tc>
      </w:tr>
      <w:tr>
        <w:trPr>
          <w:trHeight w:val="263"/>
        </w:trPr>
        <w:tc>
          <w:tcPr>
            <w:tcW w:w="840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9,779</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12,544</w:t>
            </w:r>
          </w:p>
        </w:tc>
      </w:tr>
      <w:tr>
        <w:trPr>
          <w:trHeight w:val="257"/>
        </w:trPr>
        <w:tc>
          <w:tcPr>
            <w:tcW w:w="8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575,836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558,612</w:t>
            </w:r>
          </w:p>
        </w:tc>
      </w:tr>
      <w:tr>
        <w:trPr>
          <w:trHeight w:val="20"/>
        </w:trPr>
        <w:tc>
          <w:tcPr>
            <w:tcW w:w="840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64"/>
        </w:trPr>
        <w:tc>
          <w:tcPr>
            <w:tcW w:w="860" w:type="dxa"/>
            <w:vAlign w:val="bottom"/>
          </w:tcPr>
          <w:p>
            <w:pPr>
              <w:spacing w:after="0"/>
              <w:rPr>
                <w:sz w:val="22"/>
                <w:szCs w:val="22"/>
                <w:color w:val="auto"/>
              </w:rPr>
            </w:pPr>
          </w:p>
        </w:tc>
        <w:tc>
          <w:tcPr>
            <w:tcW w:w="75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0"/>
        </w:trPr>
        <w:tc>
          <w:tcPr>
            <w:tcW w:w="840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63"/>
        </w:trPr>
        <w:tc>
          <w:tcPr>
            <w:tcW w:w="8400" w:type="dxa"/>
            <w:vAlign w:val="bottom"/>
            <w:gridSpan w:val="2"/>
          </w:tcPr>
          <w:p>
            <w:pPr>
              <w:ind w:left="40"/>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7"/>
        </w:trPr>
        <w:tc>
          <w:tcPr>
            <w:tcW w:w="8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429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1,732</w:t>
            </w:r>
          </w:p>
        </w:tc>
      </w:tr>
      <w:tr>
        <w:trPr>
          <w:trHeight w:val="263"/>
        </w:trPr>
        <w:tc>
          <w:tcPr>
            <w:tcW w:w="8400" w:type="dxa"/>
            <w:vAlign w:val="bottom"/>
            <w:gridSpan w:val="2"/>
          </w:tcPr>
          <w:p>
            <w:pPr>
              <w:ind w:left="180"/>
              <w:spacing w:after="0"/>
              <w:rPr>
                <w:sz w:val="20"/>
                <w:szCs w:val="20"/>
                <w:color w:val="auto"/>
              </w:rPr>
            </w:pPr>
            <w:r>
              <w:rPr>
                <w:rFonts w:ascii="Arial" w:cs="Arial" w:eastAsia="Arial" w:hAnsi="Arial"/>
                <w:sz w:val="18"/>
                <w:szCs w:val="18"/>
                <w:color w:val="auto"/>
              </w:rPr>
              <w:t>Accrued expenses</w:t>
            </w:r>
          </w:p>
        </w:tc>
        <w:tc>
          <w:tcPr>
            <w:tcW w:w="14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7,909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8,436</w:t>
            </w:r>
          </w:p>
        </w:tc>
      </w:tr>
      <w:tr>
        <w:trPr>
          <w:trHeight w:val="277"/>
        </w:trPr>
        <w:tc>
          <w:tcPr>
            <w:tcW w:w="8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Accrued compensation</w:t>
            </w: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31,360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36,634</w:t>
            </w:r>
          </w:p>
        </w:tc>
      </w:tr>
      <w:tr>
        <w:trPr>
          <w:trHeight w:val="263"/>
        </w:trPr>
        <w:tc>
          <w:tcPr>
            <w:tcW w:w="8400" w:type="dxa"/>
            <w:vAlign w:val="bottom"/>
            <w:gridSpan w:val="2"/>
          </w:tcPr>
          <w:p>
            <w:pPr>
              <w:ind w:left="180"/>
              <w:spacing w:after="0"/>
              <w:rPr>
                <w:sz w:val="20"/>
                <w:szCs w:val="20"/>
                <w:color w:val="auto"/>
              </w:rPr>
            </w:pPr>
            <w:r>
              <w:rPr>
                <w:rFonts w:ascii="Arial" w:cs="Arial" w:eastAsia="Arial" w:hAnsi="Arial"/>
                <w:sz w:val="18"/>
                <w:szCs w:val="18"/>
                <w:color w:val="auto"/>
              </w:rPr>
              <w:t>Deferred revenue</w:t>
            </w:r>
          </w:p>
        </w:tc>
        <w:tc>
          <w:tcPr>
            <w:tcW w:w="14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274,953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274,348</w:t>
            </w:r>
          </w:p>
        </w:tc>
      </w:tr>
      <w:tr>
        <w:trPr>
          <w:trHeight w:val="277"/>
        </w:trPr>
        <w:tc>
          <w:tcPr>
            <w:tcW w:w="8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Operating lease liabilities</w:t>
            </w: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5,347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5,209</w:t>
            </w:r>
          </w:p>
        </w:tc>
      </w:tr>
      <w:tr>
        <w:trPr>
          <w:trHeight w:val="264"/>
        </w:trPr>
        <w:tc>
          <w:tcPr>
            <w:tcW w:w="840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Other current liabilities</w:t>
            </w: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783</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1,284</w:t>
            </w:r>
          </w:p>
        </w:tc>
      </w:tr>
      <w:tr>
        <w:trPr>
          <w:trHeight w:val="256"/>
        </w:trPr>
        <w:tc>
          <w:tcPr>
            <w:tcW w:w="84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320,781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327,643</w:t>
            </w:r>
          </w:p>
        </w:tc>
      </w:tr>
      <w:tr>
        <w:trPr>
          <w:trHeight w:val="263"/>
        </w:trPr>
        <w:tc>
          <w:tcPr>
            <w:tcW w:w="8400" w:type="dxa"/>
            <w:vAlign w:val="bottom"/>
            <w:gridSpan w:val="2"/>
          </w:tcPr>
          <w:p>
            <w:pPr>
              <w:ind w:left="40"/>
              <w:spacing w:after="0"/>
              <w:rPr>
                <w:sz w:val="20"/>
                <w:szCs w:val="20"/>
                <w:color w:val="auto"/>
              </w:rPr>
            </w:pPr>
            <w:r>
              <w:rPr>
                <w:rFonts w:ascii="Arial" w:cs="Arial" w:eastAsia="Arial" w:hAnsi="Arial"/>
                <w:sz w:val="18"/>
                <w:szCs w:val="18"/>
                <w:color w:val="auto"/>
              </w:rPr>
              <w:t>Deferred revenue (net of current portion)</w:t>
            </w:r>
          </w:p>
        </w:tc>
        <w:tc>
          <w:tcPr>
            <w:tcW w:w="14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90,356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88,779</w:t>
            </w:r>
          </w:p>
        </w:tc>
      </w:tr>
      <w:tr>
        <w:trPr>
          <w:trHeight w:val="277"/>
        </w:trPr>
        <w:tc>
          <w:tcPr>
            <w:tcW w:w="84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lease liabilities (net of current portion)</w:t>
            </w: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48,678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40,663</w:t>
            </w:r>
          </w:p>
        </w:tc>
      </w:tr>
      <w:tr>
        <w:trPr>
          <w:trHeight w:val="263"/>
        </w:trPr>
        <w:tc>
          <w:tcPr>
            <w:tcW w:w="840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Other liabilities</w:t>
            </w: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4,853</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2,622</w:t>
            </w:r>
          </w:p>
        </w:tc>
      </w:tr>
      <w:tr>
        <w:trPr>
          <w:trHeight w:val="257"/>
        </w:trPr>
        <w:tc>
          <w:tcPr>
            <w:tcW w:w="84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464,668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459,707</w:t>
            </w:r>
          </w:p>
        </w:tc>
      </w:tr>
      <w:tr>
        <w:trPr>
          <w:trHeight w:val="283"/>
        </w:trPr>
        <w:tc>
          <w:tcPr>
            <w:tcW w:w="840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0"/>
        </w:trPr>
        <w:tc>
          <w:tcPr>
            <w:tcW w:w="84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29"/>
        </w:trPr>
        <w:tc>
          <w:tcPr>
            <w:tcW w:w="8400" w:type="dxa"/>
            <w:vAlign w:val="bottom"/>
            <w:gridSpan w:val="2"/>
          </w:tcPr>
          <w:p>
            <w:pPr>
              <w:ind w:left="180"/>
              <w:spacing w:after="0"/>
              <w:rPr>
                <w:sz w:val="20"/>
                <w:szCs w:val="20"/>
                <w:color w:val="auto"/>
              </w:rPr>
            </w:pPr>
            <w:r>
              <w:rPr>
                <w:rFonts w:ascii="Arial" w:cs="Arial" w:eastAsia="Arial" w:hAnsi="Arial"/>
                <w:sz w:val="18"/>
                <w:szCs w:val="18"/>
                <w:color w:val="auto"/>
              </w:rPr>
              <w:t>Common stock (par value: $0.01; 500,000 shares authorized; 101,127 and 98,587 shares issued and</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4"/>
        </w:trPr>
        <w:tc>
          <w:tcPr>
            <w:tcW w:w="8400" w:type="dxa"/>
            <w:vAlign w:val="bottom"/>
            <w:gridSpan w:val="2"/>
          </w:tcPr>
          <w:p>
            <w:pPr>
              <w:ind w:left="260"/>
              <w:spacing w:after="0"/>
              <w:rPr>
                <w:sz w:val="20"/>
                <w:szCs w:val="20"/>
                <w:color w:val="auto"/>
              </w:rPr>
            </w:pPr>
            <w:r>
              <w:rPr>
                <w:rFonts w:ascii="Arial" w:cs="Arial" w:eastAsia="Arial" w:hAnsi="Arial"/>
                <w:sz w:val="18"/>
                <w:szCs w:val="18"/>
                <w:color w:val="auto"/>
              </w:rPr>
              <w:t>outstanding at June 30, 2020 and December 31, 2019, respectively)</w:t>
            </w:r>
          </w:p>
        </w:tc>
        <w:tc>
          <w:tcPr>
            <w:tcW w:w="140" w:type="dxa"/>
            <w:vAlign w:val="bottom"/>
          </w:tcPr>
          <w:p>
            <w:pPr>
              <w:spacing w:after="0"/>
              <w:rPr>
                <w:sz w:val="19"/>
                <w:szCs w:val="19"/>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1,011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986</w:t>
            </w:r>
          </w:p>
        </w:tc>
      </w:tr>
      <w:tr>
        <w:trPr>
          <w:trHeight w:val="277"/>
        </w:trPr>
        <w:tc>
          <w:tcPr>
            <w:tcW w:w="8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710,066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662,990</w:t>
            </w:r>
          </w:p>
        </w:tc>
      </w:tr>
      <w:tr>
        <w:trPr>
          <w:trHeight w:val="263"/>
        </w:trPr>
        <w:tc>
          <w:tcPr>
            <w:tcW w:w="8400" w:type="dxa"/>
            <w:vAlign w:val="bottom"/>
            <w:gridSpan w:val="2"/>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14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50</w:t>
            </w:r>
          </w:p>
        </w:tc>
      </w:tr>
      <w:tr>
        <w:trPr>
          <w:trHeight w:val="270"/>
        </w:trPr>
        <w:tc>
          <w:tcPr>
            <w:tcW w:w="8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1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(600,058)</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(565,121)</w:t>
            </w:r>
          </w:p>
        </w:tc>
      </w:tr>
      <w:tr>
        <w:trPr>
          <w:trHeight w:val="250"/>
        </w:trPr>
        <w:tc>
          <w:tcPr>
            <w:tcW w:w="840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111,168</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98,905</w:t>
            </w:r>
          </w:p>
        </w:tc>
      </w:tr>
      <w:tr>
        <w:trPr>
          <w:trHeight w:val="256"/>
        </w:trPr>
        <w:tc>
          <w:tcPr>
            <w:tcW w:w="8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575,836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558,612</w:t>
            </w:r>
          </w:p>
        </w:tc>
      </w:tr>
      <w:tr>
        <w:trPr>
          <w:trHeight w:val="20"/>
        </w:trPr>
        <w:tc>
          <w:tcPr>
            <w:tcW w:w="86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900" w:h="16838" w:orient="portrait"/>
          <w:cols w:equalWidth="0" w:num="1">
            <w:col w:w="11240"/>
          </w:cols>
          <w:pgMar w:left="320" w:top="140" w:right="339" w:bottom="1440" w:gutter="0" w:footer="0" w:header="0"/>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40"/>
          </w:cols>
          <w:pgMar w:left="320" w:top="140" w:right="339" w:bottom="1440" w:gutter="0" w:footer="0" w:header="0"/>
          <w:type w:val="continuous"/>
        </w:sectPr>
      </w:pPr>
    </w:p>
    <w:bookmarkStart w:id="3" w:name="page4"/>
    <w:bookmarkEnd w:id="3"/>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TENABLE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740" w:type="dxa"/>
            <w:vAlign w:val="bottom"/>
            <w:gridSpan w:val="5"/>
          </w:tcPr>
          <w:p>
            <w:pPr>
              <w:ind w:left="80"/>
              <w:spacing w:after="0"/>
              <w:rPr>
                <w:sz w:val="20"/>
                <w:szCs w:val="20"/>
                <w:color w:val="auto"/>
              </w:rPr>
            </w:pPr>
            <w:r>
              <w:rPr>
                <w:rFonts w:ascii="Arial" w:cs="Arial" w:eastAsia="Arial" w:hAnsi="Arial"/>
                <w:sz w:val="16"/>
                <w:szCs w:val="16"/>
                <w:b w:val="1"/>
                <w:bCs w:val="1"/>
                <w:color w:val="auto"/>
              </w:rPr>
              <w:t>Three Months Ended June 30,</w:t>
            </w:r>
          </w:p>
        </w:tc>
        <w:tc>
          <w:tcPr>
            <w:tcW w:w="260" w:type="dxa"/>
            <w:vAlign w:val="bottom"/>
          </w:tcPr>
          <w:p>
            <w:pPr>
              <w:spacing w:after="0"/>
              <w:rPr>
                <w:sz w:val="19"/>
                <w:szCs w:val="19"/>
                <w:color w:val="auto"/>
              </w:rPr>
            </w:pPr>
          </w:p>
        </w:tc>
        <w:tc>
          <w:tcPr>
            <w:tcW w:w="2580" w:type="dxa"/>
            <w:vAlign w:val="bottom"/>
            <w:gridSpan w:val="4"/>
          </w:tcPr>
          <w:p>
            <w:pPr>
              <w:jc w:val="right"/>
              <w:ind w:right="271"/>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263"/>
        </w:trPr>
        <w:tc>
          <w:tcPr>
            <w:tcW w:w="546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20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57"/>
        </w:trPr>
        <w:tc>
          <w:tcPr>
            <w:tcW w:w="5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107,209</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85,384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209,857</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165,685</w:t>
            </w:r>
          </w:p>
        </w:tc>
        <w:tc>
          <w:tcPr>
            <w:tcW w:w="0" w:type="dxa"/>
            <w:vAlign w:val="bottom"/>
          </w:tcPr>
          <w:p>
            <w:pPr>
              <w:spacing w:after="0"/>
              <w:rPr>
                <w:sz w:val="1"/>
                <w:szCs w:val="1"/>
                <w:color w:val="auto"/>
              </w:rPr>
            </w:pPr>
          </w:p>
        </w:tc>
      </w:tr>
      <w:tr>
        <w:trPr>
          <w:trHeight w:val="263"/>
        </w:trPr>
        <w:tc>
          <w:tcPr>
            <w:tcW w:w="54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Cost of revenue</w:t>
            </w: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19,142</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13,918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37,843</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27,144</w:t>
            </w:r>
          </w:p>
        </w:tc>
        <w:tc>
          <w:tcPr>
            <w:tcW w:w="0" w:type="dxa"/>
            <w:vAlign w:val="bottom"/>
          </w:tcPr>
          <w:p>
            <w:pPr>
              <w:spacing w:after="0"/>
              <w:rPr>
                <w:sz w:val="1"/>
                <w:szCs w:val="1"/>
                <w:color w:val="auto"/>
              </w:rPr>
            </w:pPr>
          </w:p>
        </w:tc>
      </w:tr>
      <w:tr>
        <w:trPr>
          <w:trHeight w:val="257"/>
        </w:trPr>
        <w:tc>
          <w:tcPr>
            <w:tcW w:w="5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88,067</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71,466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172,014</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138,541</w:t>
            </w:r>
          </w:p>
        </w:tc>
        <w:tc>
          <w:tcPr>
            <w:tcW w:w="0" w:type="dxa"/>
            <w:vAlign w:val="bottom"/>
          </w:tcPr>
          <w:p>
            <w:pPr>
              <w:spacing w:after="0"/>
              <w:rPr>
                <w:sz w:val="1"/>
                <w:szCs w:val="1"/>
                <w:color w:val="auto"/>
              </w:rPr>
            </w:pPr>
          </w:p>
        </w:tc>
      </w:tr>
      <w:tr>
        <w:trPr>
          <w:trHeight w:val="263"/>
        </w:trPr>
        <w:tc>
          <w:tcPr>
            <w:tcW w:w="54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54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Sales and marketing</w:t>
            </w: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55,443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56,015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115,298</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108,704</w:t>
            </w:r>
          </w:p>
        </w:tc>
        <w:tc>
          <w:tcPr>
            <w:tcW w:w="0" w:type="dxa"/>
            <w:vAlign w:val="bottom"/>
          </w:tcPr>
          <w:p>
            <w:pPr>
              <w:spacing w:after="0"/>
              <w:rPr>
                <w:sz w:val="1"/>
                <w:szCs w:val="1"/>
                <w:color w:val="auto"/>
              </w:rPr>
            </w:pPr>
          </w:p>
        </w:tc>
      </w:tr>
      <w:tr>
        <w:trPr>
          <w:trHeight w:val="263"/>
        </w:trPr>
        <w:tc>
          <w:tcPr>
            <w:tcW w:w="5460" w:type="dxa"/>
            <w:vAlign w:val="bottom"/>
          </w:tcPr>
          <w:p>
            <w:pPr>
              <w:ind w:left="28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22"/>
                <w:szCs w:val="22"/>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25,310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21,698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52,141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43,633</w:t>
            </w:r>
          </w:p>
        </w:tc>
        <w:tc>
          <w:tcPr>
            <w:tcW w:w="0" w:type="dxa"/>
            <w:vAlign w:val="bottom"/>
          </w:tcPr>
          <w:p>
            <w:pPr>
              <w:spacing w:after="0"/>
              <w:rPr>
                <w:sz w:val="1"/>
                <w:szCs w:val="1"/>
                <w:color w:val="auto"/>
              </w:rPr>
            </w:pPr>
          </w:p>
        </w:tc>
      </w:tr>
      <w:tr>
        <w:trPr>
          <w:trHeight w:val="270"/>
        </w:trPr>
        <w:tc>
          <w:tcPr>
            <w:tcW w:w="54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17,879</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15,987</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36,812</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31,123</w:t>
            </w:r>
          </w:p>
        </w:tc>
        <w:tc>
          <w:tcPr>
            <w:tcW w:w="0" w:type="dxa"/>
            <w:vAlign w:val="bottom"/>
          </w:tcPr>
          <w:p>
            <w:pPr>
              <w:spacing w:after="0"/>
              <w:rPr>
                <w:sz w:val="1"/>
                <w:szCs w:val="1"/>
                <w:color w:val="auto"/>
              </w:rPr>
            </w:pPr>
          </w:p>
        </w:tc>
      </w:tr>
      <w:tr>
        <w:trPr>
          <w:trHeight w:val="250"/>
        </w:trPr>
        <w:tc>
          <w:tcPr>
            <w:tcW w:w="54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98,632</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93,700</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204,251</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183,460</w:t>
            </w:r>
          </w:p>
        </w:tc>
        <w:tc>
          <w:tcPr>
            <w:tcW w:w="0" w:type="dxa"/>
            <w:vAlign w:val="bottom"/>
          </w:tcPr>
          <w:p>
            <w:pPr>
              <w:spacing w:after="0"/>
              <w:rPr>
                <w:sz w:val="1"/>
                <w:szCs w:val="1"/>
                <w:color w:val="auto"/>
              </w:rPr>
            </w:pPr>
          </w:p>
        </w:tc>
      </w:tr>
      <w:tr>
        <w:trPr>
          <w:trHeight w:val="257"/>
        </w:trPr>
        <w:tc>
          <w:tcPr>
            <w:tcW w:w="5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(10,565)</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(22,234)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(32,237)</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(44,919)</w:t>
            </w:r>
          </w:p>
        </w:tc>
        <w:tc>
          <w:tcPr>
            <w:tcW w:w="0" w:type="dxa"/>
            <w:vAlign w:val="bottom"/>
          </w:tcPr>
          <w:p>
            <w:pPr>
              <w:spacing w:after="0"/>
              <w:rPr>
                <w:sz w:val="1"/>
                <w:szCs w:val="1"/>
                <w:color w:val="auto"/>
              </w:rPr>
            </w:pPr>
          </w:p>
        </w:tc>
      </w:tr>
      <w:tr>
        <w:trPr>
          <w:trHeight w:val="263"/>
        </w:trPr>
        <w:tc>
          <w:tcPr>
            <w:tcW w:w="5460" w:type="dxa"/>
            <w:vAlign w:val="bottom"/>
          </w:tcPr>
          <w:p>
            <w:pPr>
              <w:ind w:left="280"/>
              <w:spacing w:after="0"/>
              <w:rPr>
                <w:sz w:val="20"/>
                <w:szCs w:val="20"/>
                <w:color w:val="auto"/>
              </w:rPr>
            </w:pPr>
            <w:r>
              <w:rPr>
                <w:rFonts w:ascii="Arial" w:cs="Arial" w:eastAsia="Arial" w:hAnsi="Arial"/>
                <w:sz w:val="18"/>
                <w:szCs w:val="18"/>
                <w:color w:val="auto"/>
              </w:rPr>
              <w:t>Interest income, net</w:t>
            </w:r>
          </w:p>
        </w:tc>
        <w:tc>
          <w:tcPr>
            <w:tcW w:w="200" w:type="dxa"/>
            <w:vAlign w:val="bottom"/>
          </w:tcPr>
          <w:p>
            <w:pPr>
              <w:spacing w:after="0"/>
              <w:rPr>
                <w:sz w:val="22"/>
                <w:szCs w:val="22"/>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455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1,594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1,189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3,150</w:t>
            </w:r>
          </w:p>
        </w:tc>
        <w:tc>
          <w:tcPr>
            <w:tcW w:w="0" w:type="dxa"/>
            <w:vAlign w:val="bottom"/>
          </w:tcPr>
          <w:p>
            <w:pPr>
              <w:spacing w:after="0"/>
              <w:rPr>
                <w:sz w:val="1"/>
                <w:szCs w:val="1"/>
                <w:color w:val="auto"/>
              </w:rPr>
            </w:pPr>
          </w:p>
        </w:tc>
      </w:tr>
      <w:tr>
        <w:trPr>
          <w:trHeight w:val="270"/>
        </w:trPr>
        <w:tc>
          <w:tcPr>
            <w:tcW w:w="54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 expense, net</w:t>
            </w:r>
          </w:p>
        </w:tc>
        <w:tc>
          <w:tcPr>
            <w:tcW w:w="2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(1,258)</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50"/>
        </w:trPr>
        <w:tc>
          <w:tcPr>
            <w:tcW w:w="546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(10,408)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(20,762)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(32,306)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(42,105)</w:t>
            </w:r>
          </w:p>
        </w:tc>
        <w:tc>
          <w:tcPr>
            <w:tcW w:w="0" w:type="dxa"/>
            <w:vAlign w:val="bottom"/>
          </w:tcPr>
          <w:p>
            <w:pPr>
              <w:spacing w:after="0"/>
              <w:rPr>
                <w:sz w:val="1"/>
                <w:szCs w:val="1"/>
                <w:color w:val="auto"/>
              </w:rPr>
            </w:pPr>
          </w:p>
        </w:tc>
      </w:tr>
      <w:tr>
        <w:trPr>
          <w:trHeight w:val="270"/>
        </w:trPr>
        <w:tc>
          <w:tcPr>
            <w:tcW w:w="5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1,552</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866</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2,631</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963</w:t>
            </w:r>
          </w:p>
        </w:tc>
        <w:tc>
          <w:tcPr>
            <w:tcW w:w="0" w:type="dxa"/>
            <w:vAlign w:val="bottom"/>
          </w:tcPr>
          <w:p>
            <w:pPr>
              <w:spacing w:after="0"/>
              <w:rPr>
                <w:sz w:val="1"/>
                <w:szCs w:val="1"/>
                <w:color w:val="auto"/>
              </w:rPr>
            </w:pPr>
          </w:p>
        </w:tc>
      </w:tr>
      <w:tr>
        <w:trPr>
          <w:trHeight w:val="297"/>
        </w:trPr>
        <w:tc>
          <w:tcPr>
            <w:tcW w:w="54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(11,960)</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(21,628)</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(34,937)</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(43,068)</w:t>
            </w:r>
          </w:p>
        </w:tc>
        <w:tc>
          <w:tcPr>
            <w:tcW w:w="0" w:type="dxa"/>
            <w:vAlign w:val="bottom"/>
          </w:tcPr>
          <w:p>
            <w:pPr>
              <w:spacing w:after="0"/>
              <w:rPr>
                <w:sz w:val="1"/>
                <w:szCs w:val="1"/>
                <w:color w:val="auto"/>
              </w:rPr>
            </w:pPr>
          </w:p>
        </w:tc>
      </w:tr>
      <w:tr>
        <w:trPr>
          <w:trHeight w:val="304"/>
        </w:trPr>
        <w:tc>
          <w:tcPr>
            <w:tcW w:w="54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4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 per share, basic and diluted</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(0.23)</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(0.35)</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182"/>
        </w:trPr>
        <w:tc>
          <w:tcPr>
            <w:tcW w:w="5460" w:type="dxa"/>
            <w:vAlign w:val="bottom"/>
            <w:shd w:val="clear" w:color="auto" w:fill="CCEEFF"/>
          </w:tcPr>
          <w:p>
            <w:pPr>
              <w:ind w:left="40"/>
              <w:spacing w:after="0" w:line="182" w:lineRule="exact"/>
              <w:rPr>
                <w:sz w:val="20"/>
                <w:szCs w:val="20"/>
                <w:color w:val="auto"/>
              </w:rPr>
            </w:pPr>
            <w:r>
              <w:rPr>
                <w:rFonts w:ascii="Arial" w:cs="Arial" w:eastAsia="Arial" w:hAnsi="Arial"/>
                <w:sz w:val="18"/>
                <w:szCs w:val="18"/>
                <w:color w:val="auto"/>
              </w:rPr>
              <w:t>Weighted-average shares used to compute net loss per share,</w:t>
            </w:r>
          </w:p>
        </w:tc>
        <w:tc>
          <w:tcPr>
            <w:tcW w:w="20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100,209</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95,820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99,532</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94,785</w:t>
            </w:r>
          </w:p>
        </w:tc>
        <w:tc>
          <w:tcPr>
            <w:tcW w:w="0" w:type="dxa"/>
            <w:vAlign w:val="bottom"/>
          </w:tcPr>
          <w:p>
            <w:pPr>
              <w:spacing w:after="0"/>
              <w:rPr>
                <w:sz w:val="1"/>
                <w:szCs w:val="1"/>
                <w:color w:val="auto"/>
              </w:rPr>
            </w:pPr>
          </w:p>
        </w:tc>
      </w:tr>
      <w:tr>
        <w:trPr>
          <w:trHeight w:val="217"/>
        </w:trPr>
        <w:tc>
          <w:tcPr>
            <w:tcW w:w="54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basic and diluted</w:t>
            </w: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0" w:right="339" w:bottom="1440" w:gutter="0" w:footer="0" w:header="0"/>
        </w:sectPr>
      </w:pPr>
    </w:p>
    <w:bookmarkStart w:id="4" w:name="page5"/>
    <w:bookmarkEnd w:id="4"/>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TENABLE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700" w:type="dxa"/>
            <w:vAlign w:val="bottom"/>
            <w:gridSpan w:val="5"/>
          </w:tcPr>
          <w:p>
            <w:pPr>
              <w:ind w:left="40"/>
              <w:spacing w:after="0"/>
              <w:rPr>
                <w:sz w:val="20"/>
                <w:szCs w:val="20"/>
                <w:color w:val="auto"/>
              </w:rPr>
            </w:pPr>
            <w:r>
              <w:rPr>
                <w:rFonts w:ascii="Arial" w:cs="Arial" w:eastAsia="Arial" w:hAnsi="Arial"/>
                <w:sz w:val="16"/>
                <w:szCs w:val="16"/>
                <w:b w:val="1"/>
                <w:bCs w:val="1"/>
                <w:color w:val="auto"/>
              </w:rPr>
              <w:t>Three Months Ended June 30,</w:t>
            </w:r>
          </w:p>
        </w:tc>
        <w:tc>
          <w:tcPr>
            <w:tcW w:w="260" w:type="dxa"/>
            <w:vAlign w:val="bottom"/>
          </w:tcPr>
          <w:p>
            <w:pPr>
              <w:spacing w:after="0"/>
              <w:rPr>
                <w:sz w:val="19"/>
                <w:szCs w:val="19"/>
                <w:color w:val="auto"/>
              </w:rPr>
            </w:pPr>
          </w:p>
        </w:tc>
        <w:tc>
          <w:tcPr>
            <w:tcW w:w="2580" w:type="dxa"/>
            <w:vAlign w:val="bottom"/>
            <w:gridSpan w:val="4"/>
          </w:tcPr>
          <w:p>
            <w:pPr>
              <w:jc w:val="right"/>
              <w:ind w:right="272"/>
              <w:spacing w:after="0"/>
              <w:rPr>
                <w:sz w:val="20"/>
                <w:szCs w:val="20"/>
                <w:color w:val="auto"/>
              </w:rPr>
            </w:pPr>
            <w:r>
              <w:rPr>
                <w:rFonts w:ascii="Arial" w:cs="Arial" w:eastAsia="Arial" w:hAnsi="Arial"/>
                <w:sz w:val="16"/>
                <w:szCs w:val="16"/>
                <w:b w:val="1"/>
                <w:bCs w:val="1"/>
                <w:color w:val="auto"/>
              </w:rPr>
              <w:t>Six Months Ended June 30,</w:t>
            </w:r>
          </w:p>
        </w:tc>
      </w:tr>
      <w:tr>
        <w:trPr>
          <w:trHeight w:val="263"/>
        </w:trPr>
        <w:tc>
          <w:tcPr>
            <w:tcW w:w="546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2019</w:t>
            </w:r>
          </w:p>
        </w:tc>
      </w:tr>
      <w:tr>
        <w:trPr>
          <w:trHeight w:val="257"/>
        </w:trPr>
        <w:tc>
          <w:tcPr>
            <w:tcW w:w="5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(11,960)</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(21,628)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(34,937)</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(43,068)</w:t>
            </w:r>
          </w:p>
        </w:tc>
      </w:tr>
      <w:tr>
        <w:trPr>
          <w:trHeight w:val="263"/>
        </w:trPr>
        <w:tc>
          <w:tcPr>
            <w:tcW w:w="5460" w:type="dxa"/>
            <w:vAlign w:val="bottom"/>
          </w:tcPr>
          <w:p>
            <w:pPr>
              <w:ind w:left="40"/>
              <w:spacing w:after="0"/>
              <w:rPr>
                <w:sz w:val="20"/>
                <w:szCs w:val="20"/>
                <w:color w:val="auto"/>
              </w:rPr>
            </w:pPr>
            <w:r>
              <w:rPr>
                <w:rFonts w:ascii="Arial" w:cs="Arial" w:eastAsia="Arial" w:hAnsi="Arial"/>
                <w:sz w:val="18"/>
                <w:szCs w:val="18"/>
                <w:color w:val="auto"/>
              </w:rPr>
              <w:t>Other comprehensive (loss) income, net of tax:</w:t>
            </w: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0"/>
        </w:trPr>
        <w:tc>
          <w:tcPr>
            <w:tcW w:w="5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(losses) gains on available-for-sale securities</w:t>
            </w: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80</w:t>
            </w:r>
          </w:p>
        </w:tc>
      </w:tr>
      <w:tr>
        <w:trPr>
          <w:trHeight w:val="250"/>
        </w:trPr>
        <w:tc>
          <w:tcPr>
            <w:tcW w:w="54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comprehensive (loss) income</w:t>
            </w: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80</w:t>
            </w:r>
          </w:p>
        </w:tc>
      </w:tr>
      <w:tr>
        <w:trPr>
          <w:trHeight w:val="257"/>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loss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(11,974)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(21,569)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(34,838)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(42,988)</w:t>
            </w:r>
          </w:p>
        </w:tc>
      </w:tr>
      <w:tr>
        <w:trPr>
          <w:trHeight w:val="20"/>
        </w:trPr>
        <w:tc>
          <w:tcPr>
            <w:tcW w:w="5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628"/>
        </w:trPr>
        <w:tc>
          <w:tcPr>
            <w:tcW w:w="546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5</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240"/>
          </w:cols>
          <w:pgMar w:left="320" w:top="140" w:right="339" w:bottom="1440" w:gutter="0" w:footer="0" w:header="0"/>
        </w:sectPr>
      </w:pPr>
    </w:p>
    <w:bookmarkStart w:id="5" w:name="page6"/>
    <w:bookmarkEnd w:id="5"/>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TENABLE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Accumulated</w:t>
            </w: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20" w:type="dxa"/>
            <w:vAlign w:val="bottom"/>
          </w:tcPr>
          <w:p>
            <w:pPr>
              <w:spacing w:after="0"/>
              <w:rPr>
                <w:sz w:val="16"/>
                <w:szCs w:val="16"/>
                <w:color w:val="auto"/>
              </w:rPr>
            </w:pPr>
          </w:p>
        </w:tc>
        <w:tc>
          <w:tcPr>
            <w:tcW w:w="2500" w:type="dxa"/>
            <w:vAlign w:val="bottom"/>
            <w:gridSpan w:val="5"/>
            <w:vMerge w:val="restart"/>
          </w:tcPr>
          <w:p>
            <w:pPr>
              <w:ind w:left="620"/>
              <w:spacing w:after="0"/>
              <w:rPr>
                <w:sz w:val="20"/>
                <w:szCs w:val="20"/>
                <w:color w:val="auto"/>
              </w:rPr>
            </w:pPr>
            <w:r>
              <w:rPr>
                <w:rFonts w:ascii="Arial" w:cs="Arial" w:eastAsia="Arial" w:hAnsi="Arial"/>
                <w:sz w:val="16"/>
                <w:szCs w:val="16"/>
                <w:b w:val="1"/>
                <w:bCs w:val="1"/>
                <w:color w:val="auto"/>
              </w:rPr>
              <w:t>Common Stock</w:t>
            </w:r>
          </w:p>
        </w:tc>
        <w:tc>
          <w:tcPr>
            <w:tcW w:w="16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Additional</w:t>
            </w:r>
          </w:p>
        </w:tc>
        <w:tc>
          <w:tcPr>
            <w:tcW w:w="160" w:type="dxa"/>
            <w:vAlign w:val="bottom"/>
          </w:tcPr>
          <w:p>
            <w:pPr>
              <w:spacing w:after="0"/>
              <w:rPr>
                <w:sz w:val="16"/>
                <w:szCs w:val="16"/>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center"/>
              <w:ind w:right="79"/>
              <w:spacing w:after="0"/>
              <w:rPr>
                <w:sz w:val="20"/>
                <w:szCs w:val="20"/>
                <w:color w:val="auto"/>
              </w:rPr>
            </w:pPr>
            <w:r>
              <w:rPr>
                <w:rFonts w:ascii="Arial" w:cs="Arial" w:eastAsia="Arial" w:hAnsi="Arial"/>
                <w:sz w:val="16"/>
                <w:szCs w:val="16"/>
                <w:b w:val="1"/>
                <w:bCs w:val="1"/>
                <w:color w:val="auto"/>
                <w:w w:val="99"/>
              </w:rPr>
              <w:t>Total</w:t>
            </w:r>
          </w:p>
        </w:tc>
        <w:tc>
          <w:tcPr>
            <w:tcW w:w="0" w:type="dxa"/>
            <w:vAlign w:val="bottom"/>
          </w:tcPr>
          <w:p>
            <w:pPr>
              <w:spacing w:after="0"/>
              <w:rPr>
                <w:sz w:val="1"/>
                <w:szCs w:val="1"/>
                <w:color w:val="auto"/>
              </w:rPr>
            </w:pPr>
          </w:p>
        </w:tc>
      </w:tr>
      <w:tr>
        <w:trPr>
          <w:trHeight w:val="133"/>
        </w:trPr>
        <w:tc>
          <w:tcPr>
            <w:tcW w:w="2820" w:type="dxa"/>
            <w:vAlign w:val="bottom"/>
          </w:tcPr>
          <w:p>
            <w:pPr>
              <w:spacing w:after="0"/>
              <w:rPr>
                <w:sz w:val="11"/>
                <w:szCs w:val="11"/>
                <w:color w:val="auto"/>
              </w:rPr>
            </w:pPr>
          </w:p>
        </w:tc>
        <w:tc>
          <w:tcPr>
            <w:tcW w:w="2500" w:type="dxa"/>
            <w:vAlign w:val="bottom"/>
            <w:gridSpan w:val="5"/>
            <w:vMerge w:val="continue"/>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rPr>
              <w:t>Paid-in</w:t>
            </w:r>
          </w:p>
        </w:tc>
        <w:tc>
          <w:tcPr>
            <w:tcW w:w="160" w:type="dxa"/>
            <w:vAlign w:val="bottom"/>
          </w:tcPr>
          <w:p>
            <w:pPr>
              <w:spacing w:after="0"/>
              <w:rPr>
                <w:sz w:val="11"/>
                <w:szCs w:val="11"/>
                <w:color w:val="auto"/>
              </w:rPr>
            </w:pPr>
          </w:p>
        </w:tc>
        <w:tc>
          <w:tcPr>
            <w:tcW w:w="152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rPr>
              <w:t>Comprehensive</w:t>
            </w:r>
          </w:p>
        </w:tc>
        <w:tc>
          <w:tcPr>
            <w:tcW w:w="140" w:type="dxa"/>
            <w:vAlign w:val="bottom"/>
          </w:tcPr>
          <w:p>
            <w:pPr>
              <w:spacing w:after="0"/>
              <w:rPr>
                <w:sz w:val="11"/>
                <w:szCs w:val="11"/>
                <w:color w:val="auto"/>
              </w:rPr>
            </w:pPr>
          </w:p>
        </w:tc>
        <w:tc>
          <w:tcPr>
            <w:tcW w:w="132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9"/>
              </w:rPr>
              <w:t>Accumulated</w:t>
            </w:r>
          </w:p>
        </w:tc>
        <w:tc>
          <w:tcPr>
            <w:tcW w:w="160" w:type="dxa"/>
            <w:vAlign w:val="bottom"/>
          </w:tcPr>
          <w:p>
            <w:pPr>
              <w:spacing w:after="0"/>
              <w:rPr>
                <w:sz w:val="11"/>
                <w:szCs w:val="11"/>
                <w:color w:val="auto"/>
              </w:rPr>
            </w:pPr>
          </w:p>
        </w:tc>
        <w:tc>
          <w:tcPr>
            <w:tcW w:w="1300" w:type="dxa"/>
            <w:vAlign w:val="bottom"/>
            <w:vMerge w:val="restart"/>
          </w:tcPr>
          <w:p>
            <w:pPr>
              <w:jc w:val="center"/>
              <w:ind w:right="79"/>
              <w:spacing w:after="0"/>
              <w:rPr>
                <w:sz w:val="20"/>
                <w:szCs w:val="20"/>
                <w:color w:val="auto"/>
              </w:rPr>
            </w:pPr>
            <w:r>
              <w:rPr>
                <w:rFonts w:ascii="Arial" w:cs="Arial" w:eastAsia="Arial" w:hAnsi="Arial"/>
                <w:sz w:val="16"/>
                <w:szCs w:val="16"/>
                <w:b w:val="1"/>
                <w:bCs w:val="1"/>
                <w:color w:val="auto"/>
              </w:rPr>
              <w:t>Stockholders’</w:t>
            </w:r>
          </w:p>
        </w:tc>
        <w:tc>
          <w:tcPr>
            <w:tcW w:w="0" w:type="dxa"/>
            <w:vAlign w:val="bottom"/>
          </w:tcPr>
          <w:p>
            <w:pPr>
              <w:spacing w:after="0"/>
              <w:rPr>
                <w:sz w:val="1"/>
                <w:szCs w:val="1"/>
                <w:color w:val="auto"/>
              </w:rPr>
            </w:pPr>
          </w:p>
        </w:tc>
      </w:tr>
      <w:tr>
        <w:trPr>
          <w:trHeight w:val="36"/>
        </w:trPr>
        <w:tc>
          <w:tcPr>
            <w:tcW w:w="2820" w:type="dxa"/>
            <w:vAlign w:val="bottom"/>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92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152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282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1260" w:type="dxa"/>
            <w:vAlign w:val="bottom"/>
            <w:gridSpan w:val="2"/>
          </w:tcPr>
          <w:p>
            <w:pPr>
              <w:ind w:left="300"/>
              <w:spacing w:after="0"/>
              <w:rPr>
                <w:sz w:val="20"/>
                <w:szCs w:val="20"/>
                <w:color w:val="auto"/>
              </w:rPr>
            </w:pPr>
            <w:r>
              <w:rPr>
                <w:rFonts w:ascii="Arial" w:cs="Arial" w:eastAsia="Arial" w:hAnsi="Arial"/>
                <w:sz w:val="16"/>
                <w:szCs w:val="16"/>
                <w:b w:val="1"/>
                <w:bCs w:val="1"/>
                <w:color w:val="auto"/>
              </w:rPr>
              <w:t>Shares</w:t>
            </w:r>
          </w:p>
        </w:tc>
        <w:tc>
          <w:tcPr>
            <w:tcW w:w="200" w:type="dxa"/>
            <w:vAlign w:val="bottom"/>
          </w:tcPr>
          <w:p>
            <w:pPr>
              <w:spacing w:after="0"/>
              <w:rPr>
                <w:sz w:val="19"/>
                <w:szCs w:val="19"/>
                <w:color w:val="auto"/>
              </w:rPr>
            </w:pPr>
          </w:p>
        </w:tc>
        <w:tc>
          <w:tcPr>
            <w:tcW w:w="1040" w:type="dxa"/>
            <w:vAlign w:val="bottom"/>
            <w:gridSpan w:val="2"/>
          </w:tcPr>
          <w:p>
            <w:pPr>
              <w:ind w:left="60"/>
              <w:spacing w:after="0"/>
              <w:rPr>
                <w:sz w:val="20"/>
                <w:szCs w:val="20"/>
                <w:color w:val="auto"/>
              </w:rPr>
            </w:pPr>
            <w:r>
              <w:rPr>
                <w:rFonts w:ascii="Arial" w:cs="Arial" w:eastAsia="Arial" w:hAnsi="Arial"/>
                <w:sz w:val="16"/>
                <w:szCs w:val="16"/>
                <w:b w:val="1"/>
                <w:bCs w:val="1"/>
                <w:color w:val="auto"/>
              </w:rPr>
              <w:t>Amount</w:t>
            </w:r>
          </w:p>
        </w:tc>
        <w:tc>
          <w:tcPr>
            <w:tcW w:w="160" w:type="dxa"/>
            <w:vAlign w:val="bottom"/>
          </w:tcPr>
          <w:p>
            <w:pPr>
              <w:spacing w:after="0"/>
              <w:rPr>
                <w:sz w:val="19"/>
                <w:szCs w:val="19"/>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Capital</w:t>
            </w:r>
          </w:p>
        </w:tc>
        <w:tc>
          <w:tcPr>
            <w:tcW w:w="160" w:type="dxa"/>
            <w:vAlign w:val="bottom"/>
          </w:tcPr>
          <w:p>
            <w:pPr>
              <w:spacing w:after="0"/>
              <w:rPr>
                <w:sz w:val="19"/>
                <w:szCs w:val="19"/>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Income</w:t>
            </w:r>
          </w:p>
        </w:tc>
        <w:tc>
          <w:tcPr>
            <w:tcW w:w="140" w:type="dxa"/>
            <w:vAlign w:val="bottom"/>
          </w:tcPr>
          <w:p>
            <w:pPr>
              <w:spacing w:after="0"/>
              <w:rPr>
                <w:sz w:val="19"/>
                <w:szCs w:val="19"/>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8"/>
              </w:rPr>
              <w:t>Deficit</w:t>
            </w:r>
          </w:p>
        </w:tc>
        <w:tc>
          <w:tcPr>
            <w:tcW w:w="160" w:type="dxa"/>
            <w:vAlign w:val="bottom"/>
          </w:tcPr>
          <w:p>
            <w:pPr>
              <w:spacing w:after="0"/>
              <w:rPr>
                <w:sz w:val="19"/>
                <w:szCs w:val="19"/>
                <w:color w:val="auto"/>
              </w:rPr>
            </w:pPr>
          </w:p>
        </w:tc>
        <w:tc>
          <w:tcPr>
            <w:tcW w:w="1300" w:type="dxa"/>
            <w:vAlign w:val="bottom"/>
          </w:tcPr>
          <w:p>
            <w:pPr>
              <w:jc w:val="center"/>
              <w:ind w:right="79"/>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57"/>
        </w:trPr>
        <w:tc>
          <w:tcPr>
            <w:tcW w:w="28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March 31, 2020</w:t>
            </w:r>
          </w:p>
        </w:tc>
        <w:tc>
          <w:tcPr>
            <w:tcW w:w="11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100,003</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1,000</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687,311</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163</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(588,098)</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100,376</w:t>
            </w:r>
          </w:p>
        </w:tc>
        <w:tc>
          <w:tcPr>
            <w:tcW w:w="0" w:type="dxa"/>
            <w:vAlign w:val="bottom"/>
          </w:tcPr>
          <w:p>
            <w:pPr>
              <w:spacing w:after="0"/>
              <w:rPr>
                <w:sz w:val="1"/>
                <w:szCs w:val="1"/>
                <w:color w:val="auto"/>
              </w:rPr>
            </w:pPr>
          </w:p>
        </w:tc>
      </w:tr>
      <w:tr>
        <w:trPr>
          <w:trHeight w:val="260"/>
        </w:trPr>
        <w:tc>
          <w:tcPr>
            <w:tcW w:w="2820" w:type="dxa"/>
            <w:vAlign w:val="bottom"/>
          </w:tcPr>
          <w:p>
            <w:pPr>
              <w:ind w:left="40"/>
              <w:spacing w:after="0"/>
              <w:rPr>
                <w:sz w:val="20"/>
                <w:szCs w:val="20"/>
                <w:color w:val="auto"/>
              </w:rPr>
            </w:pPr>
            <w:r>
              <w:rPr>
                <w:rFonts w:ascii="Arial" w:cs="Arial" w:eastAsia="Arial" w:hAnsi="Arial"/>
                <w:sz w:val="16"/>
                <w:szCs w:val="16"/>
                <w:color w:val="auto"/>
              </w:rPr>
              <w:t>Exercise of stock options</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959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6,986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6,996</w:t>
            </w:r>
          </w:p>
        </w:tc>
        <w:tc>
          <w:tcPr>
            <w:tcW w:w="0" w:type="dxa"/>
            <w:vAlign w:val="bottom"/>
          </w:tcPr>
          <w:p>
            <w:pPr>
              <w:spacing w:after="0"/>
              <w:rPr>
                <w:sz w:val="1"/>
                <w:szCs w:val="1"/>
                <w:color w:val="auto"/>
              </w:rPr>
            </w:pPr>
          </w:p>
        </w:tc>
      </w:tr>
      <w:tr>
        <w:trPr>
          <w:trHeight w:val="280"/>
        </w:trPr>
        <w:tc>
          <w:tcPr>
            <w:tcW w:w="2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Vesting of restricted stock units</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2820" w:type="dxa"/>
            <w:vAlign w:val="bottom"/>
          </w:tcPr>
          <w:p>
            <w:pPr>
              <w:ind w:left="40"/>
              <w:spacing w:after="0"/>
              <w:rPr>
                <w:sz w:val="20"/>
                <w:szCs w:val="20"/>
                <w:color w:val="auto"/>
              </w:rPr>
            </w:pPr>
            <w:r>
              <w:rPr>
                <w:rFonts w:ascii="Arial" w:cs="Arial" w:eastAsia="Arial" w:hAnsi="Arial"/>
                <w:sz w:val="16"/>
                <w:szCs w:val="16"/>
                <w:color w:val="auto"/>
              </w:rPr>
              <w:t>Stock-based compensation</w:t>
            </w: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15,770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15,770</w:t>
            </w:r>
          </w:p>
        </w:tc>
        <w:tc>
          <w:tcPr>
            <w:tcW w:w="0" w:type="dxa"/>
            <w:vAlign w:val="bottom"/>
          </w:tcPr>
          <w:p>
            <w:pPr>
              <w:spacing w:after="0"/>
              <w:rPr>
                <w:sz w:val="1"/>
                <w:szCs w:val="1"/>
                <w:color w:val="auto"/>
              </w:rPr>
            </w:pPr>
          </w:p>
        </w:tc>
      </w:tr>
      <w:tr>
        <w:trPr>
          <w:trHeight w:val="280"/>
        </w:trPr>
        <w:tc>
          <w:tcPr>
            <w:tcW w:w="2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comprehensive loss</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63"/>
        </w:trPr>
        <w:tc>
          <w:tcPr>
            <w:tcW w:w="2820" w:type="dxa"/>
            <w:vAlign w:val="bottom"/>
          </w:tcPr>
          <w:p>
            <w:pPr>
              <w:ind w:left="40"/>
              <w:spacing w:after="0"/>
              <w:rPr>
                <w:sz w:val="20"/>
                <w:szCs w:val="20"/>
                <w:color w:val="auto"/>
              </w:rPr>
            </w:pPr>
            <w:r>
              <w:rPr>
                <w:rFonts w:ascii="Arial" w:cs="Arial" w:eastAsia="Arial" w:hAnsi="Arial"/>
                <w:sz w:val="16"/>
                <w:szCs w:val="16"/>
                <w:color w:val="auto"/>
              </w:rPr>
              <w:t>Net loss</w:t>
            </w: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(11,960)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(11,960)</w:t>
            </w:r>
          </w:p>
        </w:tc>
        <w:tc>
          <w:tcPr>
            <w:tcW w:w="0" w:type="dxa"/>
            <w:vAlign w:val="bottom"/>
          </w:tcPr>
          <w:p>
            <w:pPr>
              <w:spacing w:after="0"/>
              <w:rPr>
                <w:sz w:val="1"/>
                <w:szCs w:val="1"/>
                <w:color w:val="auto"/>
              </w:rPr>
            </w:pPr>
          </w:p>
        </w:tc>
      </w:tr>
      <w:tr>
        <w:trPr>
          <w:trHeight w:val="240"/>
        </w:trPr>
        <w:tc>
          <w:tcPr>
            <w:tcW w:w="28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June 30, 2020</w:t>
            </w:r>
          </w:p>
        </w:tc>
        <w:tc>
          <w:tcPr>
            <w:tcW w:w="11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101,127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1,011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710,066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(600,058)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111,168</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2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8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31, 2019</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98,587</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986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662,990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(565,121)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98,905</w:t>
            </w:r>
          </w:p>
        </w:tc>
        <w:tc>
          <w:tcPr>
            <w:tcW w:w="0" w:type="dxa"/>
            <w:vAlign w:val="bottom"/>
          </w:tcPr>
          <w:p>
            <w:pPr>
              <w:spacing w:after="0"/>
              <w:rPr>
                <w:sz w:val="1"/>
                <w:szCs w:val="1"/>
                <w:color w:val="auto"/>
              </w:rPr>
            </w:pPr>
          </w:p>
        </w:tc>
      </w:tr>
      <w:tr>
        <w:trPr>
          <w:trHeight w:val="260"/>
        </w:trPr>
        <w:tc>
          <w:tcPr>
            <w:tcW w:w="2820" w:type="dxa"/>
            <w:vAlign w:val="bottom"/>
          </w:tcPr>
          <w:p>
            <w:pPr>
              <w:ind w:left="40"/>
              <w:spacing w:after="0"/>
              <w:rPr>
                <w:sz w:val="20"/>
                <w:szCs w:val="20"/>
                <w:color w:val="auto"/>
              </w:rPr>
            </w:pPr>
            <w:r>
              <w:rPr>
                <w:rFonts w:ascii="Arial" w:cs="Arial" w:eastAsia="Arial" w:hAnsi="Arial"/>
                <w:sz w:val="16"/>
                <w:szCs w:val="16"/>
                <w:color w:val="auto"/>
              </w:rPr>
              <w:t>Exercise of stock options</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1,594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10,958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10,974</w:t>
            </w:r>
          </w:p>
        </w:tc>
        <w:tc>
          <w:tcPr>
            <w:tcW w:w="0" w:type="dxa"/>
            <w:vAlign w:val="bottom"/>
          </w:tcPr>
          <w:p>
            <w:pPr>
              <w:spacing w:after="0"/>
              <w:rPr>
                <w:sz w:val="1"/>
                <w:szCs w:val="1"/>
                <w:color w:val="auto"/>
              </w:rPr>
            </w:pPr>
          </w:p>
        </w:tc>
      </w:tr>
      <w:tr>
        <w:trPr>
          <w:trHeight w:val="280"/>
        </w:trPr>
        <w:tc>
          <w:tcPr>
            <w:tcW w:w="2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Vesting of restricted stock units</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568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8"/>
        </w:trPr>
        <w:tc>
          <w:tcPr>
            <w:tcW w:w="2820" w:type="dxa"/>
            <w:vAlign w:val="bottom"/>
          </w:tcPr>
          <w:p>
            <w:pPr>
              <w:ind w:left="40"/>
              <w:spacing w:after="0"/>
              <w:rPr>
                <w:sz w:val="20"/>
                <w:szCs w:val="20"/>
                <w:color w:val="auto"/>
              </w:rPr>
            </w:pPr>
            <w:r>
              <w:rPr>
                <w:rFonts w:ascii="Arial" w:cs="Arial" w:eastAsia="Arial" w:hAnsi="Arial"/>
                <w:sz w:val="16"/>
                <w:szCs w:val="16"/>
                <w:color w:val="auto"/>
              </w:rPr>
              <w:t>Issuance of common stock under</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820" w:type="dxa"/>
            <w:vAlign w:val="bottom"/>
          </w:tcPr>
          <w:p>
            <w:pPr>
              <w:ind w:left="40"/>
              <w:spacing w:after="0"/>
              <w:rPr>
                <w:sz w:val="20"/>
                <w:szCs w:val="20"/>
                <w:color w:val="auto"/>
              </w:rPr>
            </w:pPr>
            <w:r>
              <w:rPr>
                <w:rFonts w:ascii="Arial" w:cs="Arial" w:eastAsia="Arial" w:hAnsi="Arial"/>
                <w:sz w:val="16"/>
                <w:szCs w:val="16"/>
                <w:color w:val="auto"/>
              </w:rPr>
              <w:t>employee stock purchase plan</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378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7,303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7,307</w:t>
            </w:r>
          </w:p>
        </w:tc>
        <w:tc>
          <w:tcPr>
            <w:tcW w:w="0" w:type="dxa"/>
            <w:vAlign w:val="bottom"/>
          </w:tcPr>
          <w:p>
            <w:pPr>
              <w:spacing w:after="0"/>
              <w:rPr>
                <w:sz w:val="1"/>
                <w:szCs w:val="1"/>
                <w:color w:val="auto"/>
              </w:rPr>
            </w:pPr>
          </w:p>
        </w:tc>
      </w:tr>
      <w:tr>
        <w:trPr>
          <w:trHeight w:val="280"/>
        </w:trPr>
        <w:tc>
          <w:tcPr>
            <w:tcW w:w="2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Stock-based compensation</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28,820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28,820</w:t>
            </w:r>
          </w:p>
        </w:tc>
        <w:tc>
          <w:tcPr>
            <w:tcW w:w="0" w:type="dxa"/>
            <w:vAlign w:val="bottom"/>
          </w:tcPr>
          <w:p>
            <w:pPr>
              <w:spacing w:after="0"/>
              <w:rPr>
                <w:sz w:val="1"/>
                <w:szCs w:val="1"/>
                <w:color w:val="auto"/>
              </w:rPr>
            </w:pPr>
          </w:p>
        </w:tc>
      </w:tr>
      <w:tr>
        <w:trPr>
          <w:trHeight w:val="260"/>
        </w:trPr>
        <w:tc>
          <w:tcPr>
            <w:tcW w:w="2820" w:type="dxa"/>
            <w:vAlign w:val="bottom"/>
          </w:tcPr>
          <w:p>
            <w:pPr>
              <w:ind w:left="40"/>
              <w:spacing w:after="0"/>
              <w:rPr>
                <w:sz w:val="20"/>
                <w:szCs w:val="20"/>
                <w:color w:val="auto"/>
              </w:rPr>
            </w:pPr>
            <w:r>
              <w:rPr>
                <w:rFonts w:ascii="Arial" w:cs="Arial" w:eastAsia="Arial" w:hAnsi="Arial"/>
                <w:sz w:val="16"/>
                <w:szCs w:val="16"/>
                <w:color w:val="auto"/>
              </w:rPr>
              <w:t>Other comprehensive income</w:t>
            </w: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80"/>
        </w:trPr>
        <w:tc>
          <w:tcPr>
            <w:tcW w:w="2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(34,937)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(34,937)</w:t>
            </w:r>
          </w:p>
        </w:tc>
        <w:tc>
          <w:tcPr>
            <w:tcW w:w="0" w:type="dxa"/>
            <w:vAlign w:val="bottom"/>
          </w:tcPr>
          <w:p>
            <w:pPr>
              <w:spacing w:after="0"/>
              <w:rPr>
                <w:sz w:val="1"/>
                <w:szCs w:val="1"/>
                <w:color w:val="auto"/>
              </w:rPr>
            </w:pPr>
          </w:p>
        </w:tc>
      </w:tr>
      <w:tr>
        <w:trPr>
          <w:trHeight w:val="273"/>
        </w:trPr>
        <w:tc>
          <w:tcPr>
            <w:tcW w:w="282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Balance at June 30, 2020</w:t>
            </w:r>
          </w:p>
        </w:tc>
        <w:tc>
          <w:tcPr>
            <w:tcW w:w="11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101,127</w:t>
            </w:r>
          </w:p>
        </w:tc>
        <w:tc>
          <w:tcPr>
            <w:tcW w:w="120" w:type="dxa"/>
            <w:vAlign w:val="bottom"/>
            <w:tcBorders>
              <w:bottom w:val="single" w:sz="8" w:color="CCEEFF"/>
            </w:tcBorders>
          </w:tcPr>
          <w:p>
            <w:pPr>
              <w:spacing w:after="0"/>
              <w:rPr>
                <w:sz w:val="23"/>
                <w:szCs w:val="23"/>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1,011</w:t>
            </w:r>
          </w:p>
        </w:tc>
        <w:tc>
          <w:tcPr>
            <w:tcW w:w="120" w:type="dxa"/>
            <w:vAlign w:val="bottom"/>
            <w:tcBorders>
              <w:bottom w:val="single" w:sz="8" w:color="CCEEFF"/>
            </w:tcBorders>
          </w:tcPr>
          <w:p>
            <w:pPr>
              <w:spacing w:after="0"/>
              <w:rPr>
                <w:sz w:val="23"/>
                <w:szCs w:val="23"/>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710,066</w:t>
            </w:r>
          </w:p>
        </w:tc>
        <w:tc>
          <w:tcPr>
            <w:tcW w:w="100" w:type="dxa"/>
            <w:vAlign w:val="bottom"/>
            <w:tcBorders>
              <w:bottom w:val="single" w:sz="8" w:color="CCEEFF"/>
            </w:tcBorders>
          </w:tcPr>
          <w:p>
            <w:pPr>
              <w:spacing w:after="0"/>
              <w:rPr>
                <w:sz w:val="23"/>
                <w:szCs w:val="23"/>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149</w:t>
            </w:r>
          </w:p>
        </w:tc>
        <w:tc>
          <w:tcPr>
            <w:tcW w:w="100" w:type="dxa"/>
            <w:vAlign w:val="bottom"/>
            <w:tcBorders>
              <w:bottom w:val="single" w:sz="8" w:color="CCEEFF"/>
            </w:tcBorders>
          </w:tcPr>
          <w:p>
            <w:pPr>
              <w:spacing w:after="0"/>
              <w:rPr>
                <w:sz w:val="23"/>
                <w:szCs w:val="2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(600,058)</w:t>
            </w:r>
          </w:p>
        </w:tc>
        <w:tc>
          <w:tcPr>
            <w:tcW w:w="100" w:type="dxa"/>
            <w:vAlign w:val="bottom"/>
            <w:tcBorders>
              <w:bottom w:val="single" w:sz="8" w:color="CCEEFF"/>
            </w:tcBorders>
          </w:tcPr>
          <w:p>
            <w:pPr>
              <w:spacing w:after="0"/>
              <w:rPr>
                <w:sz w:val="23"/>
                <w:szCs w:val="23"/>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111,168</w:t>
            </w:r>
          </w:p>
        </w:tc>
        <w:tc>
          <w:tcPr>
            <w:tcW w:w="0" w:type="dxa"/>
            <w:vAlign w:val="bottom"/>
          </w:tcPr>
          <w:p>
            <w:pPr>
              <w:spacing w:after="0"/>
              <w:rPr>
                <w:sz w:val="1"/>
                <w:szCs w:val="1"/>
                <w:color w:val="auto"/>
              </w:rPr>
            </w:pPr>
          </w:p>
        </w:tc>
      </w:tr>
      <w:tr>
        <w:trPr>
          <w:trHeight w:val="280"/>
        </w:trPr>
        <w:tc>
          <w:tcPr>
            <w:tcW w:w="28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820" w:type="dxa"/>
            <w:vAlign w:val="bottom"/>
          </w:tcPr>
          <w:p>
            <w:pPr>
              <w:ind w:left="40"/>
              <w:spacing w:after="0"/>
              <w:rPr>
                <w:sz w:val="20"/>
                <w:szCs w:val="20"/>
                <w:color w:val="auto"/>
              </w:rPr>
            </w:pPr>
            <w:r>
              <w:rPr>
                <w:rFonts w:ascii="Arial" w:cs="Arial" w:eastAsia="Arial" w:hAnsi="Arial"/>
                <w:sz w:val="16"/>
                <w:szCs w:val="16"/>
                <w:b w:val="1"/>
                <w:bCs w:val="1"/>
                <w:color w:val="auto"/>
              </w:rPr>
              <w:t>Balance at March 31, 2019</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96,203</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962</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614,774</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(487,548)</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128,209</w:t>
            </w:r>
          </w:p>
        </w:tc>
        <w:tc>
          <w:tcPr>
            <w:tcW w:w="0" w:type="dxa"/>
            <w:vAlign w:val="bottom"/>
          </w:tcPr>
          <w:p>
            <w:pPr>
              <w:spacing w:after="0"/>
              <w:rPr>
                <w:sz w:val="1"/>
                <w:szCs w:val="1"/>
                <w:color w:val="auto"/>
              </w:rPr>
            </w:pPr>
          </w:p>
        </w:tc>
      </w:tr>
      <w:tr>
        <w:trPr>
          <w:trHeight w:val="280"/>
        </w:trPr>
        <w:tc>
          <w:tcPr>
            <w:tcW w:w="2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Exercise of stock options</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604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2,843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2,849</w:t>
            </w:r>
          </w:p>
        </w:tc>
        <w:tc>
          <w:tcPr>
            <w:tcW w:w="0" w:type="dxa"/>
            <w:vAlign w:val="bottom"/>
          </w:tcPr>
          <w:p>
            <w:pPr>
              <w:spacing w:after="0"/>
              <w:rPr>
                <w:sz w:val="1"/>
                <w:szCs w:val="1"/>
                <w:color w:val="auto"/>
              </w:rPr>
            </w:pPr>
          </w:p>
        </w:tc>
      </w:tr>
      <w:tr>
        <w:trPr>
          <w:trHeight w:val="260"/>
        </w:trPr>
        <w:tc>
          <w:tcPr>
            <w:tcW w:w="2820" w:type="dxa"/>
            <w:vAlign w:val="bottom"/>
          </w:tcPr>
          <w:p>
            <w:pPr>
              <w:ind w:left="40"/>
              <w:spacing w:after="0"/>
              <w:rPr>
                <w:sz w:val="20"/>
                <w:szCs w:val="20"/>
                <w:color w:val="auto"/>
              </w:rPr>
            </w:pPr>
            <w:r>
              <w:rPr>
                <w:rFonts w:ascii="Arial" w:cs="Arial" w:eastAsia="Arial" w:hAnsi="Arial"/>
                <w:sz w:val="16"/>
                <w:szCs w:val="16"/>
                <w:color w:val="auto"/>
              </w:rPr>
              <w:t>Vesting of restricted stock units</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2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Stock-based compensation</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11,470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11,470</w:t>
            </w:r>
          </w:p>
        </w:tc>
        <w:tc>
          <w:tcPr>
            <w:tcW w:w="0" w:type="dxa"/>
            <w:vAlign w:val="bottom"/>
          </w:tcPr>
          <w:p>
            <w:pPr>
              <w:spacing w:after="0"/>
              <w:rPr>
                <w:sz w:val="1"/>
                <w:szCs w:val="1"/>
                <w:color w:val="auto"/>
              </w:rPr>
            </w:pPr>
          </w:p>
        </w:tc>
      </w:tr>
      <w:tr>
        <w:trPr>
          <w:trHeight w:val="260"/>
        </w:trPr>
        <w:tc>
          <w:tcPr>
            <w:tcW w:w="2820" w:type="dxa"/>
            <w:vAlign w:val="bottom"/>
          </w:tcPr>
          <w:p>
            <w:pPr>
              <w:ind w:left="40"/>
              <w:spacing w:after="0"/>
              <w:rPr>
                <w:sz w:val="20"/>
                <w:szCs w:val="20"/>
                <w:color w:val="auto"/>
              </w:rPr>
            </w:pPr>
            <w:r>
              <w:rPr>
                <w:rFonts w:ascii="Arial" w:cs="Arial" w:eastAsia="Arial" w:hAnsi="Arial"/>
                <w:sz w:val="16"/>
                <w:szCs w:val="16"/>
                <w:color w:val="auto"/>
              </w:rPr>
              <w:t>Other comprehensive income</w:t>
            </w: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80"/>
        </w:trPr>
        <w:tc>
          <w:tcPr>
            <w:tcW w:w="2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(21,628)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(21,628)</w:t>
            </w:r>
          </w:p>
        </w:tc>
        <w:tc>
          <w:tcPr>
            <w:tcW w:w="0" w:type="dxa"/>
            <w:vAlign w:val="bottom"/>
          </w:tcPr>
          <w:p>
            <w:pPr>
              <w:spacing w:after="0"/>
              <w:rPr>
                <w:sz w:val="1"/>
                <w:szCs w:val="1"/>
                <w:color w:val="auto"/>
              </w:rPr>
            </w:pPr>
          </w:p>
        </w:tc>
      </w:tr>
      <w:tr>
        <w:trPr>
          <w:trHeight w:val="273"/>
        </w:trPr>
        <w:tc>
          <w:tcPr>
            <w:tcW w:w="282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Balance at June 30, 2019</w:t>
            </w:r>
          </w:p>
        </w:tc>
        <w:tc>
          <w:tcPr>
            <w:tcW w:w="11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96,808</w:t>
            </w:r>
          </w:p>
        </w:tc>
        <w:tc>
          <w:tcPr>
            <w:tcW w:w="120" w:type="dxa"/>
            <w:vAlign w:val="bottom"/>
            <w:tcBorders>
              <w:bottom w:val="single" w:sz="8" w:color="CCEEFF"/>
            </w:tcBorders>
          </w:tcPr>
          <w:p>
            <w:pPr>
              <w:spacing w:after="0"/>
              <w:rPr>
                <w:sz w:val="23"/>
                <w:szCs w:val="23"/>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968</w:t>
            </w:r>
          </w:p>
        </w:tc>
        <w:tc>
          <w:tcPr>
            <w:tcW w:w="120" w:type="dxa"/>
            <w:vAlign w:val="bottom"/>
            <w:tcBorders>
              <w:bottom w:val="single" w:sz="8" w:color="CCEEFF"/>
            </w:tcBorders>
          </w:tcPr>
          <w:p>
            <w:pPr>
              <w:spacing w:after="0"/>
              <w:rPr>
                <w:sz w:val="23"/>
                <w:szCs w:val="23"/>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629,087</w:t>
            </w:r>
          </w:p>
        </w:tc>
        <w:tc>
          <w:tcPr>
            <w:tcW w:w="100" w:type="dxa"/>
            <w:vAlign w:val="bottom"/>
            <w:tcBorders>
              <w:bottom w:val="single" w:sz="8" w:color="CCEEFF"/>
            </w:tcBorders>
          </w:tcPr>
          <w:p>
            <w:pPr>
              <w:spacing w:after="0"/>
              <w:rPr>
                <w:sz w:val="23"/>
                <w:szCs w:val="23"/>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80</w:t>
            </w:r>
          </w:p>
        </w:tc>
        <w:tc>
          <w:tcPr>
            <w:tcW w:w="100" w:type="dxa"/>
            <w:vAlign w:val="bottom"/>
            <w:tcBorders>
              <w:bottom w:val="single" w:sz="8" w:color="CCEEFF"/>
            </w:tcBorders>
          </w:tcPr>
          <w:p>
            <w:pPr>
              <w:spacing w:after="0"/>
              <w:rPr>
                <w:sz w:val="23"/>
                <w:szCs w:val="2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(509,176)</w:t>
            </w:r>
          </w:p>
        </w:tc>
        <w:tc>
          <w:tcPr>
            <w:tcW w:w="100" w:type="dxa"/>
            <w:vAlign w:val="bottom"/>
            <w:tcBorders>
              <w:bottom w:val="single" w:sz="8" w:color="CCEEFF"/>
            </w:tcBorders>
          </w:tcPr>
          <w:p>
            <w:pPr>
              <w:spacing w:after="0"/>
              <w:rPr>
                <w:sz w:val="23"/>
                <w:szCs w:val="23"/>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120,959</w:t>
            </w:r>
          </w:p>
        </w:tc>
        <w:tc>
          <w:tcPr>
            <w:tcW w:w="0" w:type="dxa"/>
            <w:vAlign w:val="bottom"/>
          </w:tcPr>
          <w:p>
            <w:pPr>
              <w:spacing w:after="0"/>
              <w:rPr>
                <w:sz w:val="1"/>
                <w:szCs w:val="1"/>
                <w:color w:val="auto"/>
              </w:rPr>
            </w:pPr>
          </w:p>
        </w:tc>
      </w:tr>
      <w:tr>
        <w:trPr>
          <w:trHeight w:val="280"/>
        </w:trPr>
        <w:tc>
          <w:tcPr>
            <w:tcW w:w="28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820" w:type="dxa"/>
            <w:vAlign w:val="bottom"/>
          </w:tcPr>
          <w:p>
            <w:pPr>
              <w:ind w:left="40"/>
              <w:spacing w:after="0"/>
              <w:rPr>
                <w:sz w:val="20"/>
                <w:szCs w:val="20"/>
                <w:color w:val="auto"/>
              </w:rPr>
            </w:pPr>
            <w:r>
              <w:rPr>
                <w:rFonts w:ascii="Arial" w:cs="Arial" w:eastAsia="Arial" w:hAnsi="Arial"/>
                <w:sz w:val="16"/>
                <w:szCs w:val="16"/>
                <w:b w:val="1"/>
                <w:bCs w:val="1"/>
                <w:color w:val="auto"/>
              </w:rPr>
              <w:t>Balance at December 31, 2018</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93,126</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931</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586,940</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(466,108)</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121,763</w:t>
            </w:r>
          </w:p>
        </w:tc>
        <w:tc>
          <w:tcPr>
            <w:tcW w:w="0" w:type="dxa"/>
            <w:vAlign w:val="bottom"/>
          </w:tcPr>
          <w:p>
            <w:pPr>
              <w:spacing w:after="0"/>
              <w:rPr>
                <w:sz w:val="1"/>
                <w:szCs w:val="1"/>
                <w:color w:val="auto"/>
              </w:rPr>
            </w:pPr>
          </w:p>
        </w:tc>
      </w:tr>
      <w:tr>
        <w:trPr>
          <w:trHeight w:val="280"/>
        </w:trPr>
        <w:tc>
          <w:tcPr>
            <w:tcW w:w="2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Exercise of stock options</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3,242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12,695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12,727</w:t>
            </w:r>
          </w:p>
        </w:tc>
        <w:tc>
          <w:tcPr>
            <w:tcW w:w="0" w:type="dxa"/>
            <w:vAlign w:val="bottom"/>
          </w:tcPr>
          <w:p>
            <w:pPr>
              <w:spacing w:after="0"/>
              <w:rPr>
                <w:sz w:val="1"/>
                <w:szCs w:val="1"/>
                <w:color w:val="auto"/>
              </w:rPr>
            </w:pPr>
          </w:p>
        </w:tc>
      </w:tr>
      <w:tr>
        <w:trPr>
          <w:trHeight w:val="260"/>
        </w:trPr>
        <w:tc>
          <w:tcPr>
            <w:tcW w:w="2820" w:type="dxa"/>
            <w:vAlign w:val="bottom"/>
          </w:tcPr>
          <w:p>
            <w:pPr>
              <w:ind w:left="40"/>
              <w:spacing w:after="0"/>
              <w:rPr>
                <w:sz w:val="20"/>
                <w:szCs w:val="20"/>
                <w:color w:val="auto"/>
              </w:rPr>
            </w:pPr>
            <w:r>
              <w:rPr>
                <w:rFonts w:ascii="Arial" w:cs="Arial" w:eastAsia="Arial" w:hAnsi="Arial"/>
                <w:sz w:val="16"/>
                <w:szCs w:val="16"/>
                <w:color w:val="auto"/>
              </w:rPr>
              <w:t>Vesting of restricted stock units</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8"/>
        </w:trPr>
        <w:tc>
          <w:tcPr>
            <w:tcW w:w="2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Issuance of common stock under</w:t>
            </w: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employee stock purchase plan</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439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8,574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8,579</w:t>
            </w:r>
          </w:p>
        </w:tc>
        <w:tc>
          <w:tcPr>
            <w:tcW w:w="0" w:type="dxa"/>
            <w:vAlign w:val="bottom"/>
          </w:tcPr>
          <w:p>
            <w:pPr>
              <w:spacing w:after="0"/>
              <w:rPr>
                <w:sz w:val="1"/>
                <w:szCs w:val="1"/>
                <w:color w:val="auto"/>
              </w:rPr>
            </w:pPr>
          </w:p>
        </w:tc>
      </w:tr>
      <w:tr>
        <w:trPr>
          <w:trHeight w:val="260"/>
        </w:trPr>
        <w:tc>
          <w:tcPr>
            <w:tcW w:w="2820" w:type="dxa"/>
            <w:vAlign w:val="bottom"/>
          </w:tcPr>
          <w:p>
            <w:pPr>
              <w:ind w:left="40"/>
              <w:spacing w:after="0"/>
              <w:rPr>
                <w:sz w:val="20"/>
                <w:szCs w:val="20"/>
                <w:color w:val="auto"/>
              </w:rPr>
            </w:pPr>
            <w:r>
              <w:rPr>
                <w:rFonts w:ascii="Arial" w:cs="Arial" w:eastAsia="Arial" w:hAnsi="Arial"/>
                <w:sz w:val="16"/>
                <w:szCs w:val="16"/>
                <w:color w:val="auto"/>
              </w:rPr>
              <w:t>Stock-based compensation</w:t>
            </w: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20,878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20,878</w:t>
            </w:r>
          </w:p>
        </w:tc>
        <w:tc>
          <w:tcPr>
            <w:tcW w:w="0" w:type="dxa"/>
            <w:vAlign w:val="bottom"/>
          </w:tcPr>
          <w:p>
            <w:pPr>
              <w:spacing w:after="0"/>
              <w:rPr>
                <w:sz w:val="1"/>
                <w:szCs w:val="1"/>
                <w:color w:val="auto"/>
              </w:rPr>
            </w:pPr>
          </w:p>
        </w:tc>
      </w:tr>
      <w:tr>
        <w:trPr>
          <w:trHeight w:val="280"/>
        </w:trPr>
        <w:tc>
          <w:tcPr>
            <w:tcW w:w="2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comprehensive income</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63"/>
        </w:trPr>
        <w:tc>
          <w:tcPr>
            <w:tcW w:w="2820" w:type="dxa"/>
            <w:vAlign w:val="bottom"/>
          </w:tcPr>
          <w:p>
            <w:pPr>
              <w:ind w:left="40"/>
              <w:spacing w:after="0"/>
              <w:rPr>
                <w:sz w:val="20"/>
                <w:szCs w:val="20"/>
                <w:color w:val="auto"/>
              </w:rPr>
            </w:pPr>
            <w:r>
              <w:rPr>
                <w:rFonts w:ascii="Arial" w:cs="Arial" w:eastAsia="Arial" w:hAnsi="Arial"/>
                <w:sz w:val="16"/>
                <w:szCs w:val="16"/>
                <w:color w:val="auto"/>
              </w:rPr>
              <w:t>Net loss</w:t>
            </w: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(43,068)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(43,068)</w:t>
            </w:r>
          </w:p>
        </w:tc>
        <w:tc>
          <w:tcPr>
            <w:tcW w:w="0" w:type="dxa"/>
            <w:vAlign w:val="bottom"/>
          </w:tcPr>
          <w:p>
            <w:pPr>
              <w:spacing w:after="0"/>
              <w:rPr>
                <w:sz w:val="1"/>
                <w:szCs w:val="1"/>
                <w:color w:val="auto"/>
              </w:rPr>
            </w:pPr>
          </w:p>
        </w:tc>
      </w:tr>
      <w:tr>
        <w:trPr>
          <w:trHeight w:val="240"/>
        </w:trPr>
        <w:tc>
          <w:tcPr>
            <w:tcW w:w="28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June 30, 2019</w:t>
            </w:r>
          </w:p>
        </w:tc>
        <w:tc>
          <w:tcPr>
            <w:tcW w:w="11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96,808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968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629,087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(509,176)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120,959</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40" w:right="339" w:bottom="1440" w:gutter="0" w:footer="0" w:header="0"/>
        </w:sectPr>
      </w:pPr>
    </w:p>
    <w:bookmarkStart w:id="6" w:name="page7"/>
    <w:bookmarkEnd w:id="6"/>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TENABLE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1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6"/>
                <w:szCs w:val="16"/>
                <w:b w:val="1"/>
                <w:bCs w:val="1"/>
                <w:color w:val="auto"/>
              </w:rPr>
              <w:t>Six Months Ended June 30,</w:t>
            </w:r>
          </w:p>
        </w:tc>
      </w:tr>
      <w:tr>
        <w:trPr>
          <w:trHeight w:val="263"/>
        </w:trPr>
        <w:tc>
          <w:tcPr>
            <w:tcW w:w="818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6"/>
                <w:szCs w:val="16"/>
                <w:b w:val="1"/>
                <w:bCs w:val="1"/>
                <w:color w:val="auto"/>
              </w:rPr>
              <w:t>2019</w:t>
            </w:r>
          </w:p>
        </w:tc>
      </w:tr>
      <w:tr>
        <w:trPr>
          <w:trHeight w:val="270"/>
        </w:trPr>
        <w:tc>
          <w:tcPr>
            <w:tcW w:w="81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63"/>
        </w:trPr>
        <w:tc>
          <w:tcPr>
            <w:tcW w:w="8180" w:type="dxa"/>
            <w:vAlign w:val="bottom"/>
          </w:tcPr>
          <w:p>
            <w:pPr>
              <w:ind w:left="40"/>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(34,937)</w:t>
            </w:r>
          </w:p>
        </w:tc>
        <w:tc>
          <w:tcPr>
            <w:tcW w:w="100" w:type="dxa"/>
            <w:vAlign w:val="bottom"/>
          </w:tcPr>
          <w:p>
            <w:pPr>
              <w:spacing w:after="0"/>
              <w:rPr>
                <w:sz w:val="22"/>
                <w:szCs w:val="22"/>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(43,068)</w:t>
            </w:r>
          </w:p>
        </w:tc>
      </w:tr>
      <w:tr>
        <w:trPr>
          <w:trHeight w:val="277"/>
        </w:trPr>
        <w:tc>
          <w:tcPr>
            <w:tcW w:w="8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63"/>
        </w:trPr>
        <w:tc>
          <w:tcPr>
            <w:tcW w:w="818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2"/>
                <w:szCs w:val="22"/>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5,268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3,089</w:t>
            </w:r>
          </w:p>
        </w:tc>
      </w:tr>
      <w:tr>
        <w:trPr>
          <w:trHeight w:val="277"/>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28,701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20,692</w:t>
            </w:r>
          </w:p>
        </w:tc>
      </w:tr>
      <w:tr>
        <w:trPr>
          <w:trHeight w:val="263"/>
        </w:trPr>
        <w:tc>
          <w:tcPr>
            <w:tcW w:w="8180" w:type="dxa"/>
            <w:vAlign w:val="bottom"/>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2"/>
                <w:szCs w:val="22"/>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(1,022)</w:t>
            </w:r>
          </w:p>
        </w:tc>
      </w:tr>
      <w:tr>
        <w:trPr>
          <w:trHeight w:val="277"/>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63"/>
        </w:trPr>
        <w:tc>
          <w:tcPr>
            <w:tcW w:w="8180" w:type="dxa"/>
            <w:vAlign w:val="bottom"/>
          </w:tcPr>
          <w:p>
            <w:pPr>
              <w:ind w:left="280"/>
              <w:spacing w:after="0"/>
              <w:rPr>
                <w:sz w:val="20"/>
                <w:szCs w:val="20"/>
                <w:color w:val="auto"/>
              </w:rPr>
            </w:pPr>
            <w:r>
              <w:rPr>
                <w:rFonts w:ascii="Arial" w:cs="Arial" w:eastAsia="Arial" w:hAnsi="Arial"/>
                <w:sz w:val="18"/>
                <w:szCs w:val="18"/>
                <w:color w:val="auto"/>
              </w:rPr>
              <w:t>Accounts receivable</w:t>
            </w:r>
          </w:p>
        </w:tc>
        <w:tc>
          <w:tcPr>
            <w:tcW w:w="320" w:type="dxa"/>
            <w:vAlign w:val="bottom"/>
          </w:tcPr>
          <w:p>
            <w:pPr>
              <w:spacing w:after="0"/>
              <w:rPr>
                <w:sz w:val="22"/>
                <w:szCs w:val="22"/>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13,512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(658)</w:t>
            </w:r>
          </w:p>
        </w:tc>
      </w:tr>
      <w:tr>
        <w:trPr>
          <w:trHeight w:val="277"/>
        </w:trPr>
        <w:tc>
          <w:tcPr>
            <w:tcW w:w="81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1,058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1,673</w:t>
            </w:r>
          </w:p>
        </w:tc>
      </w:tr>
      <w:tr>
        <w:trPr>
          <w:trHeight w:val="263"/>
        </w:trPr>
        <w:tc>
          <w:tcPr>
            <w:tcW w:w="8180" w:type="dxa"/>
            <w:vAlign w:val="bottom"/>
          </w:tcPr>
          <w:p>
            <w:pPr>
              <w:ind w:left="280"/>
              <w:spacing w:after="0"/>
              <w:rPr>
                <w:sz w:val="20"/>
                <w:szCs w:val="20"/>
                <w:color w:val="auto"/>
              </w:rPr>
            </w:pPr>
            <w:r>
              <w:rPr>
                <w:rFonts w:ascii="Arial" w:cs="Arial" w:eastAsia="Arial" w:hAnsi="Arial"/>
                <w:sz w:val="18"/>
                <w:szCs w:val="18"/>
                <w:color w:val="auto"/>
              </w:rPr>
              <w:t>Deferred commissions</w:t>
            </w:r>
          </w:p>
        </w:tc>
        <w:tc>
          <w:tcPr>
            <w:tcW w:w="320" w:type="dxa"/>
            <w:vAlign w:val="bottom"/>
          </w:tcPr>
          <w:p>
            <w:pPr>
              <w:spacing w:after="0"/>
              <w:rPr>
                <w:sz w:val="22"/>
                <w:szCs w:val="22"/>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(2,432)</w:t>
            </w:r>
          </w:p>
        </w:tc>
      </w:tr>
      <w:tr>
        <w:trPr>
          <w:trHeight w:val="277"/>
        </w:trPr>
        <w:tc>
          <w:tcPr>
            <w:tcW w:w="81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 assets</w:t>
            </w: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13,177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w:t>
            </w:r>
          </w:p>
        </w:tc>
      </w:tr>
      <w:tr>
        <w:trPr>
          <w:trHeight w:val="263"/>
        </w:trPr>
        <w:tc>
          <w:tcPr>
            <w:tcW w:w="8180" w:type="dxa"/>
            <w:vAlign w:val="bottom"/>
          </w:tcPr>
          <w:p>
            <w:pPr>
              <w:ind w:left="280"/>
              <w:spacing w:after="0"/>
              <w:rPr>
                <w:sz w:val="20"/>
                <w:szCs w:val="20"/>
                <w:color w:val="auto"/>
              </w:rPr>
            </w:pPr>
            <w:r>
              <w:rPr>
                <w:rFonts w:ascii="Arial" w:cs="Arial" w:eastAsia="Arial" w:hAnsi="Arial"/>
                <w:sz w:val="18"/>
                <w:szCs w:val="18"/>
                <w:color w:val="auto"/>
              </w:rPr>
              <w:t>Accounts payable and accrued expenses</w:t>
            </w: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(3,023)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5,646</w:t>
            </w:r>
          </w:p>
        </w:tc>
      </w:tr>
      <w:tr>
        <w:trPr>
          <w:trHeight w:val="277"/>
        </w:trPr>
        <w:tc>
          <w:tcPr>
            <w:tcW w:w="81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Accrued compensation</w:t>
            </w: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(3,092)</w:t>
            </w:r>
          </w:p>
        </w:tc>
      </w:tr>
      <w:tr>
        <w:trPr>
          <w:trHeight w:val="263"/>
        </w:trPr>
        <w:tc>
          <w:tcPr>
            <w:tcW w:w="8180" w:type="dxa"/>
            <w:vAlign w:val="bottom"/>
          </w:tcPr>
          <w:p>
            <w:pPr>
              <w:ind w:left="280"/>
              <w:spacing w:after="0"/>
              <w:rPr>
                <w:sz w:val="20"/>
                <w:szCs w:val="20"/>
                <w:color w:val="auto"/>
              </w:rPr>
            </w:pPr>
            <w:r>
              <w:rPr>
                <w:rFonts w:ascii="Arial" w:cs="Arial" w:eastAsia="Arial" w:hAnsi="Arial"/>
                <w:sz w:val="18"/>
                <w:szCs w:val="18"/>
                <w:color w:val="auto"/>
              </w:rPr>
              <w:t>Deferred revenue</w:t>
            </w:r>
          </w:p>
        </w:tc>
        <w:tc>
          <w:tcPr>
            <w:tcW w:w="320" w:type="dxa"/>
            <w:vAlign w:val="bottom"/>
          </w:tcPr>
          <w:p>
            <w:pPr>
              <w:spacing w:after="0"/>
              <w:rPr>
                <w:sz w:val="22"/>
                <w:szCs w:val="22"/>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2,182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17,430</w:t>
            </w:r>
          </w:p>
        </w:tc>
      </w:tr>
      <w:tr>
        <w:trPr>
          <w:trHeight w:val="270"/>
        </w:trPr>
        <w:tc>
          <w:tcPr>
            <w:tcW w:w="81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 current and noncurrent liabilities</w:t>
            </w:r>
          </w:p>
        </w:tc>
        <w:tc>
          <w:tcPr>
            <w:tcW w:w="3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50"/>
        </w:trPr>
        <w:tc>
          <w:tcPr>
            <w:tcW w:w="8180" w:type="dxa"/>
            <w:vAlign w:val="bottom"/>
          </w:tcPr>
          <w:p>
            <w:pPr>
              <w:ind w:left="500"/>
              <w:spacing w:after="0"/>
              <w:rPr>
                <w:sz w:val="20"/>
                <w:szCs w:val="20"/>
                <w:color w:val="auto"/>
              </w:rPr>
            </w:pPr>
            <w:r>
              <w:rPr>
                <w:rFonts w:ascii="Arial" w:cs="Arial" w:eastAsia="Arial" w:hAnsi="Arial"/>
                <w:sz w:val="18"/>
                <w:szCs w:val="18"/>
                <w:color w:val="auto"/>
              </w:rPr>
              <w:t>Net cash provided by (used in) operating activities</w:t>
            </w: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21,491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(2,997)</w:t>
            </w:r>
          </w:p>
        </w:tc>
      </w:tr>
      <w:tr>
        <w:trPr>
          <w:trHeight w:val="290"/>
        </w:trPr>
        <w:tc>
          <w:tcPr>
            <w:tcW w:w="81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60"/>
        </w:trPr>
        <w:tc>
          <w:tcPr>
            <w:tcW w:w="8180" w:type="dxa"/>
            <w:vAlign w:val="bottom"/>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80"/>
        </w:trPr>
        <w:tc>
          <w:tcPr>
            <w:tcW w:w="8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Purchases of property and equipment</w:t>
            </w: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(5,335)</w:t>
            </w:r>
          </w:p>
        </w:tc>
      </w:tr>
      <w:tr>
        <w:trPr>
          <w:trHeight w:val="263"/>
        </w:trPr>
        <w:tc>
          <w:tcPr>
            <w:tcW w:w="8180" w:type="dxa"/>
            <w:vAlign w:val="bottom"/>
          </w:tcPr>
          <w:p>
            <w:pPr>
              <w:ind w:left="40"/>
              <w:spacing w:after="0"/>
              <w:rPr>
                <w:sz w:val="20"/>
                <w:szCs w:val="20"/>
                <w:color w:val="auto"/>
              </w:rPr>
            </w:pPr>
            <w:r>
              <w:rPr>
                <w:rFonts w:ascii="Arial" w:cs="Arial" w:eastAsia="Arial" w:hAnsi="Arial"/>
                <w:sz w:val="18"/>
                <w:szCs w:val="18"/>
                <w:color w:val="auto"/>
              </w:rPr>
              <w:t>Purchases of short-term investments</w:t>
            </w: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(91,908)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(102,453)</w:t>
            </w:r>
          </w:p>
        </w:tc>
      </w:tr>
      <w:tr>
        <w:trPr>
          <w:trHeight w:val="270"/>
        </w:trPr>
        <w:tc>
          <w:tcPr>
            <w:tcW w:w="8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Sales and maturities of short-term investments</w:t>
            </w:r>
          </w:p>
        </w:tc>
        <w:tc>
          <w:tcPr>
            <w:tcW w:w="3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124,675</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110,750</w:t>
            </w:r>
          </w:p>
        </w:tc>
      </w:tr>
      <w:tr>
        <w:trPr>
          <w:trHeight w:val="250"/>
        </w:trPr>
        <w:tc>
          <w:tcPr>
            <w:tcW w:w="8180" w:type="dxa"/>
            <w:vAlign w:val="bottom"/>
          </w:tcPr>
          <w:p>
            <w:pPr>
              <w:ind w:left="500"/>
              <w:spacing w:after="0"/>
              <w:rPr>
                <w:sz w:val="20"/>
                <w:szCs w:val="20"/>
                <w:color w:val="auto"/>
              </w:rPr>
            </w:pPr>
            <w:r>
              <w:rPr>
                <w:rFonts w:ascii="Arial" w:cs="Arial" w:eastAsia="Arial" w:hAnsi="Arial"/>
                <w:sz w:val="18"/>
                <w:szCs w:val="18"/>
                <w:color w:val="auto"/>
              </w:rPr>
              <w:t>Net cash provided by investing activities</w:t>
            </w: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21,763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2,962</w:t>
            </w:r>
          </w:p>
        </w:tc>
      </w:tr>
      <w:tr>
        <w:trPr>
          <w:trHeight w:val="304"/>
        </w:trPr>
        <w:tc>
          <w:tcPr>
            <w:tcW w:w="81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60"/>
        </w:trPr>
        <w:tc>
          <w:tcPr>
            <w:tcW w:w="8180" w:type="dxa"/>
            <w:vAlign w:val="bottom"/>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80"/>
        </w:trPr>
        <w:tc>
          <w:tcPr>
            <w:tcW w:w="8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Proceeds from loan agreement</w:t>
            </w: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3"/>
        </w:trPr>
        <w:tc>
          <w:tcPr>
            <w:tcW w:w="8180" w:type="dxa"/>
            <w:vAlign w:val="bottom"/>
          </w:tcPr>
          <w:p>
            <w:pPr>
              <w:ind w:left="40"/>
              <w:spacing w:after="0"/>
              <w:rPr>
                <w:sz w:val="20"/>
                <w:szCs w:val="20"/>
                <w:color w:val="auto"/>
              </w:rPr>
            </w:pPr>
            <w:r>
              <w:rPr>
                <w:rFonts w:ascii="Arial" w:cs="Arial" w:eastAsia="Arial" w:hAnsi="Arial"/>
                <w:sz w:val="18"/>
                <w:szCs w:val="18"/>
                <w:color w:val="auto"/>
              </w:rPr>
              <w:t>Principal payments under finance lease obligations</w:t>
            </w: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7"/>
        </w:trPr>
        <w:tc>
          <w:tcPr>
            <w:tcW w:w="8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Proceeds from stock issued in connection with the employee stock purchase plan</w:t>
            </w: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7,307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8,579</w:t>
            </w:r>
          </w:p>
        </w:tc>
      </w:tr>
      <w:tr>
        <w:trPr>
          <w:trHeight w:val="264"/>
        </w:trPr>
        <w:tc>
          <w:tcPr>
            <w:tcW w:w="81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Proceeds from the exercise of stock options</w:t>
            </w: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10,974</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12,727</w:t>
            </w:r>
          </w:p>
        </w:tc>
      </w:tr>
      <w:tr>
        <w:trPr>
          <w:trHeight w:val="256"/>
        </w:trPr>
        <w:tc>
          <w:tcPr>
            <w:tcW w:w="81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Net cash provided by financing activities</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20,273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21,298</w:t>
            </w:r>
          </w:p>
        </w:tc>
      </w:tr>
      <w:tr>
        <w:trPr>
          <w:trHeight w:val="264"/>
        </w:trPr>
        <w:tc>
          <w:tcPr>
            <w:tcW w:w="81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Effect of exchange rate changes on cash and cash equivalents and restricted cash</w:t>
            </w: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(1,463)</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w:t>
            </w:r>
          </w:p>
        </w:tc>
      </w:tr>
      <w:tr>
        <w:trPr>
          <w:trHeight w:val="256"/>
        </w:trPr>
        <w:tc>
          <w:tcPr>
            <w:tcW w:w="8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increase in cash and cash equivalents and restricted cash</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62,064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20,547</w:t>
            </w:r>
          </w:p>
        </w:tc>
      </w:tr>
      <w:tr>
        <w:trPr>
          <w:trHeight w:val="263"/>
        </w:trPr>
        <w:tc>
          <w:tcPr>
            <w:tcW w:w="81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and cash equivalents and restricted cash at beginning of period</w:t>
            </w: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74,665</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165,378</w:t>
            </w:r>
          </w:p>
        </w:tc>
      </w:tr>
      <w:tr>
        <w:trPr>
          <w:trHeight w:val="254"/>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and cash equivalents and restricted cash at end of period</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136,729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185,925</w:t>
            </w:r>
          </w:p>
        </w:tc>
      </w:tr>
      <w:tr>
        <w:trPr>
          <w:trHeight w:val="20"/>
        </w:trPr>
        <w:tc>
          <w:tcPr>
            <w:tcW w:w="8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80"/>
        </w:trPr>
        <w:tc>
          <w:tcPr>
            <w:tcW w:w="8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0"/>
        </w:trPr>
        <w:tc>
          <w:tcPr>
            <w:tcW w:w="81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63"/>
        </w:trPr>
        <w:tc>
          <w:tcPr>
            <w:tcW w:w="8180" w:type="dxa"/>
            <w:vAlign w:val="bottom"/>
          </w:tcPr>
          <w:p>
            <w:pPr>
              <w:ind w:left="40"/>
              <w:spacing w:after="0"/>
              <w:rPr>
                <w:sz w:val="20"/>
                <w:szCs w:val="20"/>
                <w:color w:val="auto"/>
              </w:rPr>
            </w:pPr>
            <w:r>
              <w:rPr>
                <w:rFonts w:ascii="Arial" w:cs="Arial" w:eastAsia="Arial" w:hAnsi="Arial"/>
                <w:sz w:val="18"/>
                <w:szCs w:val="18"/>
                <w:color w:val="auto"/>
              </w:rPr>
              <w:t>Cash paid for interest</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2"/>
                <w:szCs w:val="22"/>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49</w:t>
            </w:r>
          </w:p>
        </w:tc>
      </w:tr>
      <w:tr>
        <w:trPr>
          <w:trHeight w:val="277"/>
        </w:trPr>
        <w:tc>
          <w:tcPr>
            <w:tcW w:w="8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paid for income taxes</w:t>
            </w: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2,728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1,111</w:t>
            </w:r>
          </w:p>
        </w:tc>
      </w:tr>
      <w:tr>
        <w:trPr>
          <w:trHeight w:val="260"/>
        </w:trPr>
        <w:tc>
          <w:tcPr>
            <w:tcW w:w="8180" w:type="dxa"/>
            <w:vAlign w:val="bottom"/>
          </w:tcPr>
          <w:p>
            <w:pPr>
              <w:ind w:left="40"/>
              <w:spacing w:after="0"/>
              <w:rPr>
                <w:sz w:val="20"/>
                <w:szCs w:val="20"/>
                <w:color w:val="auto"/>
              </w:rPr>
            </w:pPr>
            <w:r>
              <w:rPr>
                <w:rFonts w:ascii="Arial" w:cs="Arial" w:eastAsia="Arial" w:hAnsi="Arial"/>
                <w:sz w:val="16"/>
                <w:szCs w:val="16"/>
                <w:b w:val="1"/>
                <w:bCs w:val="1"/>
                <w:color w:val="auto"/>
              </w:rPr>
              <w:t>Supplemental cash flow information related to leases:</w:t>
            </w: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80"/>
        </w:trPr>
        <w:tc>
          <w:tcPr>
            <w:tcW w:w="8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cash payments for operating leases</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2,595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2,286</w:t>
            </w:r>
          </w:p>
        </w:tc>
      </w:tr>
      <w:tr>
        <w:trPr>
          <w:trHeight w:val="260"/>
        </w:trPr>
        <w:tc>
          <w:tcPr>
            <w:tcW w:w="8180" w:type="dxa"/>
            <w:vAlign w:val="bottom"/>
          </w:tcPr>
          <w:p>
            <w:pPr>
              <w:ind w:left="40"/>
              <w:spacing w:after="0"/>
              <w:rPr>
                <w:sz w:val="20"/>
                <w:szCs w:val="20"/>
                <w:color w:val="auto"/>
              </w:rPr>
            </w:pPr>
            <w:r>
              <w:rPr>
                <w:rFonts w:ascii="Arial" w:cs="Arial" w:eastAsia="Arial" w:hAnsi="Arial"/>
                <w:sz w:val="16"/>
                <w:szCs w:val="16"/>
                <w:b w:val="1"/>
                <w:bCs w:val="1"/>
                <w:color w:val="auto"/>
              </w:rPr>
              <w:t>Supplemental disclosure of non-cash flow investing activities:</w:t>
            </w: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80"/>
        </w:trPr>
        <w:tc>
          <w:tcPr>
            <w:tcW w:w="8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1,199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611</w:t>
            </w:r>
          </w:p>
        </w:tc>
      </w:tr>
    </w:tbl>
    <w:p>
      <w:pPr>
        <w:spacing w:after="0" w:line="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900" w:h="16838" w:orient="portrait"/>
          <w:cols w:equalWidth="0" w:num="1">
            <w:col w:w="11240"/>
          </w:cols>
          <w:pgMar w:left="320" w:top="140" w:right="339" w:bottom="1440" w:gutter="0" w:footer="0" w:header="0"/>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240"/>
          </w:cols>
          <w:pgMar w:left="320" w:top="140" w:right="339" w:bottom="1440" w:gutter="0" w:footer="0" w:header="0"/>
          <w:type w:val="continuous"/>
        </w:sectPr>
      </w:pPr>
    </w:p>
    <w:bookmarkStart w:id="7" w:name="page8"/>
    <w:bookmarkEnd w:id="7"/>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TENABLE HOLDINGS,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p>
      <w:pPr>
        <w:ind w:left="340" w:right="6020" w:hanging="332"/>
        <w:spacing w:after="0" w:line="513" w:lineRule="auto"/>
        <w:tabs>
          <w:tab w:leader="none" w:pos="216"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Business and Summary of Significant Accounting Policies </w:t>
      </w:r>
      <w:r>
        <w:rPr>
          <w:rFonts w:ascii="Arial" w:cs="Arial" w:eastAsia="Arial" w:hAnsi="Arial"/>
          <w:sz w:val="18"/>
          <w:szCs w:val="18"/>
          <w:b w:val="1"/>
          <w:bCs w:val="1"/>
          <w:i w:val="1"/>
          <w:iCs w:val="1"/>
          <w:color w:val="auto"/>
        </w:rPr>
        <w:t>Business Description</w:t>
      </w:r>
    </w:p>
    <w:p>
      <w:pPr>
        <w:spacing w:after="0" w:line="1" w:lineRule="exact"/>
        <w:rPr>
          <w:sz w:val="20"/>
          <w:szCs w:val="20"/>
          <w:color w:val="auto"/>
        </w:rPr>
      </w:pPr>
    </w:p>
    <w:p>
      <w:pPr>
        <w:jc w:val="both"/>
        <w:ind w:right="60" w:firstLine="324"/>
        <w:spacing w:after="0" w:line="254" w:lineRule="auto"/>
        <w:rPr>
          <w:sz w:val="20"/>
          <w:szCs w:val="20"/>
          <w:color w:val="auto"/>
        </w:rPr>
      </w:pPr>
      <w:r>
        <w:rPr>
          <w:rFonts w:ascii="Arial" w:cs="Arial" w:eastAsia="Arial" w:hAnsi="Arial"/>
          <w:sz w:val="18"/>
          <w:szCs w:val="18"/>
          <w:color w:val="auto"/>
        </w:rPr>
        <w:t>Tenable Holdings, Inc. (the “Company,” “we,” "us," or “our”) is a provider of Cyber Exposure solutions, which is a discipline for managing, measuring and comparing cybersecurity risk in the digital era. Our enterprise software platform enables broad visibility into an organization’s cyber exposure across the modern attack surface and deep insights that help organizations translate technical data into business insights to understand and reduce their cybersecurity risk.</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accompanying consolidated financial statements include the accounts of Tenable Holdings, Inc. and our wholly owned subsidiaries.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All intercompany accounts and transactions have been eliminated in consolidation.</w:t>
      </w:r>
    </w:p>
    <w:p>
      <w:pPr>
        <w:spacing w:after="0" w:line="225"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The consolidated financial statements have been prepared in conformity with United States generally accepted accounting principles (“GAAP”) for interim financial information. The consolidated statements are unaudited and should be read in conjunction with the consolidated financial statements and related notes included in our 2019 Annual Report on Form 10-K ("10-K") filed with the Securities and Exchange Commission on February 28, 2020. The consolidated financial statements have been prepared on a basis consistent with the audited annual consolidated financial statements included in the 10-K and, in the opinion of management, include all adjustments of a normal recurring nature necessary to fairly state our financial position, our results of operations, and cash flows.</w:t>
      </w:r>
    </w:p>
    <w:p>
      <w:pPr>
        <w:spacing w:after="0" w:line="208" w:lineRule="exact"/>
        <w:rPr>
          <w:sz w:val="20"/>
          <w:szCs w:val="20"/>
          <w:color w:val="auto"/>
        </w:rPr>
      </w:pPr>
    </w:p>
    <w:p>
      <w:pPr>
        <w:ind w:right="220" w:firstLine="324"/>
        <w:spacing w:after="0" w:line="261" w:lineRule="auto"/>
        <w:rPr>
          <w:sz w:val="20"/>
          <w:szCs w:val="20"/>
          <w:color w:val="auto"/>
        </w:rPr>
      </w:pPr>
      <w:r>
        <w:rPr>
          <w:rFonts w:ascii="Arial" w:cs="Arial" w:eastAsia="Arial" w:hAnsi="Arial"/>
          <w:sz w:val="18"/>
          <w:szCs w:val="18"/>
          <w:color w:val="auto"/>
        </w:rPr>
        <w:t>The results for the six months ended June 30, 2020 are not necessarily indicative of the operating results expected for the year ending December 31, 2020 or any other future period.</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47"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The preparation of consolidated financial statements in conformity with GAAP requires management to make estimates and assumptions that affect the amounts reported in the consolidated financial statements and accompanying notes. These estimates include, but are not limited to, the determination of the estimated economic life of perpetual licenses for revenue recognition, the estimated period of benefit for deferred commissions, the useful lives of long-lived assets, the fair value of acquired intangible assets, the valuation of stock-based compensation, including the estimated underlying fair value of our common stock prior to our IPO, the incremental borrowing rate for operating leases, and the valuation of deferred tax assets. We base these estimates on historical experience and on various other assumptions that we believe to be reasonable. Actual results could differ significantly from these estimates.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247" w:lineRule="exact"/>
        <w:rPr>
          <w:sz w:val="20"/>
          <w:szCs w:val="20"/>
          <w:color w:val="auto"/>
        </w:rPr>
      </w:pPr>
    </w:p>
    <w:p>
      <w:pPr>
        <w:ind w:right="620" w:firstLine="324"/>
        <w:spacing w:after="0" w:line="261" w:lineRule="auto"/>
        <w:rPr>
          <w:sz w:val="20"/>
          <w:szCs w:val="20"/>
          <w:color w:val="auto"/>
        </w:rPr>
      </w:pPr>
      <w:r>
        <w:rPr>
          <w:rFonts w:ascii="Arial" w:cs="Arial" w:eastAsia="Arial" w:hAnsi="Arial"/>
          <w:sz w:val="18"/>
          <w:szCs w:val="18"/>
          <w:color w:val="auto"/>
        </w:rPr>
        <w:t>Our significant accounting policies are described in our 10-K. During the six months ended June 30, 2020, there were no material changes to our significant accounting policies other than those described below.</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9"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 xml:space="preserve">We adopted Accounting Standards Update ("ASU") No. 2016-13 — </w:t>
      </w:r>
      <w:r>
        <w:rPr>
          <w:rFonts w:ascii="Arial" w:cs="Arial" w:eastAsia="Arial" w:hAnsi="Arial"/>
          <w:sz w:val="18"/>
          <w:szCs w:val="18"/>
          <w:i w:val="1"/>
          <w:iCs w:val="1"/>
          <w:color w:val="auto"/>
        </w:rPr>
        <w:t>Financial Instruments-Credit Losses (Topic 326)</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Credit Losses on Financial Instruments, </w:t>
      </w:r>
      <w:r>
        <w:rPr>
          <w:rFonts w:ascii="Arial" w:cs="Arial" w:eastAsia="Arial" w:hAnsi="Arial"/>
          <w:sz w:val="18"/>
          <w:szCs w:val="18"/>
          <w:color w:val="auto"/>
        </w:rPr>
        <w:t>effective January 1, 2020 using the modified retrospective approach. The adoption of this guidance</w:t>
      </w:r>
      <w:r>
        <w:rPr>
          <w:rFonts w:ascii="Arial" w:cs="Arial" w:eastAsia="Arial" w:hAnsi="Arial"/>
          <w:sz w:val="18"/>
          <w:szCs w:val="18"/>
          <w:i w:val="1"/>
          <w:iCs w:val="1"/>
          <w:color w:val="auto"/>
        </w:rPr>
        <w:t xml:space="preserve"> </w:t>
      </w:r>
      <w:r>
        <w:rPr>
          <w:rFonts w:ascii="Arial" w:cs="Arial" w:eastAsia="Arial" w:hAnsi="Arial"/>
          <w:sz w:val="18"/>
          <w:szCs w:val="18"/>
          <w:color w:val="auto"/>
        </w:rPr>
        <w:t>did not have a material impact on our condensed consolidated financial statements. The new standard replaces the previous incurred loss impairment methodology with a methodology that reflects current expected credit losses for financial assets, including trade receivables, which are not measured at fair value, through net income. Under the new standard, our allowance for doubtful accounts reflects our best estimate of expected future credit losses based on various factors, including our historical collection experience, age of accounts receivable balances, current conditions, reasonable and supportable forecasts of future economic conditions, as well as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320" w:top="140" w:right="359" w:bottom="1440" w:gutter="0" w:footer="0" w:header="0"/>
        </w:sectPr>
      </w:pPr>
    </w:p>
    <w:bookmarkStart w:id="8" w:name="page9"/>
    <w:bookmarkEnd w:id="8"/>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other factors that may impact our ability to collect our accounts receivable. However, given the uncertainty caused by the COVID-19 pandemic or other factors, these estimates may change and future credit losses may differ from our estimates. Additionally, the new standard requires us to evaluate impairments of available-for-sale debt securities due to credit-related and non-credit-related factors. Identified credit-related impairments would be recognized as a charge in the statement of operations.</w:t>
      </w:r>
    </w:p>
    <w:p>
      <w:pPr>
        <w:spacing w:after="0" w:line="182" w:lineRule="exact"/>
        <w:rPr>
          <w:sz w:val="20"/>
          <w:szCs w:val="20"/>
          <w:color w:val="auto"/>
        </w:rPr>
      </w:pPr>
    </w:p>
    <w:p>
      <w:pPr>
        <w:ind w:left="340" w:right="8580" w:hanging="332"/>
        <w:spacing w:after="0" w:line="543" w:lineRule="auto"/>
        <w:tabs>
          <w:tab w:leader="none" w:pos="216"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Revenue Recognition </w:t>
      </w:r>
      <w:r>
        <w:rPr>
          <w:rFonts w:ascii="Arial" w:cs="Arial" w:eastAsia="Arial" w:hAnsi="Arial"/>
          <w:sz w:val="17"/>
          <w:szCs w:val="17"/>
          <w:b w:val="1"/>
          <w:bCs w:val="1"/>
          <w:i w:val="1"/>
          <w:iCs w:val="1"/>
          <w:color w:val="auto"/>
        </w:rPr>
        <w:t>Disaggregation of Revenue</w:t>
      </w:r>
    </w:p>
    <w:p>
      <w:pPr>
        <w:spacing w:after="0" w:line="1" w:lineRule="exact"/>
        <w:rPr>
          <w:rFonts w:ascii="Arial" w:cs="Arial" w:eastAsia="Arial" w:hAnsi="Arial"/>
          <w:sz w:val="17"/>
          <w:szCs w:val="17"/>
          <w:b w:val="1"/>
          <w:bCs w:val="1"/>
          <w:color w:val="auto"/>
        </w:rPr>
      </w:pPr>
    </w:p>
    <w:p>
      <w:pPr>
        <w:ind w:left="340"/>
        <w:spacing w:after="0"/>
        <w:rPr>
          <w:rFonts w:ascii="Arial" w:cs="Arial" w:eastAsia="Arial" w:hAnsi="Arial"/>
          <w:sz w:val="17"/>
          <w:szCs w:val="17"/>
          <w:b w:val="1"/>
          <w:bCs w:val="1"/>
          <w:color w:val="auto"/>
        </w:rPr>
      </w:pPr>
      <w:r>
        <w:rPr>
          <w:rFonts w:ascii="Arial" w:cs="Arial" w:eastAsia="Arial" w:hAnsi="Arial"/>
          <w:sz w:val="18"/>
          <w:szCs w:val="18"/>
          <w:color w:val="auto"/>
        </w:rPr>
        <w:t>The following table presents a summary of revenue: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760" w:type="dxa"/>
            <w:vAlign w:val="bottom"/>
            <w:gridSpan w:val="5"/>
          </w:tcPr>
          <w:p>
            <w:pPr>
              <w:ind w:left="80"/>
              <w:spacing w:after="0"/>
              <w:rPr>
                <w:sz w:val="20"/>
                <w:szCs w:val="20"/>
                <w:color w:val="auto"/>
              </w:rPr>
            </w:pPr>
            <w:r>
              <w:rPr>
                <w:rFonts w:ascii="Arial" w:cs="Arial" w:eastAsia="Arial" w:hAnsi="Arial"/>
                <w:sz w:val="16"/>
                <w:szCs w:val="16"/>
                <w:b w:val="1"/>
                <w:bCs w:val="1"/>
                <w:color w:val="auto"/>
              </w:rPr>
              <w:t>Three Months Ended June 30,</w:t>
            </w:r>
          </w:p>
        </w:tc>
        <w:tc>
          <w:tcPr>
            <w:tcW w:w="280" w:type="dxa"/>
            <w:vAlign w:val="bottom"/>
          </w:tcPr>
          <w:p>
            <w:pPr>
              <w:spacing w:after="0"/>
              <w:rPr>
                <w:sz w:val="19"/>
                <w:szCs w:val="19"/>
                <w:color w:val="auto"/>
              </w:rPr>
            </w:pPr>
          </w:p>
        </w:tc>
        <w:tc>
          <w:tcPr>
            <w:tcW w:w="2600" w:type="dxa"/>
            <w:vAlign w:val="bottom"/>
            <w:gridSpan w:val="4"/>
          </w:tcPr>
          <w:p>
            <w:pPr>
              <w:jc w:val="right"/>
              <w:ind w:right="292"/>
              <w:spacing w:after="0"/>
              <w:rPr>
                <w:sz w:val="20"/>
                <w:szCs w:val="20"/>
                <w:color w:val="auto"/>
              </w:rPr>
            </w:pPr>
            <w:r>
              <w:rPr>
                <w:rFonts w:ascii="Arial" w:cs="Arial" w:eastAsia="Arial" w:hAnsi="Arial"/>
                <w:sz w:val="16"/>
                <w:szCs w:val="16"/>
                <w:b w:val="1"/>
                <w:bCs w:val="1"/>
                <w:color w:val="auto"/>
              </w:rPr>
              <w:t>Six Months Ended June 30,</w:t>
            </w:r>
          </w:p>
        </w:tc>
      </w:tr>
      <w:tr>
        <w:trPr>
          <w:trHeight w:val="263"/>
        </w:trPr>
        <w:tc>
          <w:tcPr>
            <w:tcW w:w="536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2019</w:t>
            </w:r>
          </w:p>
        </w:tc>
      </w:tr>
      <w:tr>
        <w:trPr>
          <w:trHeight w:val="257"/>
        </w:trPr>
        <w:tc>
          <w:tcPr>
            <w:tcW w:w="5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Subscription revenue</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92,010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69,370</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178,400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134,107</w:t>
            </w:r>
          </w:p>
        </w:tc>
      </w:tr>
      <w:tr>
        <w:trPr>
          <w:trHeight w:val="263"/>
        </w:trPr>
        <w:tc>
          <w:tcPr>
            <w:tcW w:w="5360" w:type="dxa"/>
            <w:vAlign w:val="bottom"/>
          </w:tcPr>
          <w:p>
            <w:pPr>
              <w:ind w:left="40"/>
              <w:spacing w:after="0"/>
              <w:rPr>
                <w:sz w:val="20"/>
                <w:szCs w:val="20"/>
                <w:color w:val="auto"/>
              </w:rPr>
            </w:pPr>
            <w:r>
              <w:rPr>
                <w:rFonts w:ascii="Arial" w:cs="Arial" w:eastAsia="Arial" w:hAnsi="Arial"/>
                <w:sz w:val="18"/>
                <w:szCs w:val="18"/>
                <w:color w:val="auto"/>
              </w:rPr>
              <w:t>Perpetual license and maintenance revenue</w:t>
            </w:r>
          </w:p>
        </w:tc>
        <w:tc>
          <w:tcPr>
            <w:tcW w:w="240" w:type="dxa"/>
            <w:vAlign w:val="bottom"/>
          </w:tcPr>
          <w:p>
            <w:pPr>
              <w:spacing w:after="0"/>
              <w:rPr>
                <w:sz w:val="22"/>
                <w:szCs w:val="22"/>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12,179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13,553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25,598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27,080</w:t>
            </w:r>
          </w:p>
        </w:tc>
      </w:tr>
      <w:tr>
        <w:trPr>
          <w:trHeight w:val="270"/>
        </w:trPr>
        <w:tc>
          <w:tcPr>
            <w:tcW w:w="5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Professional services and other revenue</w:t>
            </w:r>
          </w:p>
        </w:tc>
        <w:tc>
          <w:tcPr>
            <w:tcW w:w="2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3,020</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2,461</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5,859</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4,498</w:t>
            </w:r>
          </w:p>
        </w:tc>
      </w:tr>
      <w:tr>
        <w:trPr>
          <w:trHeight w:val="257"/>
        </w:trPr>
        <w:tc>
          <w:tcPr>
            <w:tcW w:w="5360" w:type="dxa"/>
            <w:vAlign w:val="bottom"/>
          </w:tcPr>
          <w:p>
            <w:pPr>
              <w:ind w:left="280"/>
              <w:spacing w:after="0"/>
              <w:rPr>
                <w:sz w:val="20"/>
                <w:szCs w:val="20"/>
                <w:color w:val="auto"/>
              </w:rPr>
            </w:pPr>
            <w:r>
              <w:rPr>
                <w:rFonts w:ascii="Arial" w:cs="Arial" w:eastAsia="Arial" w:hAnsi="Arial"/>
                <w:sz w:val="18"/>
                <w:szCs w:val="18"/>
                <w:color w:val="auto"/>
              </w:rPr>
              <w:t>Revenue</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107,209</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85,384</w:t>
            </w:r>
          </w:p>
        </w:tc>
        <w:tc>
          <w:tcPr>
            <w:tcW w:w="120" w:type="dxa"/>
            <w:vAlign w:val="bottom"/>
          </w:tcPr>
          <w:p>
            <w:pPr>
              <w:spacing w:after="0"/>
              <w:rPr>
                <w:sz w:val="22"/>
                <w:szCs w:val="22"/>
                <w:color w:val="auto"/>
              </w:rPr>
            </w:pP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209,857</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165,685</w:t>
            </w:r>
          </w:p>
        </w:tc>
      </w:tr>
      <w:tr>
        <w:trPr>
          <w:trHeight w:val="20"/>
        </w:trPr>
        <w:tc>
          <w:tcPr>
            <w:tcW w:w="5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Concentrations</w:t>
      </w:r>
    </w:p>
    <w:p>
      <w:pPr>
        <w:spacing w:after="0" w:line="247"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We sell and market our products and services through our field sales force that works closely with our channel partners, which includes a network of distributors and resellers, in developing sales opportunities. We use a two-tiered channel model whereby we sell our products and services to our distributors, which in turn sell to resellers, which then sell to end-users. We derived 91% of revenue through our channel network in the three and six months ended June 30, 2020 and 90% of revenue in the three and six months ended June 30, 2019. One of our distributors accounted for 43% of revenue in each of the three and six months ended June 30, 2020 and 2019. That same distributor accounted for 40% of accounts receivable at June 30, 2020 and December 31, 2019.</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47" w:lineRule="exact"/>
        <w:rPr>
          <w:sz w:val="20"/>
          <w:szCs w:val="20"/>
          <w:color w:val="auto"/>
        </w:rPr>
      </w:pPr>
    </w:p>
    <w:p>
      <w:pPr>
        <w:ind w:right="140" w:firstLine="324"/>
        <w:spacing w:after="0" w:line="253" w:lineRule="auto"/>
        <w:rPr>
          <w:sz w:val="20"/>
          <w:szCs w:val="20"/>
          <w:color w:val="auto"/>
        </w:rPr>
      </w:pPr>
      <w:r>
        <w:rPr>
          <w:rFonts w:ascii="Arial" w:cs="Arial" w:eastAsia="Arial" w:hAnsi="Arial"/>
          <w:sz w:val="18"/>
          <w:szCs w:val="18"/>
          <w:color w:val="auto"/>
        </w:rPr>
        <w:t>We generally bill our customers in advance and accounts receivable are recorded when we have the right to invoice the customer. Contract liabilities consist of deferred revenue and include customer billings and payments received in advance of performance under the contract. In the three months ended June 30, 2020 and 2019 and the six months ended June 30, 2020 and 2019, we recognized revenue of $99.5 million, $78.3 million, $175.0 million and $136.7 million, respectively, that was included in the deferred revenue balance at the beginning of each of the respective periods.</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247"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At June 30, 2020, the future estimated revenue related to unsatisfied performance obligations was $ 378.2 million, of which approximately 74% is expected to be recognized as revenue over the succeeding twelve months, and the remainder is expected to be recognized over the four years thereafter.</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Deferred Commissions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summarizes the activity of deferred incremental costs of obtaining a contract: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700" w:type="dxa"/>
            <w:vAlign w:val="bottom"/>
            <w:gridSpan w:val="5"/>
          </w:tcPr>
          <w:p>
            <w:pPr>
              <w:ind w:left="40"/>
              <w:spacing w:after="0"/>
              <w:rPr>
                <w:sz w:val="20"/>
                <w:szCs w:val="20"/>
                <w:color w:val="auto"/>
              </w:rPr>
            </w:pPr>
            <w:r>
              <w:rPr>
                <w:rFonts w:ascii="Arial" w:cs="Arial" w:eastAsia="Arial" w:hAnsi="Arial"/>
                <w:sz w:val="16"/>
                <w:szCs w:val="16"/>
                <w:b w:val="1"/>
                <w:bCs w:val="1"/>
                <w:color w:val="auto"/>
              </w:rPr>
              <w:t>Three Months Ended June 30,</w:t>
            </w:r>
          </w:p>
        </w:tc>
        <w:tc>
          <w:tcPr>
            <w:tcW w:w="260" w:type="dxa"/>
            <w:vAlign w:val="bottom"/>
          </w:tcPr>
          <w:p>
            <w:pPr>
              <w:spacing w:after="0"/>
              <w:rPr>
                <w:sz w:val="19"/>
                <w:szCs w:val="19"/>
                <w:color w:val="auto"/>
              </w:rPr>
            </w:pPr>
          </w:p>
        </w:tc>
        <w:tc>
          <w:tcPr>
            <w:tcW w:w="2580" w:type="dxa"/>
            <w:vAlign w:val="bottom"/>
            <w:gridSpan w:val="4"/>
          </w:tcPr>
          <w:p>
            <w:pPr>
              <w:jc w:val="right"/>
              <w:ind w:right="272"/>
              <w:spacing w:after="0"/>
              <w:rPr>
                <w:sz w:val="20"/>
                <w:szCs w:val="20"/>
                <w:color w:val="auto"/>
              </w:rPr>
            </w:pPr>
            <w:r>
              <w:rPr>
                <w:rFonts w:ascii="Arial" w:cs="Arial" w:eastAsia="Arial" w:hAnsi="Arial"/>
                <w:sz w:val="16"/>
                <w:szCs w:val="16"/>
                <w:b w:val="1"/>
                <w:bCs w:val="1"/>
                <w:color w:val="auto"/>
              </w:rPr>
              <w:t>Six Months Ended June 30,</w:t>
            </w:r>
          </w:p>
        </w:tc>
      </w:tr>
      <w:tr>
        <w:trPr>
          <w:trHeight w:val="263"/>
        </w:trPr>
        <w:tc>
          <w:tcPr>
            <w:tcW w:w="546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2019</w:t>
            </w:r>
          </w:p>
        </w:tc>
      </w:tr>
      <w:tr>
        <w:trPr>
          <w:trHeight w:val="257"/>
        </w:trPr>
        <w:tc>
          <w:tcPr>
            <w:tcW w:w="5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70,742</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59,811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72,265</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59,434</w:t>
            </w:r>
          </w:p>
        </w:tc>
      </w:tr>
      <w:tr>
        <w:trPr>
          <w:trHeight w:val="263"/>
        </w:trPr>
        <w:tc>
          <w:tcPr>
            <w:tcW w:w="5460" w:type="dxa"/>
            <w:vAlign w:val="bottom"/>
          </w:tcPr>
          <w:p>
            <w:pPr>
              <w:ind w:left="40"/>
              <w:spacing w:after="0"/>
              <w:rPr>
                <w:sz w:val="20"/>
                <w:szCs w:val="20"/>
                <w:color w:val="auto"/>
              </w:rPr>
            </w:pPr>
            <w:r>
              <w:rPr>
                <w:rFonts w:ascii="Arial" w:cs="Arial" w:eastAsia="Arial" w:hAnsi="Arial"/>
                <w:sz w:val="18"/>
                <w:szCs w:val="18"/>
                <w:color w:val="auto"/>
              </w:rPr>
              <w:t>Capitalization of contract acquisition costs</w:t>
            </w:r>
          </w:p>
        </w:tc>
        <w:tc>
          <w:tcPr>
            <w:tcW w:w="240" w:type="dxa"/>
            <w:vAlign w:val="bottom"/>
          </w:tcPr>
          <w:p>
            <w:pPr>
              <w:spacing w:after="0"/>
              <w:rPr>
                <w:sz w:val="22"/>
                <w:szCs w:val="22"/>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8,892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8,608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15,013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15,234</w:t>
            </w:r>
          </w:p>
        </w:tc>
      </w:tr>
      <w:tr>
        <w:trPr>
          <w:trHeight w:val="270"/>
        </w:trPr>
        <w:tc>
          <w:tcPr>
            <w:tcW w:w="5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Amortization of deferred contract acquisition costs</w:t>
            </w: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(7,866)</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(6,553)</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(15,510)</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(12,802)</w:t>
            </w:r>
          </w:p>
        </w:tc>
      </w:tr>
      <w:tr>
        <w:trPr>
          <w:trHeight w:val="256"/>
        </w:trPr>
        <w:tc>
          <w:tcPr>
            <w:tcW w:w="5460" w:type="dxa"/>
            <w:vAlign w:val="bottom"/>
          </w:tcPr>
          <w:p>
            <w:pPr>
              <w:ind w:left="40"/>
              <w:spacing w:after="0"/>
              <w:rPr>
                <w:sz w:val="20"/>
                <w:szCs w:val="20"/>
                <w:color w:val="auto"/>
              </w:rPr>
            </w:pPr>
            <w:r>
              <w:rPr>
                <w:rFonts w:ascii="Arial" w:cs="Arial" w:eastAsia="Arial" w:hAnsi="Arial"/>
                <w:sz w:val="18"/>
                <w:szCs w:val="18"/>
                <w:color w:val="auto"/>
              </w:rPr>
              <w:t>Ending balance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71,768</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61,866</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71,768</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61,866</w:t>
            </w:r>
          </w:p>
        </w:tc>
      </w:tr>
      <w:tr>
        <w:trPr>
          <w:trHeight w:val="20"/>
        </w:trPr>
        <w:tc>
          <w:tcPr>
            <w:tcW w:w="5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844"/>
        </w:trPr>
        <w:tc>
          <w:tcPr>
            <w:tcW w:w="546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9</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240"/>
          </w:cols>
          <w:pgMar w:left="320" w:top="140" w:right="339" w:bottom="1440" w:gutter="0" w:footer="0" w:header="0"/>
        </w:sectPr>
      </w:pPr>
    </w:p>
    <w:bookmarkStart w:id="9" w:name="page10"/>
    <w:bookmarkEnd w:id="9"/>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Cash and Cash Equivalents and Short-Term Investments</w:t>
      </w:r>
    </w:p>
    <w:p>
      <w:pPr>
        <w:spacing w:after="0" w:line="247" w:lineRule="exact"/>
        <w:rPr>
          <w:sz w:val="20"/>
          <w:szCs w:val="20"/>
          <w:color w:val="auto"/>
        </w:rPr>
      </w:pPr>
    </w:p>
    <w:p>
      <w:pPr>
        <w:ind w:right="60" w:firstLine="324"/>
        <w:spacing w:after="0" w:line="261" w:lineRule="auto"/>
        <w:rPr>
          <w:sz w:val="20"/>
          <w:szCs w:val="20"/>
          <w:color w:val="auto"/>
        </w:rPr>
      </w:pPr>
      <w:r>
        <w:rPr>
          <w:rFonts w:ascii="Arial" w:cs="Arial" w:eastAsia="Arial" w:hAnsi="Arial"/>
          <w:sz w:val="18"/>
          <w:szCs w:val="18"/>
          <w:color w:val="auto"/>
        </w:rPr>
        <w:t>The following tables summarize the amortized cost, unrealized gain and loss and estimated fair value of cash equivalents and short-term investments: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1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3"/>
          </w:tcPr>
          <w:p>
            <w:pPr>
              <w:jc w:val="right"/>
              <w:ind w:right="352"/>
              <w:spacing w:after="0"/>
              <w:rPr>
                <w:sz w:val="20"/>
                <w:szCs w:val="20"/>
                <w:color w:val="auto"/>
              </w:rPr>
            </w:pPr>
            <w:r>
              <w:rPr>
                <w:rFonts w:ascii="Arial" w:cs="Arial" w:eastAsia="Arial" w:hAnsi="Arial"/>
                <w:sz w:val="16"/>
                <w:szCs w:val="16"/>
                <w:b w:val="1"/>
                <w:bCs w:val="1"/>
                <w:color w:val="auto"/>
              </w:rPr>
              <w:t>June 30, 2020</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r>
      <w:tr>
        <w:trPr>
          <w:trHeight w:val="198"/>
        </w:trPr>
        <w:tc>
          <w:tcPr>
            <w:tcW w:w="5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center"/>
              <w:ind w:right="72"/>
              <w:spacing w:after="0"/>
              <w:rPr>
                <w:sz w:val="20"/>
                <w:szCs w:val="20"/>
                <w:color w:val="auto"/>
              </w:rPr>
            </w:pPr>
            <w:r>
              <w:rPr>
                <w:rFonts w:ascii="Arial" w:cs="Arial" w:eastAsia="Arial" w:hAnsi="Arial"/>
                <w:sz w:val="16"/>
                <w:szCs w:val="16"/>
                <w:b w:val="1"/>
                <w:bCs w:val="1"/>
                <w:color w:val="auto"/>
              </w:rPr>
              <w:t>Estimated Fair</w:t>
            </w:r>
          </w:p>
        </w:tc>
      </w:tr>
      <w:tr>
        <w:trPr>
          <w:trHeight w:val="228"/>
        </w:trPr>
        <w:tc>
          <w:tcPr>
            <w:tcW w:w="514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1460" w:type="dxa"/>
            <w:vAlign w:val="bottom"/>
            <w:gridSpan w:val="3"/>
          </w:tcPr>
          <w:p>
            <w:pPr>
              <w:ind w:left="80"/>
              <w:spacing w:after="0"/>
              <w:rPr>
                <w:sz w:val="20"/>
                <w:szCs w:val="20"/>
                <w:color w:val="auto"/>
              </w:rPr>
            </w:pPr>
            <w:r>
              <w:rPr>
                <w:rFonts w:ascii="Arial" w:cs="Arial" w:eastAsia="Arial" w:hAnsi="Arial"/>
                <w:sz w:val="16"/>
                <w:szCs w:val="16"/>
                <w:b w:val="1"/>
                <w:bCs w:val="1"/>
                <w:color w:val="auto"/>
              </w:rPr>
              <w:t>Amortized Cost</w:t>
            </w:r>
          </w:p>
        </w:tc>
        <w:tc>
          <w:tcPr>
            <w:tcW w:w="1580" w:type="dxa"/>
            <w:vAlign w:val="bottom"/>
            <w:gridSpan w:val="3"/>
          </w:tcPr>
          <w:p>
            <w:pPr>
              <w:ind w:left="140"/>
              <w:spacing w:after="0"/>
              <w:rPr>
                <w:sz w:val="20"/>
                <w:szCs w:val="20"/>
                <w:color w:val="auto"/>
              </w:rPr>
            </w:pPr>
            <w:r>
              <w:rPr>
                <w:rFonts w:ascii="Arial" w:cs="Arial" w:eastAsia="Arial" w:hAnsi="Arial"/>
                <w:sz w:val="16"/>
                <w:szCs w:val="16"/>
                <w:b w:val="1"/>
                <w:bCs w:val="1"/>
                <w:color w:val="auto"/>
              </w:rPr>
              <w:t>Unrealized Gain</w:t>
            </w:r>
          </w:p>
        </w:tc>
        <w:tc>
          <w:tcPr>
            <w:tcW w:w="1580" w:type="dxa"/>
            <w:vAlign w:val="bottom"/>
            <w:gridSpan w:val="3"/>
          </w:tcPr>
          <w:p>
            <w:pPr>
              <w:ind w:left="120"/>
              <w:spacing w:after="0"/>
              <w:rPr>
                <w:sz w:val="20"/>
                <w:szCs w:val="20"/>
                <w:color w:val="auto"/>
              </w:rPr>
            </w:pPr>
            <w:r>
              <w:rPr>
                <w:rFonts w:ascii="Arial" w:cs="Arial" w:eastAsia="Arial" w:hAnsi="Arial"/>
                <w:sz w:val="16"/>
                <w:szCs w:val="16"/>
                <w:b w:val="1"/>
                <w:bCs w:val="1"/>
                <w:color w:val="auto"/>
              </w:rPr>
              <w:t>Unrealized Loss</w:t>
            </w:r>
          </w:p>
        </w:tc>
        <w:tc>
          <w:tcPr>
            <w:tcW w:w="160" w:type="dxa"/>
            <w:vAlign w:val="bottom"/>
          </w:tcPr>
          <w:p>
            <w:pPr>
              <w:spacing w:after="0"/>
              <w:rPr>
                <w:sz w:val="19"/>
                <w:szCs w:val="19"/>
                <w:color w:val="auto"/>
              </w:rPr>
            </w:pPr>
          </w:p>
        </w:tc>
        <w:tc>
          <w:tcPr>
            <w:tcW w:w="1320" w:type="dxa"/>
            <w:vAlign w:val="bottom"/>
          </w:tcPr>
          <w:p>
            <w:pPr>
              <w:jc w:val="center"/>
              <w:ind w:right="52"/>
              <w:spacing w:after="0"/>
              <w:rPr>
                <w:sz w:val="20"/>
                <w:szCs w:val="20"/>
                <w:color w:val="auto"/>
              </w:rPr>
            </w:pPr>
            <w:r>
              <w:rPr>
                <w:rFonts w:ascii="Arial" w:cs="Arial" w:eastAsia="Arial" w:hAnsi="Arial"/>
                <w:sz w:val="16"/>
                <w:szCs w:val="16"/>
                <w:b w:val="1"/>
                <w:bCs w:val="1"/>
                <w:color w:val="auto"/>
                <w:w w:val="98"/>
              </w:rPr>
              <w:t>Value</w:t>
            </w:r>
          </w:p>
        </w:tc>
      </w:tr>
      <w:tr>
        <w:trPr>
          <w:trHeight w:val="263"/>
        </w:trPr>
        <w:tc>
          <w:tcPr>
            <w:tcW w:w="5140" w:type="dxa"/>
            <w:vAlign w:val="bottom"/>
          </w:tcPr>
          <w:p>
            <w:pPr>
              <w:ind w:left="40"/>
              <w:spacing w:after="0"/>
              <w:rPr>
                <w:sz w:val="20"/>
                <w:szCs w:val="20"/>
                <w:color w:val="auto"/>
              </w:rPr>
            </w:pPr>
            <w:r>
              <w:rPr>
                <w:rFonts w:ascii="Arial" w:cs="Arial" w:eastAsia="Arial" w:hAnsi="Arial"/>
                <w:sz w:val="18"/>
                <w:szCs w:val="18"/>
                <w:b w:val="1"/>
                <w:bCs w:val="1"/>
                <w:color w:val="auto"/>
              </w:rPr>
              <w:t>Cash equivalents:</w:t>
            </w:r>
          </w:p>
        </w:tc>
        <w:tc>
          <w:tcPr>
            <w:tcW w:w="36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r>
      <w:tr>
        <w:trPr>
          <w:trHeight w:val="270"/>
        </w:trPr>
        <w:tc>
          <w:tcPr>
            <w:tcW w:w="5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55,178</w:t>
            </w:r>
          </w:p>
        </w:tc>
        <w:tc>
          <w:tcPr>
            <w:tcW w:w="10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752"/>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55,178</w:t>
            </w:r>
          </w:p>
        </w:tc>
      </w:tr>
      <w:tr>
        <w:trPr>
          <w:trHeight w:val="296"/>
        </w:trPr>
        <w:tc>
          <w:tcPr>
            <w:tcW w:w="5140" w:type="dxa"/>
            <w:vAlign w:val="bottom"/>
          </w:tcPr>
          <w:p>
            <w:pPr>
              <w:ind w:left="280"/>
              <w:spacing w:after="0"/>
              <w:rPr>
                <w:sz w:val="20"/>
                <w:szCs w:val="20"/>
                <w:color w:val="auto"/>
              </w:rPr>
            </w:pPr>
            <w:r>
              <w:rPr>
                <w:rFonts w:ascii="Arial" w:cs="Arial" w:eastAsia="Arial" w:hAnsi="Arial"/>
                <w:sz w:val="18"/>
                <w:szCs w:val="18"/>
                <w:color w:val="auto"/>
              </w:rPr>
              <w:t>Total cash equivalents</w:t>
            </w: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55,178</w:t>
            </w:r>
          </w:p>
        </w:tc>
        <w:tc>
          <w:tcPr>
            <w:tcW w:w="100" w:type="dxa"/>
            <w:vAlign w:val="bottom"/>
          </w:tcPr>
          <w:p>
            <w:pPr>
              <w:spacing w:after="0"/>
              <w:rPr>
                <w:sz w:val="24"/>
                <w:szCs w:val="24"/>
                <w:color w:val="auto"/>
              </w:rPr>
            </w:pPr>
          </w:p>
        </w:tc>
        <w:tc>
          <w:tcPr>
            <w:tcW w:w="50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52"/>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55,178</w:t>
            </w:r>
          </w:p>
        </w:tc>
      </w:tr>
      <w:tr>
        <w:trPr>
          <w:trHeight w:val="305"/>
        </w:trPr>
        <w:tc>
          <w:tcPr>
            <w:tcW w:w="5140" w:type="dxa"/>
            <w:vAlign w:val="bottom"/>
            <w:tcBorders>
              <w:top w:val="single" w:sz="8" w:color="CCEEFF"/>
            </w:tcBorders>
            <w:shd w:val="clear" w:color="auto" w:fill="CCEEFF"/>
          </w:tcPr>
          <w:p>
            <w:pPr>
              <w:spacing w:after="0"/>
              <w:rPr>
                <w:sz w:val="24"/>
                <w:szCs w:val="24"/>
                <w:color w:val="auto"/>
              </w:rPr>
            </w:pPr>
          </w:p>
        </w:tc>
        <w:tc>
          <w:tcPr>
            <w:tcW w:w="360" w:type="dxa"/>
            <w:vAlign w:val="bottom"/>
            <w:tcBorders>
              <w:top w:val="single" w:sz="8" w:color="auto"/>
            </w:tcBorders>
            <w:shd w:val="clear" w:color="auto" w:fill="CCEEFF"/>
          </w:tcPr>
          <w:p>
            <w:pPr>
              <w:spacing w:after="0"/>
              <w:rPr>
                <w:sz w:val="24"/>
                <w:szCs w:val="24"/>
                <w:color w:val="auto"/>
              </w:rPr>
            </w:pPr>
          </w:p>
        </w:tc>
        <w:tc>
          <w:tcPr>
            <w:tcW w:w="100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500" w:type="dxa"/>
            <w:vAlign w:val="bottom"/>
            <w:tcBorders>
              <w:top w:val="single" w:sz="8" w:color="auto"/>
            </w:tcBorders>
            <w:shd w:val="clear" w:color="auto" w:fill="CCEEFF"/>
          </w:tcPr>
          <w:p>
            <w:pPr>
              <w:spacing w:after="0"/>
              <w:rPr>
                <w:sz w:val="24"/>
                <w:szCs w:val="24"/>
                <w:color w:val="auto"/>
              </w:rPr>
            </w:pPr>
          </w:p>
        </w:tc>
        <w:tc>
          <w:tcPr>
            <w:tcW w:w="98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980" w:type="dxa"/>
            <w:vAlign w:val="bottom"/>
            <w:tcBorders>
              <w:top w:val="single" w:sz="8" w:color="auto"/>
            </w:tcBorders>
            <w:shd w:val="clear" w:color="auto" w:fill="CCEEFF"/>
          </w:tcPr>
          <w:p>
            <w:pPr>
              <w:spacing w:after="0"/>
              <w:rPr>
                <w:sz w:val="24"/>
                <w:szCs w:val="24"/>
                <w:color w:val="auto"/>
              </w:rPr>
            </w:pPr>
          </w:p>
        </w:tc>
        <w:tc>
          <w:tcPr>
            <w:tcW w:w="50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auto"/>
            </w:tcBorders>
            <w:shd w:val="clear" w:color="auto" w:fill="CCEEFF"/>
          </w:tcPr>
          <w:p>
            <w:pPr>
              <w:spacing w:after="0"/>
              <w:rPr>
                <w:sz w:val="24"/>
                <w:szCs w:val="24"/>
                <w:color w:val="auto"/>
              </w:rPr>
            </w:pPr>
          </w:p>
        </w:tc>
        <w:tc>
          <w:tcPr>
            <w:tcW w:w="1320" w:type="dxa"/>
            <w:vAlign w:val="bottom"/>
            <w:tcBorders>
              <w:top w:val="single" w:sz="8" w:color="auto"/>
            </w:tcBorders>
            <w:shd w:val="clear" w:color="auto" w:fill="CCEEFF"/>
          </w:tcPr>
          <w:p>
            <w:pPr>
              <w:spacing w:after="0"/>
              <w:rPr>
                <w:sz w:val="24"/>
                <w:szCs w:val="24"/>
                <w:color w:val="auto"/>
              </w:rPr>
            </w:pPr>
          </w:p>
        </w:tc>
      </w:tr>
      <w:tr>
        <w:trPr>
          <w:trHeight w:val="263"/>
        </w:trPr>
        <w:tc>
          <w:tcPr>
            <w:tcW w:w="5140" w:type="dxa"/>
            <w:vAlign w:val="bottom"/>
          </w:tcPr>
          <w:p>
            <w:pPr>
              <w:ind w:left="40"/>
              <w:spacing w:after="0"/>
              <w:rPr>
                <w:sz w:val="20"/>
                <w:szCs w:val="20"/>
                <w:color w:val="auto"/>
              </w:rPr>
            </w:pPr>
            <w:r>
              <w:rPr>
                <w:rFonts w:ascii="Arial" w:cs="Arial" w:eastAsia="Arial" w:hAnsi="Arial"/>
                <w:sz w:val="18"/>
                <w:szCs w:val="18"/>
                <w:b w:val="1"/>
                <w:bCs w:val="1"/>
                <w:color w:val="auto"/>
              </w:rPr>
              <w:t>Short-term investments:</w:t>
            </w:r>
          </w:p>
        </w:tc>
        <w:tc>
          <w:tcPr>
            <w:tcW w:w="3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77"/>
        </w:trPr>
        <w:tc>
          <w:tcPr>
            <w:tcW w:w="5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48,573</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52"/>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48,573</w:t>
            </w:r>
          </w:p>
        </w:tc>
      </w:tr>
      <w:tr>
        <w:trPr>
          <w:trHeight w:val="263"/>
        </w:trPr>
        <w:tc>
          <w:tcPr>
            <w:tcW w:w="5140" w:type="dxa"/>
            <w:vAlign w:val="bottom"/>
          </w:tcPr>
          <w:p>
            <w:pPr>
              <w:ind w:left="40"/>
              <w:spacing w:after="0"/>
              <w:rPr>
                <w:sz w:val="20"/>
                <w:szCs w:val="20"/>
                <w:color w:val="auto"/>
              </w:rPr>
            </w:pPr>
            <w:r>
              <w:rPr>
                <w:rFonts w:ascii="Arial" w:cs="Arial" w:eastAsia="Arial" w:hAnsi="Arial"/>
                <w:sz w:val="18"/>
                <w:szCs w:val="18"/>
                <w:color w:val="auto"/>
              </w:rPr>
              <w:t>Corporate bonds</w:t>
            </w:r>
          </w:p>
        </w:tc>
        <w:tc>
          <w:tcPr>
            <w:tcW w:w="360" w:type="dxa"/>
            <w:vAlign w:val="bottom"/>
          </w:tcPr>
          <w:p>
            <w:pPr>
              <w:spacing w:after="0"/>
              <w:rPr>
                <w:sz w:val="22"/>
                <w:szCs w:val="22"/>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11,769</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11,825</w:t>
            </w:r>
          </w:p>
        </w:tc>
      </w:tr>
      <w:tr>
        <w:trPr>
          <w:trHeight w:val="270"/>
        </w:trPr>
        <w:tc>
          <w:tcPr>
            <w:tcW w:w="5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Treasury and agency obligations</w:t>
            </w:r>
          </w:p>
        </w:tc>
        <w:tc>
          <w:tcPr>
            <w:tcW w:w="3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45,143</w:t>
            </w:r>
          </w:p>
        </w:tc>
        <w:tc>
          <w:tcPr>
            <w:tcW w:w="10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45,236</w:t>
            </w:r>
          </w:p>
        </w:tc>
      </w:tr>
      <w:tr>
        <w:trPr>
          <w:trHeight w:val="257"/>
        </w:trPr>
        <w:tc>
          <w:tcPr>
            <w:tcW w:w="5140" w:type="dxa"/>
            <w:vAlign w:val="bottom"/>
          </w:tcPr>
          <w:p>
            <w:pPr>
              <w:ind w:left="280"/>
              <w:spacing w:after="0"/>
              <w:rPr>
                <w:sz w:val="20"/>
                <w:szCs w:val="20"/>
                <w:color w:val="auto"/>
              </w:rPr>
            </w:pPr>
            <w:r>
              <w:rPr>
                <w:rFonts w:ascii="Arial" w:cs="Arial" w:eastAsia="Arial" w:hAnsi="Arial"/>
                <w:sz w:val="18"/>
                <w:szCs w:val="18"/>
                <w:color w:val="auto"/>
              </w:rPr>
              <w:t>Total short-term investments</w:t>
            </w:r>
          </w:p>
        </w:tc>
        <w:tc>
          <w:tcPr>
            <w:tcW w:w="3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105,485</w:t>
            </w:r>
          </w:p>
        </w:tc>
        <w:tc>
          <w:tcPr>
            <w:tcW w:w="100" w:type="dxa"/>
            <w:vAlign w:val="bottom"/>
          </w:tcPr>
          <w:p>
            <w:pPr>
              <w:spacing w:after="0"/>
              <w:rPr>
                <w:sz w:val="22"/>
                <w:szCs w:val="22"/>
                <w:color w:val="auto"/>
              </w:rPr>
            </w:pPr>
          </w:p>
        </w:tc>
        <w:tc>
          <w:tcPr>
            <w:tcW w:w="50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2"/>
                <w:szCs w:val="22"/>
                <w:color w:val="auto"/>
              </w:rPr>
            </w:pPr>
          </w:p>
        </w:tc>
        <w:tc>
          <w:tcPr>
            <w:tcW w:w="980" w:type="dxa"/>
            <w:vAlign w:val="bottom"/>
            <w:tcBorders>
              <w:bottom w:val="single" w:sz="8" w:color="auto"/>
            </w:tcBorders>
          </w:tcPr>
          <w:p>
            <w:pPr>
              <w:jc w:val="right"/>
              <w:ind w:right="752"/>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105,634</w:t>
            </w:r>
          </w:p>
        </w:tc>
      </w:tr>
      <w:tr>
        <w:trPr>
          <w:trHeight w:val="20"/>
        </w:trPr>
        <w:tc>
          <w:tcPr>
            <w:tcW w:w="5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595"/>
        </w:trPr>
        <w:tc>
          <w:tcPr>
            <w:tcW w:w="51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3"/>
          </w:tcPr>
          <w:p>
            <w:pPr>
              <w:jc w:val="right"/>
              <w:ind w:right="132"/>
              <w:spacing w:after="0"/>
              <w:rPr>
                <w:sz w:val="20"/>
                <w:szCs w:val="20"/>
                <w:color w:val="auto"/>
              </w:rPr>
            </w:pPr>
            <w:r>
              <w:rPr>
                <w:rFonts w:ascii="Arial" w:cs="Arial" w:eastAsia="Arial" w:hAnsi="Arial"/>
                <w:sz w:val="16"/>
                <w:szCs w:val="16"/>
                <w:b w:val="1"/>
                <w:bCs w:val="1"/>
                <w:color w:val="auto"/>
              </w:rPr>
              <w:t>December 31, 2019</w:t>
            </w: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r>
        <w:trPr>
          <w:trHeight w:val="198"/>
        </w:trPr>
        <w:tc>
          <w:tcPr>
            <w:tcW w:w="5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center"/>
              <w:ind w:right="72"/>
              <w:spacing w:after="0"/>
              <w:rPr>
                <w:sz w:val="20"/>
                <w:szCs w:val="20"/>
                <w:color w:val="auto"/>
              </w:rPr>
            </w:pPr>
            <w:r>
              <w:rPr>
                <w:rFonts w:ascii="Arial" w:cs="Arial" w:eastAsia="Arial" w:hAnsi="Arial"/>
                <w:sz w:val="16"/>
                <w:szCs w:val="16"/>
                <w:b w:val="1"/>
                <w:bCs w:val="1"/>
                <w:color w:val="auto"/>
              </w:rPr>
              <w:t>Estimated Fair</w:t>
            </w:r>
          </w:p>
        </w:tc>
      </w:tr>
      <w:tr>
        <w:trPr>
          <w:trHeight w:val="228"/>
        </w:trPr>
        <w:tc>
          <w:tcPr>
            <w:tcW w:w="514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1460" w:type="dxa"/>
            <w:vAlign w:val="bottom"/>
            <w:gridSpan w:val="3"/>
          </w:tcPr>
          <w:p>
            <w:pPr>
              <w:ind w:left="80"/>
              <w:spacing w:after="0"/>
              <w:rPr>
                <w:sz w:val="20"/>
                <w:szCs w:val="20"/>
                <w:color w:val="auto"/>
              </w:rPr>
            </w:pPr>
            <w:r>
              <w:rPr>
                <w:rFonts w:ascii="Arial" w:cs="Arial" w:eastAsia="Arial" w:hAnsi="Arial"/>
                <w:sz w:val="16"/>
                <w:szCs w:val="16"/>
                <w:b w:val="1"/>
                <w:bCs w:val="1"/>
                <w:color w:val="auto"/>
              </w:rPr>
              <w:t>Amortized Cost</w:t>
            </w:r>
          </w:p>
        </w:tc>
        <w:tc>
          <w:tcPr>
            <w:tcW w:w="1580" w:type="dxa"/>
            <w:vAlign w:val="bottom"/>
            <w:gridSpan w:val="3"/>
          </w:tcPr>
          <w:p>
            <w:pPr>
              <w:ind w:left="140"/>
              <w:spacing w:after="0"/>
              <w:rPr>
                <w:sz w:val="20"/>
                <w:szCs w:val="20"/>
                <w:color w:val="auto"/>
              </w:rPr>
            </w:pPr>
            <w:r>
              <w:rPr>
                <w:rFonts w:ascii="Arial" w:cs="Arial" w:eastAsia="Arial" w:hAnsi="Arial"/>
                <w:sz w:val="16"/>
                <w:szCs w:val="16"/>
                <w:b w:val="1"/>
                <w:bCs w:val="1"/>
                <w:color w:val="auto"/>
              </w:rPr>
              <w:t>Unrealized Gain</w:t>
            </w:r>
          </w:p>
        </w:tc>
        <w:tc>
          <w:tcPr>
            <w:tcW w:w="1580" w:type="dxa"/>
            <w:vAlign w:val="bottom"/>
            <w:gridSpan w:val="3"/>
          </w:tcPr>
          <w:p>
            <w:pPr>
              <w:ind w:left="120"/>
              <w:spacing w:after="0"/>
              <w:rPr>
                <w:sz w:val="20"/>
                <w:szCs w:val="20"/>
                <w:color w:val="auto"/>
              </w:rPr>
            </w:pPr>
            <w:r>
              <w:rPr>
                <w:rFonts w:ascii="Arial" w:cs="Arial" w:eastAsia="Arial" w:hAnsi="Arial"/>
                <w:sz w:val="16"/>
                <w:szCs w:val="16"/>
                <w:b w:val="1"/>
                <w:bCs w:val="1"/>
                <w:color w:val="auto"/>
              </w:rPr>
              <w:t>Unrealized Loss</w:t>
            </w:r>
          </w:p>
        </w:tc>
        <w:tc>
          <w:tcPr>
            <w:tcW w:w="160" w:type="dxa"/>
            <w:vAlign w:val="bottom"/>
          </w:tcPr>
          <w:p>
            <w:pPr>
              <w:spacing w:after="0"/>
              <w:rPr>
                <w:sz w:val="19"/>
                <w:szCs w:val="19"/>
                <w:color w:val="auto"/>
              </w:rPr>
            </w:pPr>
          </w:p>
        </w:tc>
        <w:tc>
          <w:tcPr>
            <w:tcW w:w="1320" w:type="dxa"/>
            <w:vAlign w:val="bottom"/>
          </w:tcPr>
          <w:p>
            <w:pPr>
              <w:jc w:val="center"/>
              <w:ind w:right="52"/>
              <w:spacing w:after="0"/>
              <w:rPr>
                <w:sz w:val="20"/>
                <w:szCs w:val="20"/>
                <w:color w:val="auto"/>
              </w:rPr>
            </w:pPr>
            <w:r>
              <w:rPr>
                <w:rFonts w:ascii="Arial" w:cs="Arial" w:eastAsia="Arial" w:hAnsi="Arial"/>
                <w:sz w:val="16"/>
                <w:szCs w:val="16"/>
                <w:b w:val="1"/>
                <w:bCs w:val="1"/>
                <w:color w:val="auto"/>
                <w:w w:val="98"/>
              </w:rPr>
              <w:t>Value</w:t>
            </w:r>
          </w:p>
        </w:tc>
      </w:tr>
      <w:tr>
        <w:trPr>
          <w:trHeight w:val="263"/>
        </w:trPr>
        <w:tc>
          <w:tcPr>
            <w:tcW w:w="5140" w:type="dxa"/>
            <w:vAlign w:val="bottom"/>
          </w:tcPr>
          <w:p>
            <w:pPr>
              <w:ind w:left="40"/>
              <w:spacing w:after="0"/>
              <w:rPr>
                <w:sz w:val="20"/>
                <w:szCs w:val="20"/>
                <w:color w:val="auto"/>
              </w:rPr>
            </w:pPr>
            <w:r>
              <w:rPr>
                <w:rFonts w:ascii="Arial" w:cs="Arial" w:eastAsia="Arial" w:hAnsi="Arial"/>
                <w:sz w:val="18"/>
                <w:szCs w:val="18"/>
                <w:b w:val="1"/>
                <w:bCs w:val="1"/>
                <w:color w:val="auto"/>
              </w:rPr>
              <w:t>Cash equivalents:</w:t>
            </w:r>
          </w:p>
        </w:tc>
        <w:tc>
          <w:tcPr>
            <w:tcW w:w="36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r>
      <w:tr>
        <w:trPr>
          <w:trHeight w:val="277"/>
        </w:trPr>
        <w:tc>
          <w:tcPr>
            <w:tcW w:w="5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13,588</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52"/>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13,588</w:t>
            </w:r>
          </w:p>
        </w:tc>
      </w:tr>
      <w:tr>
        <w:trPr>
          <w:trHeight w:val="263"/>
        </w:trPr>
        <w:tc>
          <w:tcPr>
            <w:tcW w:w="51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Commercial paper</w:t>
            </w: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8,987</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8,987</w:t>
            </w:r>
          </w:p>
        </w:tc>
      </w:tr>
      <w:tr>
        <w:trPr>
          <w:trHeight w:val="257"/>
        </w:trPr>
        <w:tc>
          <w:tcPr>
            <w:tcW w:w="51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cash equivalents</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22,575</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52"/>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22,575</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5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70"/>
        </w:trPr>
        <w:tc>
          <w:tcPr>
            <w:tcW w:w="51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Short-term investments:</w:t>
            </w:r>
          </w:p>
        </w:tc>
        <w:tc>
          <w:tcPr>
            <w:tcW w:w="3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63"/>
        </w:trPr>
        <w:tc>
          <w:tcPr>
            <w:tcW w:w="5140" w:type="dxa"/>
            <w:vAlign w:val="bottom"/>
          </w:tcPr>
          <w:p>
            <w:pPr>
              <w:ind w:left="40"/>
              <w:spacing w:after="0"/>
              <w:rPr>
                <w:sz w:val="20"/>
                <w:szCs w:val="20"/>
                <w:color w:val="auto"/>
              </w:rPr>
            </w:pPr>
            <w:r>
              <w:rPr>
                <w:rFonts w:ascii="Arial" w:cs="Arial" w:eastAsia="Arial" w:hAnsi="Arial"/>
                <w:sz w:val="18"/>
                <w:szCs w:val="18"/>
                <w:color w:val="auto"/>
              </w:rPr>
              <w:t>Commercial paper</w:t>
            </w: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61,371</w:t>
            </w:r>
          </w:p>
        </w:tc>
        <w:tc>
          <w:tcPr>
            <w:tcW w:w="100" w:type="dxa"/>
            <w:vAlign w:val="bottom"/>
          </w:tcPr>
          <w:p>
            <w:pPr>
              <w:spacing w:after="0"/>
              <w:rPr>
                <w:sz w:val="22"/>
                <w:szCs w:val="22"/>
                <w:color w:val="auto"/>
              </w:rPr>
            </w:pPr>
          </w:p>
        </w:tc>
        <w:tc>
          <w:tcPr>
            <w:tcW w:w="50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52"/>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61,371</w:t>
            </w:r>
          </w:p>
        </w:tc>
      </w:tr>
      <w:tr>
        <w:trPr>
          <w:trHeight w:val="277"/>
        </w:trPr>
        <w:tc>
          <w:tcPr>
            <w:tcW w:w="5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Corporate bonds</w:t>
            </w: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23,856</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23,869</w:t>
            </w:r>
          </w:p>
        </w:tc>
      </w:tr>
      <w:tr>
        <w:trPr>
          <w:trHeight w:val="264"/>
        </w:trPr>
        <w:tc>
          <w:tcPr>
            <w:tcW w:w="51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U.S. Treasury and agency obligations</w:t>
            </w: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52,627</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52,664</w:t>
            </w:r>
          </w:p>
        </w:tc>
      </w:tr>
      <w:tr>
        <w:trPr>
          <w:trHeight w:val="256"/>
        </w:trPr>
        <w:tc>
          <w:tcPr>
            <w:tcW w:w="5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short-term investments</w:t>
            </w: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137,854</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752"/>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137,904</w:t>
            </w:r>
          </w:p>
        </w:tc>
      </w:tr>
      <w:tr>
        <w:trPr>
          <w:trHeight w:val="20"/>
        </w:trPr>
        <w:tc>
          <w:tcPr>
            <w:tcW w:w="5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Gross unrealized losses were not material at June 30, 2020 and December 31, 2019, respectively. At June 30, 2020, we considered the extent to which any unrealized losses on our short-term investments were driven by credit risk and other factors, including market risk, and if it is more-likely-than-not that we would have to sell the security before the recovery of the amortized cost basis. Based on our assessment, we do not believe any unrealized losses represent credit losses at June 30, 2020.</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June 30, 2020, all of our short-term investments had maturities within the next twelve months.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247" w:lineRule="exact"/>
        <w:rPr>
          <w:sz w:val="20"/>
          <w:szCs w:val="20"/>
          <w:color w:val="auto"/>
        </w:rPr>
      </w:pPr>
    </w:p>
    <w:p>
      <w:pPr>
        <w:ind w:right="300" w:firstLine="324"/>
        <w:spacing w:after="0" w:line="261" w:lineRule="auto"/>
        <w:rPr>
          <w:sz w:val="20"/>
          <w:szCs w:val="20"/>
          <w:color w:val="auto"/>
        </w:rPr>
      </w:pPr>
      <w:r>
        <w:rPr>
          <w:rFonts w:ascii="Arial" w:cs="Arial" w:eastAsia="Arial" w:hAnsi="Arial"/>
          <w:sz w:val="18"/>
          <w:szCs w:val="18"/>
          <w:color w:val="auto"/>
        </w:rPr>
        <w:t>We measure certain financial instruments at fair value using a fair value hierarchy. In the hierarchy, assets are classified based on the lowest level inputs used in valuation into the following categories:</w:t>
      </w:r>
    </w:p>
    <w:p>
      <w:pPr>
        <w:spacing w:after="0" w:line="72"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in active markets for identical assets and liabilities;</w:t>
      </w:r>
    </w:p>
    <w:p>
      <w:pPr>
        <w:spacing w:after="0" w:line="63" w:lineRule="exact"/>
        <w:rPr>
          <w:rFonts w:ascii="Arial" w:cs="Arial" w:eastAsia="Arial" w:hAnsi="Arial"/>
          <w:sz w:val="18"/>
          <w:szCs w:val="18"/>
          <w:color w:val="auto"/>
        </w:rPr>
      </w:pPr>
    </w:p>
    <w:p>
      <w:pPr>
        <w:ind w:left="660" w:right="460" w:hanging="328"/>
        <w:spacing w:after="0" w:line="28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Observable inputs including quoted market prices for similar assets and liabilities in active markets, quoted prices for</w:t>
      </w:r>
      <w:r>
        <w:rPr>
          <w:rFonts w:ascii="Arial" w:cs="Arial" w:eastAsia="Arial" w:hAnsi="Arial"/>
          <w:sz w:val="18"/>
          <w:szCs w:val="18"/>
          <w:i w:val="1"/>
          <w:iCs w:val="1"/>
          <w:color w:val="auto"/>
        </w:rPr>
        <w:t xml:space="preserve"> </w:t>
      </w:r>
      <w:r>
        <w:rPr>
          <w:rFonts w:ascii="Arial" w:cs="Arial" w:eastAsia="Arial" w:hAnsi="Arial"/>
          <w:sz w:val="18"/>
          <w:szCs w:val="18"/>
          <w:color w:val="auto"/>
        </w:rPr>
        <w:t>identical assets and liabilities in inactive markets, or inputs that are corroborated by observable market data;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Unobservable inputs.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40" w:right="339" w:bottom="1440" w:gutter="0" w:footer="0" w:header="0"/>
        </w:sectPr>
      </w:pPr>
    </w:p>
    <w:bookmarkStart w:id="10" w:name="page11"/>
    <w:bookmarkEnd w:id="10"/>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summarize assets that are measured at fair value on a recurring basis: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3"/>
          </w:tcPr>
          <w:p>
            <w:pPr>
              <w:jc w:val="right"/>
              <w:ind w:right="512"/>
              <w:spacing w:after="0"/>
              <w:rPr>
                <w:sz w:val="20"/>
                <w:szCs w:val="20"/>
                <w:color w:val="auto"/>
              </w:rPr>
            </w:pPr>
            <w:r>
              <w:rPr>
                <w:rFonts w:ascii="Arial" w:cs="Arial" w:eastAsia="Arial" w:hAnsi="Arial"/>
                <w:sz w:val="16"/>
                <w:szCs w:val="16"/>
                <w:b w:val="1"/>
                <w:bCs w:val="1"/>
                <w:color w:val="auto"/>
              </w:rPr>
              <w:t>June 30, 2020</w:t>
            </w: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r>
      <w:tr>
        <w:trPr>
          <w:trHeight w:val="263"/>
        </w:trPr>
        <w:tc>
          <w:tcPr>
            <w:tcW w:w="502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Pr>
          <w:p>
            <w:pPr>
              <w:spacing w:after="0"/>
              <w:rPr>
                <w:sz w:val="22"/>
                <w:szCs w:val="22"/>
                <w:color w:val="auto"/>
              </w:rPr>
            </w:pPr>
          </w:p>
        </w:tc>
        <w:tc>
          <w:tcPr>
            <w:tcW w:w="1280" w:type="dxa"/>
            <w:vAlign w:val="bottom"/>
            <w:gridSpan w:val="2"/>
          </w:tcPr>
          <w:p>
            <w:pPr>
              <w:ind w:left="180"/>
              <w:spacing w:after="0"/>
              <w:rPr>
                <w:sz w:val="20"/>
                <w:szCs w:val="20"/>
                <w:color w:val="auto"/>
              </w:rPr>
            </w:pPr>
            <w:r>
              <w:rPr>
                <w:rFonts w:ascii="Arial" w:cs="Arial" w:eastAsia="Arial" w:hAnsi="Arial"/>
                <w:sz w:val="16"/>
                <w:szCs w:val="16"/>
                <w:b w:val="1"/>
                <w:bCs w:val="1"/>
                <w:color w:val="auto"/>
              </w:rPr>
              <w:t>Level 1</w:t>
            </w:r>
          </w:p>
        </w:tc>
        <w:tc>
          <w:tcPr>
            <w:tcW w:w="300" w:type="dxa"/>
            <w:vAlign w:val="bottom"/>
          </w:tcPr>
          <w:p>
            <w:pPr>
              <w:spacing w:after="0"/>
              <w:rPr>
                <w:sz w:val="22"/>
                <w:szCs w:val="22"/>
                <w:color w:val="auto"/>
              </w:rPr>
            </w:pPr>
          </w:p>
        </w:tc>
        <w:tc>
          <w:tcPr>
            <w:tcW w:w="1280" w:type="dxa"/>
            <w:vAlign w:val="bottom"/>
            <w:gridSpan w:val="2"/>
          </w:tcPr>
          <w:p>
            <w:pPr>
              <w:ind w:left="180"/>
              <w:spacing w:after="0"/>
              <w:rPr>
                <w:sz w:val="20"/>
                <w:szCs w:val="20"/>
                <w:color w:val="auto"/>
              </w:rPr>
            </w:pPr>
            <w:r>
              <w:rPr>
                <w:rFonts w:ascii="Arial" w:cs="Arial" w:eastAsia="Arial" w:hAnsi="Arial"/>
                <w:sz w:val="16"/>
                <w:szCs w:val="16"/>
                <w:b w:val="1"/>
                <w:bCs w:val="1"/>
                <w:color w:val="auto"/>
              </w:rPr>
              <w:t>Level 2</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Level 3</w:t>
            </w: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51"/>
              <w:spacing w:after="0"/>
              <w:rPr>
                <w:sz w:val="20"/>
                <w:szCs w:val="20"/>
                <w:color w:val="auto"/>
              </w:rPr>
            </w:pPr>
            <w:r>
              <w:rPr>
                <w:rFonts w:ascii="Arial" w:cs="Arial" w:eastAsia="Arial" w:hAnsi="Arial"/>
                <w:sz w:val="16"/>
                <w:szCs w:val="16"/>
                <w:b w:val="1"/>
                <w:bCs w:val="1"/>
                <w:color w:val="auto"/>
              </w:rPr>
              <w:t>Total</w:t>
            </w:r>
          </w:p>
        </w:tc>
      </w:tr>
      <w:tr>
        <w:trPr>
          <w:trHeight w:val="270"/>
        </w:trPr>
        <w:tc>
          <w:tcPr>
            <w:tcW w:w="50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w:t>
            </w:r>
          </w:p>
        </w:tc>
        <w:tc>
          <w:tcPr>
            <w:tcW w:w="30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0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3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4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r>
      <w:tr>
        <w:trPr>
          <w:trHeight w:val="263"/>
        </w:trPr>
        <w:tc>
          <w:tcPr>
            <w:tcW w:w="50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Money market funds</w:t>
            </w: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55,178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ind w:right="87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55,178</w:t>
            </w:r>
          </w:p>
        </w:tc>
      </w:tr>
      <w:tr>
        <w:trPr>
          <w:trHeight w:val="250"/>
        </w:trPr>
        <w:tc>
          <w:tcPr>
            <w:tcW w:w="50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55,178</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872"/>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55,178</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5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0"/>
        </w:trPr>
        <w:tc>
          <w:tcPr>
            <w:tcW w:w="50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Short-term investments</w:t>
            </w: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63"/>
        </w:trPr>
        <w:tc>
          <w:tcPr>
            <w:tcW w:w="5020" w:type="dxa"/>
            <w:vAlign w:val="bottom"/>
          </w:tcPr>
          <w:p>
            <w:pPr>
              <w:ind w:left="180"/>
              <w:spacing w:after="0"/>
              <w:rPr>
                <w:sz w:val="20"/>
                <w:szCs w:val="20"/>
                <w:color w:val="auto"/>
              </w:rPr>
            </w:pPr>
            <w:r>
              <w:rPr>
                <w:rFonts w:ascii="Arial" w:cs="Arial" w:eastAsia="Arial" w:hAnsi="Arial"/>
                <w:sz w:val="18"/>
                <w:szCs w:val="18"/>
                <w:color w:val="auto"/>
              </w:rPr>
              <w:t>Commercial paper</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48,573</w:t>
            </w:r>
          </w:p>
        </w:tc>
        <w:tc>
          <w:tcPr>
            <w:tcW w:w="100" w:type="dxa"/>
            <w:vAlign w:val="bottom"/>
          </w:tcPr>
          <w:p>
            <w:pPr>
              <w:spacing w:after="0"/>
              <w:rPr>
                <w:sz w:val="22"/>
                <w:szCs w:val="22"/>
                <w:color w:val="auto"/>
              </w:rPr>
            </w:pPr>
          </w:p>
        </w:tc>
        <w:tc>
          <w:tcPr>
            <w:tcW w:w="1100" w:type="dxa"/>
            <w:vAlign w:val="bottom"/>
          </w:tcPr>
          <w:p>
            <w:pPr>
              <w:jc w:val="right"/>
              <w:ind w:right="872"/>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48,573</w:t>
            </w:r>
          </w:p>
        </w:tc>
      </w:tr>
      <w:tr>
        <w:trPr>
          <w:trHeight w:val="277"/>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bonds</w:t>
            </w:r>
          </w:p>
        </w:tc>
        <w:tc>
          <w:tcPr>
            <w:tcW w:w="30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11,825</w:t>
            </w: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11,825</w:t>
            </w:r>
          </w:p>
        </w:tc>
      </w:tr>
      <w:tr>
        <w:trPr>
          <w:trHeight w:val="264"/>
        </w:trPr>
        <w:tc>
          <w:tcPr>
            <w:tcW w:w="50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U.S. Treasury and agency obligations</w:t>
            </w: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45,236</w:t>
            </w:r>
          </w:p>
        </w:tc>
        <w:tc>
          <w:tcPr>
            <w:tcW w:w="10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45,236</w:t>
            </w:r>
          </w:p>
        </w:tc>
      </w:tr>
      <w:tr>
        <w:trPr>
          <w:trHeight w:val="250"/>
        </w:trPr>
        <w:tc>
          <w:tcPr>
            <w:tcW w:w="50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105,634</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87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105,634</w:t>
            </w:r>
          </w:p>
        </w:tc>
      </w:tr>
      <w:tr>
        <w:trPr>
          <w:trHeight w:val="20"/>
        </w:trPr>
        <w:tc>
          <w:tcPr>
            <w:tcW w:w="5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601"/>
        </w:trPr>
        <w:tc>
          <w:tcPr>
            <w:tcW w:w="50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3"/>
          </w:tcPr>
          <w:p>
            <w:pPr>
              <w:jc w:val="right"/>
              <w:ind w:right="312"/>
              <w:spacing w:after="0"/>
              <w:rPr>
                <w:sz w:val="20"/>
                <w:szCs w:val="20"/>
                <w:color w:val="auto"/>
              </w:rPr>
            </w:pPr>
            <w:r>
              <w:rPr>
                <w:rFonts w:ascii="Arial" w:cs="Arial" w:eastAsia="Arial" w:hAnsi="Arial"/>
                <w:sz w:val="16"/>
                <w:szCs w:val="16"/>
                <w:b w:val="1"/>
                <w:bCs w:val="1"/>
                <w:color w:val="auto"/>
              </w:rPr>
              <w:t>December 31, 2019</w:t>
            </w: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264"/>
        </w:trPr>
        <w:tc>
          <w:tcPr>
            <w:tcW w:w="502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Pr>
          <w:p>
            <w:pPr>
              <w:spacing w:after="0"/>
              <w:rPr>
                <w:sz w:val="22"/>
                <w:szCs w:val="22"/>
                <w:color w:val="auto"/>
              </w:rPr>
            </w:pPr>
          </w:p>
        </w:tc>
        <w:tc>
          <w:tcPr>
            <w:tcW w:w="1280" w:type="dxa"/>
            <w:vAlign w:val="bottom"/>
            <w:gridSpan w:val="2"/>
          </w:tcPr>
          <w:p>
            <w:pPr>
              <w:ind w:left="180"/>
              <w:spacing w:after="0"/>
              <w:rPr>
                <w:sz w:val="20"/>
                <w:szCs w:val="20"/>
                <w:color w:val="auto"/>
              </w:rPr>
            </w:pPr>
            <w:r>
              <w:rPr>
                <w:rFonts w:ascii="Arial" w:cs="Arial" w:eastAsia="Arial" w:hAnsi="Arial"/>
                <w:sz w:val="16"/>
                <w:szCs w:val="16"/>
                <w:b w:val="1"/>
                <w:bCs w:val="1"/>
                <w:color w:val="auto"/>
              </w:rPr>
              <w:t>Level 1</w:t>
            </w:r>
          </w:p>
        </w:tc>
        <w:tc>
          <w:tcPr>
            <w:tcW w:w="300" w:type="dxa"/>
            <w:vAlign w:val="bottom"/>
          </w:tcPr>
          <w:p>
            <w:pPr>
              <w:spacing w:after="0"/>
              <w:rPr>
                <w:sz w:val="22"/>
                <w:szCs w:val="22"/>
                <w:color w:val="auto"/>
              </w:rPr>
            </w:pPr>
          </w:p>
        </w:tc>
        <w:tc>
          <w:tcPr>
            <w:tcW w:w="1280" w:type="dxa"/>
            <w:vAlign w:val="bottom"/>
            <w:gridSpan w:val="2"/>
          </w:tcPr>
          <w:p>
            <w:pPr>
              <w:ind w:left="180"/>
              <w:spacing w:after="0"/>
              <w:rPr>
                <w:sz w:val="20"/>
                <w:szCs w:val="20"/>
                <w:color w:val="auto"/>
              </w:rPr>
            </w:pPr>
            <w:r>
              <w:rPr>
                <w:rFonts w:ascii="Arial" w:cs="Arial" w:eastAsia="Arial" w:hAnsi="Arial"/>
                <w:sz w:val="16"/>
                <w:szCs w:val="16"/>
                <w:b w:val="1"/>
                <w:bCs w:val="1"/>
                <w:color w:val="auto"/>
              </w:rPr>
              <w:t>Level 2</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Level 3</w:t>
            </w: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51"/>
              <w:spacing w:after="0"/>
              <w:rPr>
                <w:sz w:val="20"/>
                <w:szCs w:val="20"/>
                <w:color w:val="auto"/>
              </w:rPr>
            </w:pPr>
            <w:r>
              <w:rPr>
                <w:rFonts w:ascii="Arial" w:cs="Arial" w:eastAsia="Arial" w:hAnsi="Arial"/>
                <w:sz w:val="16"/>
                <w:szCs w:val="16"/>
                <w:b w:val="1"/>
                <w:bCs w:val="1"/>
                <w:color w:val="auto"/>
              </w:rPr>
              <w:t>Total</w:t>
            </w:r>
          </w:p>
        </w:tc>
      </w:tr>
      <w:tr>
        <w:trPr>
          <w:trHeight w:val="270"/>
        </w:trPr>
        <w:tc>
          <w:tcPr>
            <w:tcW w:w="50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w:t>
            </w:r>
          </w:p>
        </w:tc>
        <w:tc>
          <w:tcPr>
            <w:tcW w:w="30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0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3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4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r>
      <w:tr>
        <w:trPr>
          <w:trHeight w:val="263"/>
        </w:trPr>
        <w:tc>
          <w:tcPr>
            <w:tcW w:w="5020" w:type="dxa"/>
            <w:vAlign w:val="bottom"/>
          </w:tcPr>
          <w:p>
            <w:pPr>
              <w:ind w:left="180"/>
              <w:spacing w:after="0"/>
              <w:rPr>
                <w:sz w:val="20"/>
                <w:szCs w:val="20"/>
                <w:color w:val="auto"/>
              </w:rPr>
            </w:pPr>
            <w:r>
              <w:rPr>
                <w:rFonts w:ascii="Arial" w:cs="Arial" w:eastAsia="Arial" w:hAnsi="Arial"/>
                <w:sz w:val="18"/>
                <w:szCs w:val="18"/>
                <w:color w:val="auto"/>
              </w:rPr>
              <w:t>Money market funds</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13,588</w:t>
            </w:r>
          </w:p>
        </w:tc>
        <w:tc>
          <w:tcPr>
            <w:tcW w:w="100" w:type="dxa"/>
            <w:vAlign w:val="bottom"/>
          </w:tcPr>
          <w:p>
            <w:pPr>
              <w:spacing w:after="0"/>
              <w:rPr>
                <w:sz w:val="22"/>
                <w:szCs w:val="22"/>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872"/>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13,588</w:t>
            </w:r>
          </w:p>
        </w:tc>
      </w:tr>
      <w:tr>
        <w:trPr>
          <w:trHeight w:val="270"/>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paper</w:t>
            </w:r>
          </w:p>
        </w:tc>
        <w:tc>
          <w:tcPr>
            <w:tcW w:w="3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8,987</w:t>
            </w:r>
          </w:p>
        </w:tc>
        <w:tc>
          <w:tcPr>
            <w:tcW w:w="100" w:type="dxa"/>
            <w:vAlign w:val="bottom"/>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8,987</w:t>
            </w:r>
          </w:p>
        </w:tc>
      </w:tr>
      <w:tr>
        <w:trPr>
          <w:trHeight w:val="290"/>
        </w:trPr>
        <w:tc>
          <w:tcPr>
            <w:tcW w:w="5020" w:type="dxa"/>
            <w:vAlign w:val="bottom"/>
          </w:tcPr>
          <w:p>
            <w:pPr>
              <w:spacing w:after="0"/>
              <w:rPr>
                <w:sz w:val="24"/>
                <w:szCs w:val="24"/>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13,588</w:t>
            </w:r>
          </w:p>
        </w:tc>
        <w:tc>
          <w:tcPr>
            <w:tcW w:w="100" w:type="dxa"/>
            <w:vAlign w:val="bottom"/>
          </w:tcPr>
          <w:p>
            <w:pPr>
              <w:spacing w:after="0"/>
              <w:rPr>
                <w:sz w:val="24"/>
                <w:szCs w:val="24"/>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8,987</w:t>
            </w:r>
          </w:p>
        </w:tc>
        <w:tc>
          <w:tcPr>
            <w:tcW w:w="100" w:type="dxa"/>
            <w:vAlign w:val="bottom"/>
          </w:tcPr>
          <w:p>
            <w:pPr>
              <w:spacing w:after="0"/>
              <w:rPr>
                <w:sz w:val="24"/>
                <w:szCs w:val="24"/>
                <w:color w:val="auto"/>
              </w:rPr>
            </w:pPr>
          </w:p>
        </w:tc>
        <w:tc>
          <w:tcPr>
            <w:tcW w:w="1100" w:type="dxa"/>
            <w:vAlign w:val="bottom"/>
          </w:tcPr>
          <w:p>
            <w:pPr>
              <w:jc w:val="right"/>
              <w:ind w:right="872"/>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22,575</w:t>
            </w:r>
          </w:p>
        </w:tc>
      </w:tr>
      <w:tr>
        <w:trPr>
          <w:trHeight w:val="311"/>
        </w:trPr>
        <w:tc>
          <w:tcPr>
            <w:tcW w:w="502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auto"/>
            </w:tcBorders>
            <w:shd w:val="clear" w:color="auto" w:fill="CCEEFF"/>
          </w:tcPr>
          <w:p>
            <w:pPr>
              <w:spacing w:after="0"/>
              <w:rPr>
                <w:sz w:val="24"/>
                <w:szCs w:val="24"/>
                <w:color w:val="auto"/>
              </w:rPr>
            </w:pPr>
          </w:p>
        </w:tc>
        <w:tc>
          <w:tcPr>
            <w:tcW w:w="118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auto"/>
            </w:tcBorders>
            <w:shd w:val="clear" w:color="auto" w:fill="CCEEFF"/>
          </w:tcPr>
          <w:p>
            <w:pPr>
              <w:spacing w:after="0"/>
              <w:rPr>
                <w:sz w:val="24"/>
                <w:szCs w:val="24"/>
                <w:color w:val="auto"/>
              </w:rPr>
            </w:pPr>
          </w:p>
        </w:tc>
        <w:tc>
          <w:tcPr>
            <w:tcW w:w="118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100" w:type="dxa"/>
            <w:vAlign w:val="bottom"/>
            <w:tcBorders>
              <w:top w:val="single" w:sz="8" w:color="auto"/>
            </w:tcBorders>
            <w:shd w:val="clear" w:color="auto" w:fill="CCEEFF"/>
          </w:tcPr>
          <w:p>
            <w:pPr>
              <w:spacing w:after="0"/>
              <w:rPr>
                <w:sz w:val="24"/>
                <w:szCs w:val="24"/>
                <w:color w:val="auto"/>
              </w:rPr>
            </w:pPr>
          </w:p>
        </w:tc>
        <w:tc>
          <w:tcPr>
            <w:tcW w:w="38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340" w:type="dxa"/>
            <w:vAlign w:val="bottom"/>
            <w:tcBorders>
              <w:top w:val="single" w:sz="8" w:color="auto"/>
            </w:tcBorders>
            <w:shd w:val="clear" w:color="auto" w:fill="CCEEFF"/>
          </w:tcPr>
          <w:p>
            <w:pPr>
              <w:spacing w:after="0"/>
              <w:rPr>
                <w:sz w:val="24"/>
                <w:szCs w:val="24"/>
                <w:color w:val="auto"/>
              </w:rPr>
            </w:pPr>
          </w:p>
        </w:tc>
        <w:tc>
          <w:tcPr>
            <w:tcW w:w="1140" w:type="dxa"/>
            <w:vAlign w:val="bottom"/>
            <w:tcBorders>
              <w:top w:val="single" w:sz="8" w:color="auto"/>
            </w:tcBorders>
            <w:shd w:val="clear" w:color="auto" w:fill="CCEEFF"/>
          </w:tcPr>
          <w:p>
            <w:pPr>
              <w:spacing w:after="0"/>
              <w:rPr>
                <w:sz w:val="24"/>
                <w:szCs w:val="24"/>
                <w:color w:val="auto"/>
              </w:rPr>
            </w:pPr>
          </w:p>
        </w:tc>
      </w:tr>
      <w:tr>
        <w:trPr>
          <w:trHeight w:val="263"/>
        </w:trPr>
        <w:tc>
          <w:tcPr>
            <w:tcW w:w="5020" w:type="dxa"/>
            <w:vAlign w:val="bottom"/>
          </w:tcPr>
          <w:p>
            <w:pPr>
              <w:ind w:left="40"/>
              <w:spacing w:after="0"/>
              <w:rPr>
                <w:sz w:val="20"/>
                <w:szCs w:val="20"/>
                <w:color w:val="auto"/>
              </w:rPr>
            </w:pPr>
            <w:r>
              <w:rPr>
                <w:rFonts w:ascii="Arial" w:cs="Arial" w:eastAsia="Arial" w:hAnsi="Arial"/>
                <w:sz w:val="18"/>
                <w:szCs w:val="18"/>
                <w:b w:val="1"/>
                <w:bCs w:val="1"/>
                <w:color w:val="auto"/>
              </w:rPr>
              <w:t>Short-term investments</w:t>
            </w: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7"/>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paper</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61,371</w:t>
            </w: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872"/>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61,371</w:t>
            </w:r>
          </w:p>
        </w:tc>
      </w:tr>
      <w:tr>
        <w:trPr>
          <w:trHeight w:val="263"/>
        </w:trPr>
        <w:tc>
          <w:tcPr>
            <w:tcW w:w="5020" w:type="dxa"/>
            <w:vAlign w:val="bottom"/>
          </w:tcPr>
          <w:p>
            <w:pPr>
              <w:ind w:left="180"/>
              <w:spacing w:after="0"/>
              <w:rPr>
                <w:sz w:val="20"/>
                <w:szCs w:val="20"/>
                <w:color w:val="auto"/>
              </w:rPr>
            </w:pPr>
            <w:r>
              <w:rPr>
                <w:rFonts w:ascii="Arial" w:cs="Arial" w:eastAsia="Arial" w:hAnsi="Arial"/>
                <w:sz w:val="18"/>
                <w:szCs w:val="18"/>
                <w:color w:val="auto"/>
              </w:rPr>
              <w:t>Corporate bonds</w:t>
            </w:r>
          </w:p>
        </w:tc>
        <w:tc>
          <w:tcPr>
            <w:tcW w:w="300" w:type="dxa"/>
            <w:vAlign w:val="bottom"/>
          </w:tcPr>
          <w:p>
            <w:pPr>
              <w:spacing w:after="0"/>
              <w:rPr>
                <w:sz w:val="22"/>
                <w:szCs w:val="22"/>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23,869</w:t>
            </w: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23,869</w:t>
            </w:r>
          </w:p>
        </w:tc>
      </w:tr>
      <w:tr>
        <w:trPr>
          <w:trHeight w:val="270"/>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Treasury and agency obligations</w:t>
            </w:r>
          </w:p>
        </w:tc>
        <w:tc>
          <w:tcPr>
            <w:tcW w:w="3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52,664</w:t>
            </w:r>
          </w:p>
        </w:tc>
        <w:tc>
          <w:tcPr>
            <w:tcW w:w="100" w:type="dxa"/>
            <w:vAlign w:val="bottom"/>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52,664</w:t>
            </w:r>
          </w:p>
        </w:tc>
      </w:tr>
      <w:tr>
        <w:trPr>
          <w:trHeight w:val="250"/>
        </w:trPr>
        <w:tc>
          <w:tcPr>
            <w:tcW w:w="5020" w:type="dxa"/>
            <w:vAlign w:val="bottom"/>
          </w:tcPr>
          <w:p>
            <w:pPr>
              <w:spacing w:after="0"/>
              <w:rPr>
                <w:sz w:val="21"/>
                <w:szCs w:val="21"/>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137,904</w:t>
            </w:r>
          </w:p>
        </w:tc>
        <w:tc>
          <w:tcPr>
            <w:tcW w:w="100" w:type="dxa"/>
            <w:vAlign w:val="bottom"/>
          </w:tcPr>
          <w:p>
            <w:pPr>
              <w:spacing w:after="0"/>
              <w:rPr>
                <w:sz w:val="21"/>
                <w:szCs w:val="21"/>
                <w:color w:val="auto"/>
              </w:rPr>
            </w:pPr>
          </w:p>
        </w:tc>
        <w:tc>
          <w:tcPr>
            <w:tcW w:w="1100" w:type="dxa"/>
            <w:vAlign w:val="bottom"/>
          </w:tcPr>
          <w:p>
            <w:pPr>
              <w:jc w:val="right"/>
              <w:ind w:right="872"/>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137,904</w:t>
            </w:r>
          </w:p>
        </w:tc>
      </w:tr>
      <w:tr>
        <w:trPr>
          <w:trHeight w:val="20"/>
        </w:trPr>
        <w:tc>
          <w:tcPr>
            <w:tcW w:w="50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did not have any liabilities measured and recorded at fair value at June 30, 2020 or December 31, 2019.</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and Equipment, Net</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and equipment, net consisted of the following:</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ind w:right="92"/>
              <w:spacing w:after="0"/>
              <w:rPr>
                <w:sz w:val="20"/>
                <w:szCs w:val="20"/>
                <w:color w:val="auto"/>
              </w:rPr>
            </w:pPr>
            <w:r>
              <w:rPr>
                <w:rFonts w:ascii="Arial" w:cs="Arial" w:eastAsia="Arial" w:hAnsi="Arial"/>
                <w:sz w:val="16"/>
                <w:szCs w:val="16"/>
                <w:b w:val="1"/>
                <w:bCs w:val="1"/>
                <w:color w:val="auto"/>
                <w:w w:val="99"/>
              </w:rPr>
              <w:t>December 31,</w:t>
            </w:r>
          </w:p>
        </w:tc>
      </w:tr>
      <w:tr>
        <w:trPr>
          <w:trHeight w:val="228"/>
        </w:trPr>
        <w:tc>
          <w:tcPr>
            <w:tcW w:w="8300" w:type="dxa"/>
            <w:vAlign w:val="bottom"/>
          </w:tcPr>
          <w:p>
            <w:pPr>
              <w:ind w:left="80"/>
              <w:spacing w:after="0"/>
              <w:rPr>
                <w:sz w:val="20"/>
                <w:szCs w:val="20"/>
                <w:color w:val="auto"/>
              </w:rPr>
            </w:pPr>
            <w:r>
              <w:rPr>
                <w:rFonts w:ascii="Arial" w:cs="Arial" w:eastAsia="Arial" w:hAnsi="Arial"/>
                <w:sz w:val="16"/>
                <w:szCs w:val="16"/>
                <w:b w:val="1"/>
                <w:bCs w:val="1"/>
                <w:color w:val="auto"/>
              </w:rPr>
              <w:t>(in thousands)</w:t>
            </w:r>
          </w:p>
        </w:tc>
        <w:tc>
          <w:tcPr>
            <w:tcW w:w="180" w:type="dxa"/>
            <w:vAlign w:val="bottom"/>
          </w:tcPr>
          <w:p>
            <w:pPr>
              <w:spacing w:after="0"/>
              <w:rPr>
                <w:sz w:val="19"/>
                <w:szCs w:val="19"/>
                <w:color w:val="auto"/>
              </w:rPr>
            </w:pPr>
          </w:p>
        </w:tc>
        <w:tc>
          <w:tcPr>
            <w:tcW w:w="1340" w:type="dxa"/>
            <w:vAlign w:val="bottom"/>
            <w:gridSpan w:val="2"/>
          </w:tcPr>
          <w:p>
            <w:pPr>
              <w:spacing w:after="0"/>
              <w:rPr>
                <w:sz w:val="20"/>
                <w:szCs w:val="20"/>
                <w:color w:val="auto"/>
              </w:rPr>
            </w:pPr>
            <w:r>
              <w:rPr>
                <w:rFonts w:ascii="Arial" w:cs="Arial" w:eastAsia="Arial" w:hAnsi="Arial"/>
                <w:sz w:val="16"/>
                <w:szCs w:val="16"/>
                <w:b w:val="1"/>
                <w:bCs w:val="1"/>
                <w:color w:val="auto"/>
              </w:rPr>
              <w:t>June 30, 2020</w:t>
            </w:r>
          </w:p>
        </w:tc>
        <w:tc>
          <w:tcPr>
            <w:tcW w:w="180" w:type="dxa"/>
            <w:vAlign w:val="bottom"/>
          </w:tcPr>
          <w:p>
            <w:pPr>
              <w:spacing w:after="0"/>
              <w:rPr>
                <w:sz w:val="19"/>
                <w:szCs w:val="19"/>
                <w:color w:val="auto"/>
              </w:rPr>
            </w:pPr>
          </w:p>
        </w:tc>
        <w:tc>
          <w:tcPr>
            <w:tcW w:w="1240" w:type="dxa"/>
            <w:vAlign w:val="bottom"/>
          </w:tcPr>
          <w:p>
            <w:pPr>
              <w:jc w:val="right"/>
              <w:ind w:right="432"/>
              <w:spacing w:after="0"/>
              <w:rPr>
                <w:sz w:val="20"/>
                <w:szCs w:val="20"/>
                <w:color w:val="auto"/>
              </w:rPr>
            </w:pPr>
            <w:r>
              <w:rPr>
                <w:rFonts w:ascii="Arial" w:cs="Arial" w:eastAsia="Arial" w:hAnsi="Arial"/>
                <w:sz w:val="16"/>
                <w:szCs w:val="16"/>
                <w:b w:val="1"/>
                <w:bCs w:val="1"/>
                <w:color w:val="auto"/>
              </w:rPr>
              <w:t>2019</w:t>
            </w:r>
          </w:p>
        </w:tc>
      </w:tr>
      <w:tr>
        <w:trPr>
          <w:trHeight w:val="257"/>
        </w:trPr>
        <w:tc>
          <w:tcPr>
            <w:tcW w:w="830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Computer software and equipment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22,160</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21,234</w:t>
            </w:r>
          </w:p>
        </w:tc>
      </w:tr>
      <w:tr>
        <w:trPr>
          <w:trHeight w:val="263"/>
        </w:trPr>
        <w:tc>
          <w:tcPr>
            <w:tcW w:w="8300" w:type="dxa"/>
            <w:vAlign w:val="bottom"/>
          </w:tcPr>
          <w:p>
            <w:pPr>
              <w:ind w:left="80"/>
              <w:spacing w:after="0"/>
              <w:rPr>
                <w:sz w:val="20"/>
                <w:szCs w:val="20"/>
                <w:color w:val="auto"/>
              </w:rPr>
            </w:pPr>
            <w:r>
              <w:rPr>
                <w:rFonts w:ascii="Arial" w:cs="Arial" w:eastAsia="Arial" w:hAnsi="Arial"/>
                <w:sz w:val="18"/>
                <w:szCs w:val="18"/>
                <w:color w:val="auto"/>
              </w:rPr>
              <w:t>Furniture and fixtures</w:t>
            </w:r>
          </w:p>
        </w:tc>
        <w:tc>
          <w:tcPr>
            <w:tcW w:w="180" w:type="dxa"/>
            <w:vAlign w:val="bottom"/>
          </w:tcPr>
          <w:p>
            <w:pPr>
              <w:spacing w:after="0"/>
              <w:rPr>
                <w:sz w:val="22"/>
                <w:szCs w:val="22"/>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6,200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4,504</w:t>
            </w:r>
          </w:p>
        </w:tc>
      </w:tr>
      <w:tr>
        <w:trPr>
          <w:trHeight w:val="277"/>
        </w:trPr>
        <w:tc>
          <w:tcPr>
            <w:tcW w:w="8300" w:type="dxa"/>
            <w:vAlign w:val="bottom"/>
            <w:shd w:val="clear" w:color="auto" w:fill="CCEEFF"/>
          </w:tcPr>
          <w:p>
            <w:pPr>
              <w:ind w:left="80"/>
              <w:spacing w:after="0"/>
              <w:rPr>
                <w:sz w:val="20"/>
                <w:szCs w:val="20"/>
                <w:color w:val="auto"/>
              </w:rPr>
            </w:pPr>
            <w:r>
              <w:rPr>
                <w:rFonts w:ascii="Arial" w:cs="Arial" w:eastAsia="Arial" w:hAnsi="Arial"/>
                <w:sz w:val="18"/>
                <w:szCs w:val="18"/>
                <w:color w:val="auto"/>
              </w:rPr>
              <w:t>Leasehold improvements</w:t>
            </w:r>
          </w:p>
        </w:tc>
        <w:tc>
          <w:tcPr>
            <w:tcW w:w="1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25,093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16,953</w:t>
            </w:r>
          </w:p>
        </w:tc>
      </w:tr>
      <w:tr>
        <w:trPr>
          <w:trHeight w:val="263"/>
        </w:trPr>
        <w:tc>
          <w:tcPr>
            <w:tcW w:w="830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Right-of-use assets under finance leases</w:t>
            </w:r>
          </w:p>
        </w:tc>
        <w:tc>
          <w:tcPr>
            <w:tcW w:w="1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1,583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1,866</w:t>
            </w:r>
          </w:p>
        </w:tc>
      </w:tr>
      <w:tr>
        <w:trPr>
          <w:trHeight w:val="256"/>
        </w:trPr>
        <w:tc>
          <w:tcPr>
            <w:tcW w:w="83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55,036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44,557</w:t>
            </w:r>
          </w:p>
        </w:tc>
      </w:tr>
      <w:tr>
        <w:trPr>
          <w:trHeight w:val="264"/>
        </w:trPr>
        <w:tc>
          <w:tcPr>
            <w:tcW w:w="830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Less: accumulated depreciation and amortization</w:t>
            </w:r>
          </w:p>
        </w:tc>
        <w:tc>
          <w:tcPr>
            <w:tcW w:w="1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(19,892)</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(17,710)</w:t>
            </w:r>
          </w:p>
        </w:tc>
      </w:tr>
      <w:tr>
        <w:trPr>
          <w:trHeight w:val="256"/>
        </w:trPr>
        <w:tc>
          <w:tcPr>
            <w:tcW w:w="83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Property and equipment,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35,144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26,847</w:t>
            </w:r>
          </w:p>
        </w:tc>
      </w:tr>
      <w:tr>
        <w:trPr>
          <w:trHeight w:val="20"/>
        </w:trPr>
        <w:tc>
          <w:tcPr>
            <w:tcW w:w="8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160" w:firstLine="324"/>
        <w:spacing w:after="0" w:line="261" w:lineRule="auto"/>
        <w:rPr>
          <w:sz w:val="20"/>
          <w:szCs w:val="20"/>
          <w:color w:val="auto"/>
        </w:rPr>
      </w:pPr>
      <w:r>
        <w:rPr>
          <w:rFonts w:ascii="Arial" w:cs="Arial" w:eastAsia="Arial" w:hAnsi="Arial"/>
          <w:sz w:val="18"/>
          <w:szCs w:val="18"/>
          <w:color w:val="auto"/>
        </w:rPr>
        <w:t>Depreciation and amortization related to property and equipment was $ 2.0 million, $1.3 million, $4.0 million and $2.8 million in the three months ended June 30, 2020 and 2019 and the six months ended June 30, 2020 and 2019, respectively.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40" w:right="339" w:bottom="1440" w:gutter="0" w:footer="0" w:header="0"/>
        </w:sectPr>
      </w:pPr>
    </w:p>
    <w:bookmarkStart w:id="11" w:name="page12"/>
    <w:bookmarkEnd w:id="11"/>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 and Acquired Intangible Assets</w:t>
      </w:r>
    </w:p>
    <w:p>
      <w:pPr>
        <w:spacing w:after="0" w:line="247" w:lineRule="exact"/>
        <w:rPr>
          <w:sz w:val="20"/>
          <w:szCs w:val="20"/>
          <w:color w:val="auto"/>
        </w:rPr>
      </w:pPr>
    </w:p>
    <w:p>
      <w:pPr>
        <w:ind w:right="360" w:firstLine="324"/>
        <w:spacing w:after="0" w:line="261" w:lineRule="auto"/>
        <w:rPr>
          <w:sz w:val="20"/>
          <w:szCs w:val="20"/>
          <w:color w:val="auto"/>
        </w:rPr>
      </w:pPr>
      <w:r>
        <w:rPr>
          <w:rFonts w:ascii="Arial" w:cs="Arial" w:eastAsia="Arial" w:hAnsi="Arial"/>
          <w:sz w:val="18"/>
          <w:szCs w:val="18"/>
          <w:color w:val="auto"/>
        </w:rPr>
        <w:t>On December 2, 2019, we acquired Indegy, Ltd. We have not yet finalized the allocation of the purchase price, which may change as additional information becomes available related to any working capital adjustment and income taxes.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Acquired intangible assets subject to amortization are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5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June 30, 2020</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9"/>
              </w:rPr>
              <w:t>December 31, 2019</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r>
      <w:tr>
        <w:trPr>
          <w:trHeight w:val="198"/>
        </w:trPr>
        <w:tc>
          <w:tcPr>
            <w:tcW w:w="2540" w:type="dxa"/>
            <w:vAlign w:val="bottom"/>
          </w:tcPr>
          <w:p>
            <w:pPr>
              <w:spacing w:after="0"/>
              <w:rPr>
                <w:sz w:val="17"/>
                <w:szCs w:val="17"/>
                <w:color w:val="auto"/>
              </w:rPr>
            </w:pPr>
          </w:p>
        </w:tc>
        <w:tc>
          <w:tcPr>
            <w:tcW w:w="1460" w:type="dxa"/>
            <w:vAlign w:val="bottom"/>
            <w:gridSpan w:val="3"/>
          </w:tcPr>
          <w:p>
            <w:pPr>
              <w:ind w:left="80"/>
              <w:spacing w:after="0"/>
              <w:rPr>
                <w:sz w:val="20"/>
                <w:szCs w:val="20"/>
                <w:color w:val="auto"/>
              </w:rPr>
            </w:pPr>
            <w:r>
              <w:rPr>
                <w:rFonts w:ascii="Arial" w:cs="Arial" w:eastAsia="Arial" w:hAnsi="Arial"/>
                <w:sz w:val="16"/>
                <w:szCs w:val="16"/>
                <w:b w:val="1"/>
                <w:bCs w:val="1"/>
                <w:color w:val="auto"/>
              </w:rPr>
              <w:t>Gross Carrying</w:t>
            </w:r>
          </w:p>
        </w:tc>
        <w:tc>
          <w:tcPr>
            <w:tcW w:w="140" w:type="dxa"/>
            <w:vAlign w:val="bottom"/>
          </w:tcPr>
          <w:p>
            <w:pPr>
              <w:spacing w:after="0"/>
              <w:rPr>
                <w:sz w:val="17"/>
                <w:szCs w:val="17"/>
                <w:color w:val="auto"/>
              </w:rPr>
            </w:pPr>
          </w:p>
        </w:tc>
        <w:tc>
          <w:tcPr>
            <w:tcW w:w="1320" w:type="dxa"/>
            <w:vAlign w:val="bottom"/>
            <w:gridSpan w:val="2"/>
          </w:tcPr>
          <w:p>
            <w:pPr>
              <w:ind w:left="20"/>
              <w:spacing w:after="0"/>
              <w:rPr>
                <w:sz w:val="20"/>
                <w:szCs w:val="20"/>
                <w:color w:val="auto"/>
              </w:rPr>
            </w:pPr>
            <w:r>
              <w:rPr>
                <w:rFonts w:ascii="Arial" w:cs="Arial" w:eastAsia="Arial" w:hAnsi="Arial"/>
                <w:sz w:val="16"/>
                <w:szCs w:val="16"/>
                <w:b w:val="1"/>
                <w:bCs w:val="1"/>
                <w:color w:val="auto"/>
              </w:rPr>
              <w:t>Accumulated</w:t>
            </w:r>
          </w:p>
        </w:tc>
        <w:tc>
          <w:tcPr>
            <w:tcW w:w="160" w:type="dxa"/>
            <w:vAlign w:val="bottom"/>
          </w:tcPr>
          <w:p>
            <w:pPr>
              <w:spacing w:after="0"/>
              <w:rPr>
                <w:sz w:val="17"/>
                <w:szCs w:val="17"/>
                <w:color w:val="auto"/>
              </w:rPr>
            </w:pPr>
          </w:p>
        </w:tc>
        <w:tc>
          <w:tcPr>
            <w:tcW w:w="1320" w:type="dxa"/>
            <w:vAlign w:val="bottom"/>
            <w:gridSpan w:val="2"/>
          </w:tcPr>
          <w:p>
            <w:pPr>
              <w:ind w:left="40"/>
              <w:spacing w:after="0"/>
              <w:rPr>
                <w:sz w:val="20"/>
                <w:szCs w:val="20"/>
                <w:color w:val="auto"/>
              </w:rPr>
            </w:pPr>
            <w:r>
              <w:rPr>
                <w:rFonts w:ascii="Arial" w:cs="Arial" w:eastAsia="Arial" w:hAnsi="Arial"/>
                <w:sz w:val="16"/>
                <w:szCs w:val="16"/>
                <w:b w:val="1"/>
                <w:bCs w:val="1"/>
                <w:color w:val="auto"/>
              </w:rPr>
              <w:t>Net Carrying</w:t>
            </w:r>
          </w:p>
        </w:tc>
        <w:tc>
          <w:tcPr>
            <w:tcW w:w="1360" w:type="dxa"/>
            <w:vAlign w:val="bottom"/>
            <w:gridSpan w:val="2"/>
          </w:tcPr>
          <w:p>
            <w:pPr>
              <w:jc w:val="right"/>
              <w:ind w:right="12"/>
              <w:spacing w:after="0"/>
              <w:rPr>
                <w:sz w:val="20"/>
                <w:szCs w:val="20"/>
                <w:color w:val="auto"/>
              </w:rPr>
            </w:pPr>
            <w:r>
              <w:rPr>
                <w:rFonts w:ascii="Arial" w:cs="Arial" w:eastAsia="Arial" w:hAnsi="Arial"/>
                <w:sz w:val="16"/>
                <w:szCs w:val="16"/>
                <w:b w:val="1"/>
                <w:bCs w:val="1"/>
                <w:color w:val="auto"/>
              </w:rPr>
              <w:t>Gross Carrying</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Accumulated</w:t>
            </w:r>
          </w:p>
        </w:tc>
        <w:tc>
          <w:tcPr>
            <w:tcW w:w="160" w:type="dxa"/>
            <w:vAlign w:val="bottom"/>
          </w:tcPr>
          <w:p>
            <w:pPr>
              <w:spacing w:after="0"/>
              <w:rPr>
                <w:sz w:val="17"/>
                <w:szCs w:val="17"/>
                <w:color w:val="auto"/>
              </w:rPr>
            </w:pPr>
          </w:p>
        </w:tc>
        <w:tc>
          <w:tcPr>
            <w:tcW w:w="1200" w:type="dxa"/>
            <w:vAlign w:val="bottom"/>
          </w:tcPr>
          <w:p>
            <w:pPr>
              <w:jc w:val="right"/>
              <w:ind w:right="114"/>
              <w:spacing w:after="0"/>
              <w:rPr>
                <w:sz w:val="20"/>
                <w:szCs w:val="20"/>
                <w:color w:val="auto"/>
              </w:rPr>
            </w:pPr>
            <w:r>
              <w:rPr>
                <w:rFonts w:ascii="Arial" w:cs="Arial" w:eastAsia="Arial" w:hAnsi="Arial"/>
                <w:sz w:val="16"/>
                <w:szCs w:val="16"/>
                <w:b w:val="1"/>
                <w:bCs w:val="1"/>
                <w:color w:val="auto"/>
              </w:rPr>
              <w:t>Net Carrying</w:t>
            </w:r>
          </w:p>
        </w:tc>
      </w:tr>
      <w:tr>
        <w:trPr>
          <w:trHeight w:val="228"/>
        </w:trPr>
        <w:tc>
          <w:tcPr>
            <w:tcW w:w="254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Amount</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Amortization</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94"/>
              <w:spacing w:after="0"/>
              <w:rPr>
                <w:sz w:val="20"/>
                <w:szCs w:val="20"/>
                <w:color w:val="auto"/>
              </w:rPr>
            </w:pPr>
            <w:r>
              <w:rPr>
                <w:rFonts w:ascii="Arial" w:cs="Arial" w:eastAsia="Arial" w:hAnsi="Arial"/>
                <w:sz w:val="16"/>
                <w:szCs w:val="16"/>
                <w:b w:val="1"/>
                <w:bCs w:val="1"/>
                <w:color w:val="auto"/>
              </w:rPr>
              <w:t>Amount</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Amount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54"/>
              <w:spacing w:after="0"/>
              <w:rPr>
                <w:sz w:val="20"/>
                <w:szCs w:val="20"/>
                <w:color w:val="auto"/>
              </w:rPr>
            </w:pPr>
            <w:r>
              <w:rPr>
                <w:rFonts w:ascii="Arial" w:cs="Arial" w:eastAsia="Arial" w:hAnsi="Arial"/>
                <w:sz w:val="16"/>
                <w:szCs w:val="16"/>
                <w:b w:val="1"/>
                <w:bCs w:val="1"/>
                <w:color w:val="auto"/>
              </w:rPr>
              <w:t>Amortization</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94"/>
              <w:spacing w:after="0"/>
              <w:rPr>
                <w:sz w:val="20"/>
                <w:szCs w:val="20"/>
                <w:color w:val="auto"/>
              </w:rPr>
            </w:pPr>
            <w:r>
              <w:rPr>
                <w:rFonts w:ascii="Arial" w:cs="Arial" w:eastAsia="Arial" w:hAnsi="Arial"/>
                <w:sz w:val="16"/>
                <w:szCs w:val="16"/>
                <w:b w:val="1"/>
                <w:bCs w:val="1"/>
                <w:color w:val="auto"/>
              </w:rPr>
              <w:t>Amount</w:t>
            </w:r>
          </w:p>
        </w:tc>
      </w:tr>
      <w:tr>
        <w:trPr>
          <w:trHeight w:val="256"/>
        </w:trPr>
        <w:tc>
          <w:tcPr>
            <w:tcW w:w="2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Acquired technology</w:t>
            </w: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17,325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14,208</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17,325</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15,316</w:t>
            </w:r>
          </w:p>
        </w:tc>
      </w:tr>
      <w:tr>
        <w:trPr>
          <w:trHeight w:val="264"/>
        </w:trPr>
        <w:tc>
          <w:tcPr>
            <w:tcW w:w="25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Trade name</w:t>
            </w: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142</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192</w:t>
            </w:r>
          </w:p>
        </w:tc>
      </w:tr>
      <w:tr>
        <w:trPr>
          <w:trHeight w:val="250"/>
        </w:trPr>
        <w:tc>
          <w:tcPr>
            <w:tcW w:w="254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17,525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14,350</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17,525</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15,508</w:t>
            </w: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Amortization of acquired intangible assets was $0.6 million, $0.1 million, $1.2 million and $0.3 million in the three months ended June 30, 2020 and 2019 and the six months ended June 30, 2020 and 2019, respectively.</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June 30, 2020, estimated future amortization of acquired intangible assets is as follows:</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Year ending December 31,</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9100" w:type="dxa"/>
            <w:vAlign w:val="bottom"/>
          </w:tcPr>
          <w:p>
            <w:pPr>
              <w:ind w:left="40"/>
              <w:spacing w:after="0"/>
              <w:rPr>
                <w:sz w:val="20"/>
                <w:szCs w:val="20"/>
                <w:color w:val="auto"/>
              </w:rPr>
            </w:pPr>
            <w:r>
              <w:rPr>
                <w:rFonts w:ascii="Arial" w:cs="Arial" w:eastAsia="Arial" w:hAnsi="Arial"/>
                <w:sz w:val="18"/>
                <w:szCs w:val="18"/>
                <w:color w:val="auto"/>
              </w:rPr>
              <w:t>2020</w:t>
            </w:r>
            <w:r>
              <w:rPr>
                <w:rFonts w:ascii="Arial" w:cs="Arial" w:eastAsia="Arial" w:hAnsi="Arial"/>
                <w:sz w:val="21"/>
                <w:szCs w:val="21"/>
                <w:color w:val="auto"/>
                <w:vertAlign w:val="superscript"/>
              </w:rPr>
              <w:t>(1)</w:t>
            </w:r>
          </w:p>
        </w:tc>
        <w:tc>
          <w:tcPr>
            <w:tcW w:w="800" w:type="dxa"/>
            <w:vAlign w:val="bottom"/>
          </w:tcPr>
          <w:p>
            <w:pPr>
              <w:jc w:val="right"/>
              <w:ind w:right="5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1,156</w:t>
            </w:r>
          </w:p>
        </w:tc>
        <w:tc>
          <w:tcPr>
            <w:tcW w:w="0" w:type="dxa"/>
            <w:vAlign w:val="bottom"/>
          </w:tcPr>
          <w:p>
            <w:pPr>
              <w:spacing w:after="0"/>
              <w:rPr>
                <w:sz w:val="1"/>
                <w:szCs w:val="1"/>
                <w:color w:val="auto"/>
              </w:rPr>
            </w:pPr>
          </w:p>
        </w:tc>
      </w:tr>
      <w:tr>
        <w:trPr>
          <w:trHeight w:val="256"/>
        </w:trPr>
        <w:tc>
          <w:tcPr>
            <w:tcW w:w="9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80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2,306</w:t>
            </w:r>
          </w:p>
        </w:tc>
        <w:tc>
          <w:tcPr>
            <w:tcW w:w="0" w:type="dxa"/>
            <w:vAlign w:val="bottom"/>
          </w:tcPr>
          <w:p>
            <w:pPr>
              <w:spacing w:after="0"/>
              <w:rPr>
                <w:sz w:val="1"/>
                <w:szCs w:val="1"/>
                <w:color w:val="auto"/>
              </w:rPr>
            </w:pPr>
          </w:p>
        </w:tc>
      </w:tr>
      <w:tr>
        <w:trPr>
          <w:trHeight w:val="250"/>
        </w:trPr>
        <w:tc>
          <w:tcPr>
            <w:tcW w:w="9100" w:type="dxa"/>
            <w:vAlign w:val="bottom"/>
          </w:tcPr>
          <w:p>
            <w:pPr>
              <w:ind w:left="40"/>
              <w:spacing w:after="0"/>
              <w:rPr>
                <w:sz w:val="20"/>
                <w:szCs w:val="20"/>
                <w:color w:val="auto"/>
              </w:rPr>
            </w:pPr>
            <w:r>
              <w:rPr>
                <w:rFonts w:ascii="Arial" w:cs="Arial" w:eastAsia="Arial" w:hAnsi="Arial"/>
                <w:sz w:val="18"/>
                <w:szCs w:val="18"/>
                <w:color w:val="auto"/>
              </w:rPr>
              <w:t>2022</w:t>
            </w:r>
          </w:p>
        </w:tc>
        <w:tc>
          <w:tcPr>
            <w:tcW w:w="8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2,214</w:t>
            </w:r>
          </w:p>
        </w:tc>
        <w:tc>
          <w:tcPr>
            <w:tcW w:w="0" w:type="dxa"/>
            <w:vAlign w:val="bottom"/>
          </w:tcPr>
          <w:p>
            <w:pPr>
              <w:spacing w:after="0"/>
              <w:rPr>
                <w:sz w:val="1"/>
                <w:szCs w:val="1"/>
                <w:color w:val="auto"/>
              </w:rPr>
            </w:pPr>
          </w:p>
        </w:tc>
      </w:tr>
      <w:tr>
        <w:trPr>
          <w:trHeight w:val="263"/>
        </w:trPr>
        <w:tc>
          <w:tcPr>
            <w:tcW w:w="9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80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2,214</w:t>
            </w:r>
          </w:p>
        </w:tc>
        <w:tc>
          <w:tcPr>
            <w:tcW w:w="0" w:type="dxa"/>
            <w:vAlign w:val="bottom"/>
          </w:tcPr>
          <w:p>
            <w:pPr>
              <w:spacing w:after="0"/>
              <w:rPr>
                <w:sz w:val="1"/>
                <w:szCs w:val="1"/>
                <w:color w:val="auto"/>
              </w:rPr>
            </w:pPr>
          </w:p>
        </w:tc>
      </w:tr>
      <w:tr>
        <w:trPr>
          <w:trHeight w:val="250"/>
        </w:trPr>
        <w:tc>
          <w:tcPr>
            <w:tcW w:w="9100" w:type="dxa"/>
            <w:vAlign w:val="bottom"/>
          </w:tcPr>
          <w:p>
            <w:pPr>
              <w:ind w:left="40"/>
              <w:spacing w:after="0"/>
              <w:rPr>
                <w:sz w:val="20"/>
                <w:szCs w:val="20"/>
                <w:color w:val="auto"/>
              </w:rPr>
            </w:pPr>
            <w:r>
              <w:rPr>
                <w:rFonts w:ascii="Arial" w:cs="Arial" w:eastAsia="Arial" w:hAnsi="Arial"/>
                <w:sz w:val="18"/>
                <w:szCs w:val="18"/>
                <w:color w:val="auto"/>
              </w:rPr>
              <w:t>2024</w:t>
            </w:r>
          </w:p>
        </w:tc>
        <w:tc>
          <w:tcPr>
            <w:tcW w:w="8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2,214</w:t>
            </w:r>
          </w:p>
        </w:tc>
        <w:tc>
          <w:tcPr>
            <w:tcW w:w="0" w:type="dxa"/>
            <w:vAlign w:val="bottom"/>
          </w:tcPr>
          <w:p>
            <w:pPr>
              <w:spacing w:after="0"/>
              <w:rPr>
                <w:sz w:val="1"/>
                <w:szCs w:val="1"/>
                <w:color w:val="auto"/>
              </w:rPr>
            </w:pPr>
          </w:p>
        </w:tc>
      </w:tr>
      <w:tr>
        <w:trPr>
          <w:trHeight w:val="257"/>
        </w:trPr>
        <w:tc>
          <w:tcPr>
            <w:tcW w:w="9100" w:type="dxa"/>
            <w:vAlign w:val="bottom"/>
            <w:shd w:val="clear" w:color="auto" w:fill="CCEEFF"/>
          </w:tcPr>
          <w:p>
            <w:pPr>
              <w:jc w:val="center"/>
              <w:ind w:right="8115"/>
              <w:spacing w:after="0"/>
              <w:rPr>
                <w:sz w:val="20"/>
                <w:szCs w:val="20"/>
                <w:color w:val="auto"/>
              </w:rPr>
            </w:pPr>
            <w:r>
              <w:rPr>
                <w:rFonts w:ascii="Arial" w:cs="Arial" w:eastAsia="Arial" w:hAnsi="Arial"/>
                <w:sz w:val="18"/>
                <w:szCs w:val="18"/>
                <w:color w:val="auto"/>
                <w:w w:val="98"/>
              </w:rPr>
              <w:t>Thereafter</w:t>
            </w:r>
          </w:p>
        </w:tc>
        <w:tc>
          <w:tcPr>
            <w:tcW w:w="80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4,246</w:t>
            </w:r>
          </w:p>
        </w:tc>
        <w:tc>
          <w:tcPr>
            <w:tcW w:w="0" w:type="dxa"/>
            <w:vAlign w:val="bottom"/>
          </w:tcPr>
          <w:p>
            <w:pPr>
              <w:spacing w:after="0"/>
              <w:rPr>
                <w:sz w:val="1"/>
                <w:szCs w:val="1"/>
                <w:color w:val="auto"/>
              </w:rPr>
            </w:pPr>
          </w:p>
        </w:tc>
      </w:tr>
      <w:tr>
        <w:trPr>
          <w:trHeight w:val="257"/>
        </w:trPr>
        <w:tc>
          <w:tcPr>
            <w:tcW w:w="9100" w:type="dxa"/>
            <w:vAlign w:val="bottom"/>
          </w:tcPr>
          <w:p>
            <w:pPr>
              <w:jc w:val="center"/>
              <w:ind w:right="8075"/>
              <w:spacing w:after="0"/>
              <w:rPr>
                <w:sz w:val="20"/>
                <w:szCs w:val="20"/>
                <w:color w:val="auto"/>
              </w:rPr>
            </w:pPr>
            <w:r>
              <w:rPr>
                <w:rFonts w:ascii="Arial" w:cs="Arial" w:eastAsia="Arial" w:hAnsi="Arial"/>
                <w:sz w:val="18"/>
                <w:szCs w:val="18"/>
                <w:color w:val="auto"/>
                <w:w w:val="94"/>
              </w:rPr>
              <w:t>Total</w:t>
            </w:r>
          </w:p>
        </w:tc>
        <w:tc>
          <w:tcPr>
            <w:tcW w:w="8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14,350</w:t>
            </w:r>
          </w:p>
        </w:tc>
        <w:tc>
          <w:tcPr>
            <w:tcW w:w="0" w:type="dxa"/>
            <w:vAlign w:val="bottom"/>
          </w:tcPr>
          <w:p>
            <w:pPr>
              <w:spacing w:after="0"/>
              <w:rPr>
                <w:sz w:val="1"/>
                <w:szCs w:val="1"/>
                <w:color w:val="auto"/>
              </w:rPr>
            </w:pPr>
          </w:p>
        </w:tc>
      </w:tr>
      <w:tr>
        <w:trPr>
          <w:trHeight w:val="20"/>
        </w:trPr>
        <w:tc>
          <w:tcPr>
            <w:tcW w:w="9100" w:type="dxa"/>
            <w:vAlign w:val="bottom"/>
            <w:vMerge w:val="restart"/>
          </w:tcPr>
          <w:p>
            <w:pPr>
              <w:jc w:val="center"/>
              <w:ind w:right="8115"/>
              <w:spacing w:after="0"/>
              <w:rPr>
                <w:sz w:val="20"/>
                <w:szCs w:val="20"/>
                <w:color w:val="auto"/>
              </w:rPr>
            </w:pPr>
            <w:r>
              <w:rPr>
                <w:rFonts w:ascii="Arial" w:cs="Arial" w:eastAsia="Arial" w:hAnsi="Arial"/>
                <w:sz w:val="11"/>
                <w:szCs w:val="11"/>
                <w:color w:val="auto"/>
                <w:w w:val="98"/>
              </w:rPr>
              <w:t>_______________</w:t>
            </w:r>
          </w:p>
        </w:tc>
        <w:tc>
          <w:tcPr>
            <w:tcW w:w="8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910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380" w:hanging="372"/>
        <w:spacing w:after="0"/>
        <w:tabs>
          <w:tab w:leader="none" w:pos="38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Represents the six months ending December 31, 2020.</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Leases</w:t>
      </w:r>
    </w:p>
    <w:p>
      <w:pPr>
        <w:spacing w:after="0" w:line="247" w:lineRule="exact"/>
        <w:rPr>
          <w:sz w:val="20"/>
          <w:szCs w:val="20"/>
          <w:color w:val="auto"/>
        </w:rPr>
      </w:pPr>
    </w:p>
    <w:p>
      <w:pPr>
        <w:ind w:right="220" w:firstLine="324"/>
        <w:spacing w:after="0" w:line="261" w:lineRule="auto"/>
        <w:rPr>
          <w:sz w:val="20"/>
          <w:szCs w:val="20"/>
          <w:color w:val="auto"/>
        </w:rPr>
      </w:pPr>
      <w:r>
        <w:rPr>
          <w:rFonts w:ascii="Arial" w:cs="Arial" w:eastAsia="Arial" w:hAnsi="Arial"/>
          <w:sz w:val="18"/>
          <w:szCs w:val="18"/>
          <w:color w:val="auto"/>
        </w:rPr>
        <w:t>We have operating leases for office facilities and finance leases for computer and office equipment. The components of lease expense were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740" w:type="dxa"/>
            <w:vAlign w:val="bottom"/>
            <w:gridSpan w:val="5"/>
          </w:tcPr>
          <w:p>
            <w:pPr>
              <w:ind w:left="80"/>
              <w:spacing w:after="0"/>
              <w:rPr>
                <w:sz w:val="20"/>
                <w:szCs w:val="20"/>
                <w:color w:val="auto"/>
              </w:rPr>
            </w:pPr>
            <w:r>
              <w:rPr>
                <w:rFonts w:ascii="Arial" w:cs="Arial" w:eastAsia="Arial" w:hAnsi="Arial"/>
                <w:sz w:val="16"/>
                <w:szCs w:val="16"/>
                <w:b w:val="1"/>
                <w:bCs w:val="1"/>
                <w:color w:val="auto"/>
              </w:rPr>
              <w:t>Three Months Ended June 30,</w:t>
            </w:r>
          </w:p>
        </w:tc>
        <w:tc>
          <w:tcPr>
            <w:tcW w:w="260" w:type="dxa"/>
            <w:vAlign w:val="bottom"/>
          </w:tcPr>
          <w:p>
            <w:pPr>
              <w:spacing w:after="0"/>
              <w:rPr>
                <w:sz w:val="19"/>
                <w:szCs w:val="19"/>
                <w:color w:val="auto"/>
              </w:rPr>
            </w:pPr>
          </w:p>
        </w:tc>
        <w:tc>
          <w:tcPr>
            <w:tcW w:w="2580" w:type="dxa"/>
            <w:vAlign w:val="bottom"/>
            <w:gridSpan w:val="4"/>
          </w:tcPr>
          <w:p>
            <w:pPr>
              <w:jc w:val="right"/>
              <w:ind w:right="272"/>
              <w:spacing w:after="0"/>
              <w:rPr>
                <w:sz w:val="20"/>
                <w:szCs w:val="20"/>
                <w:color w:val="auto"/>
              </w:rPr>
            </w:pPr>
            <w:r>
              <w:rPr>
                <w:rFonts w:ascii="Arial" w:cs="Arial" w:eastAsia="Arial" w:hAnsi="Arial"/>
                <w:sz w:val="16"/>
                <w:szCs w:val="16"/>
                <w:b w:val="1"/>
                <w:bCs w:val="1"/>
                <w:color w:val="auto"/>
              </w:rPr>
              <w:t>Six Months Ended June 30,</w:t>
            </w:r>
          </w:p>
        </w:tc>
      </w:tr>
      <w:tr>
        <w:trPr>
          <w:trHeight w:val="263"/>
        </w:trPr>
        <w:tc>
          <w:tcPr>
            <w:tcW w:w="546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2019</w:t>
            </w:r>
          </w:p>
        </w:tc>
      </w:tr>
      <w:tr>
        <w:trPr>
          <w:trHeight w:val="256"/>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cost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2,327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1,100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4,811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2,081</w:t>
            </w:r>
          </w:p>
        </w:tc>
      </w:tr>
      <w:tr>
        <w:trPr>
          <w:trHeight w:val="20"/>
        </w:trPr>
        <w:tc>
          <w:tcPr>
            <w:tcW w:w="5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78"/>
        </w:trPr>
        <w:tc>
          <w:tcPr>
            <w:tcW w:w="5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0"/>
        </w:trPr>
        <w:tc>
          <w:tcPr>
            <w:tcW w:w="5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Finance lease cost</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63"/>
        </w:trPr>
        <w:tc>
          <w:tcPr>
            <w:tcW w:w="5460" w:type="dxa"/>
            <w:vAlign w:val="bottom"/>
          </w:tcPr>
          <w:p>
            <w:pPr>
              <w:ind w:left="280"/>
              <w:spacing w:after="0"/>
              <w:rPr>
                <w:sz w:val="20"/>
                <w:szCs w:val="20"/>
                <w:color w:val="auto"/>
              </w:rPr>
            </w:pPr>
            <w:r>
              <w:rPr>
                <w:rFonts w:ascii="Arial" w:cs="Arial" w:eastAsia="Arial" w:hAnsi="Arial"/>
                <w:sz w:val="18"/>
                <w:szCs w:val="18"/>
                <w:color w:val="auto"/>
              </w:rPr>
              <w:t>Amortization of ROU assets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2"/>
                <w:szCs w:val="22"/>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308</w:t>
            </w:r>
          </w:p>
        </w:tc>
      </w:tr>
      <w:tr>
        <w:trPr>
          <w:trHeight w:val="270"/>
        </w:trPr>
        <w:tc>
          <w:tcPr>
            <w:tcW w:w="54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Interest on lease liabilities</w:t>
            </w:r>
          </w:p>
        </w:tc>
        <w:tc>
          <w:tcPr>
            <w:tcW w:w="2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r>
      <w:tr>
        <w:trPr>
          <w:trHeight w:val="256"/>
        </w:trPr>
        <w:tc>
          <w:tcPr>
            <w:tcW w:w="5460" w:type="dxa"/>
            <w:vAlign w:val="bottom"/>
          </w:tcPr>
          <w:p>
            <w:pPr>
              <w:ind w:left="40"/>
              <w:spacing w:after="0"/>
              <w:rPr>
                <w:sz w:val="20"/>
                <w:szCs w:val="20"/>
                <w:color w:val="auto"/>
              </w:rPr>
            </w:pPr>
            <w:r>
              <w:rPr>
                <w:rFonts w:ascii="Arial" w:cs="Arial" w:eastAsia="Arial" w:hAnsi="Arial"/>
                <w:sz w:val="18"/>
                <w:szCs w:val="18"/>
                <w:color w:val="auto"/>
              </w:rPr>
              <w:t>Total finance lease cost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311</w:t>
            </w:r>
          </w:p>
        </w:tc>
      </w:tr>
      <w:tr>
        <w:trPr>
          <w:trHeight w:val="20"/>
        </w:trPr>
        <w:tc>
          <w:tcPr>
            <w:tcW w:w="5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Rent expense for short-term leases in the three and six months ended June 30, 2020 and 2019 was not material.</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40" w:right="339" w:bottom="1440" w:gutter="0" w:footer="0" w:header="0"/>
        </w:sectPr>
      </w:pPr>
    </w:p>
    <w:bookmarkStart w:id="12" w:name="page13"/>
    <w:bookmarkEnd w:id="12"/>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Supplemental information related to leases was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ind w:right="52"/>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28"/>
        </w:trPr>
        <w:tc>
          <w:tcPr>
            <w:tcW w:w="546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4"/>
              <w:spacing w:after="0"/>
              <w:rPr>
                <w:sz w:val="20"/>
                <w:szCs w:val="20"/>
                <w:color w:val="auto"/>
              </w:rPr>
            </w:pPr>
            <w:r>
              <w:rPr>
                <w:rFonts w:ascii="Arial" w:cs="Arial" w:eastAsia="Arial" w:hAnsi="Arial"/>
                <w:sz w:val="16"/>
                <w:szCs w:val="16"/>
                <w:b w:val="1"/>
                <w:bCs w:val="1"/>
                <w:color w:val="auto"/>
              </w:rPr>
              <w:t>June 30, 2020</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ind w:left="380"/>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70"/>
        </w:trPr>
        <w:tc>
          <w:tcPr>
            <w:tcW w:w="54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Operating leases</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460" w:type="dxa"/>
            <w:vAlign w:val="bottom"/>
          </w:tcPr>
          <w:p>
            <w:pPr>
              <w:ind w:left="280"/>
              <w:spacing w:after="0"/>
              <w:rPr>
                <w:sz w:val="20"/>
                <w:szCs w:val="20"/>
                <w:color w:val="auto"/>
              </w:rPr>
            </w:pPr>
            <w:r>
              <w:rPr>
                <w:rFonts w:ascii="Arial" w:cs="Arial" w:eastAsia="Arial" w:hAnsi="Arial"/>
                <w:sz w:val="18"/>
                <w:szCs w:val="18"/>
                <w:color w:val="auto"/>
              </w:rPr>
              <w:t>Weighted average remaining lease term</w:t>
            </w: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Pr>
          <w:p>
            <w:pPr>
              <w:jc w:val="right"/>
              <w:ind w:right="94"/>
              <w:spacing w:after="0"/>
              <w:rPr>
                <w:sz w:val="20"/>
                <w:szCs w:val="20"/>
                <w:color w:val="auto"/>
              </w:rPr>
            </w:pPr>
            <w:r>
              <w:rPr>
                <w:rFonts w:ascii="Arial" w:cs="Arial" w:eastAsia="Arial" w:hAnsi="Arial"/>
                <w:sz w:val="18"/>
                <w:szCs w:val="18"/>
                <w:color w:val="auto"/>
              </w:rPr>
              <w:t>10.3 years</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10.0 years</w:t>
            </w:r>
          </w:p>
        </w:tc>
        <w:tc>
          <w:tcPr>
            <w:tcW w:w="0" w:type="dxa"/>
            <w:vAlign w:val="bottom"/>
          </w:tcPr>
          <w:p>
            <w:pPr>
              <w:spacing w:after="0"/>
              <w:rPr>
                <w:sz w:val="1"/>
                <w:szCs w:val="1"/>
                <w:color w:val="auto"/>
              </w:rPr>
            </w:pPr>
          </w:p>
        </w:tc>
      </w:tr>
      <w:tr>
        <w:trPr>
          <w:trHeight w:val="277"/>
        </w:trPr>
        <w:tc>
          <w:tcPr>
            <w:tcW w:w="54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Weighted average discount rate</w:t>
            </w: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5.7%</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507"/>
        </w:trPr>
        <w:tc>
          <w:tcPr>
            <w:tcW w:w="5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00" w:type="dxa"/>
            <w:vAlign w:val="bottom"/>
            <w:gridSpan w:val="7"/>
          </w:tcPr>
          <w:p>
            <w:pPr>
              <w:ind w:left="80"/>
              <w:spacing w:after="0"/>
              <w:rPr>
                <w:sz w:val="20"/>
                <w:szCs w:val="20"/>
                <w:color w:val="auto"/>
              </w:rPr>
            </w:pPr>
            <w:r>
              <w:rPr>
                <w:rFonts w:ascii="Arial" w:cs="Arial" w:eastAsia="Arial" w:hAnsi="Arial"/>
                <w:sz w:val="16"/>
                <w:szCs w:val="16"/>
                <w:b w:val="1"/>
                <w:bCs w:val="1"/>
                <w:color w:val="auto"/>
              </w:rPr>
              <w:t>Three Months Ended June 30,</w:t>
            </w:r>
          </w:p>
        </w:tc>
        <w:tc>
          <w:tcPr>
            <w:tcW w:w="2680" w:type="dxa"/>
            <w:vAlign w:val="bottom"/>
            <w:gridSpan w:val="6"/>
          </w:tcPr>
          <w:p>
            <w:pPr>
              <w:jc w:val="center"/>
              <w:ind w:right="52"/>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263"/>
        </w:trPr>
        <w:tc>
          <w:tcPr>
            <w:tcW w:w="546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2020</w:t>
            </w:r>
          </w:p>
        </w:tc>
        <w:tc>
          <w:tcPr>
            <w:tcW w:w="40" w:type="dxa"/>
            <w:vAlign w:val="bottom"/>
            <w:tcBorders>
              <w:top w:val="single" w:sz="8" w:color="auto"/>
              <w:bottom w:val="single" w:sz="8" w:color="CCEEFF"/>
            </w:tcBorders>
          </w:tcPr>
          <w:p>
            <w:pPr>
              <w:spacing w:after="0"/>
              <w:rPr>
                <w:sz w:val="22"/>
                <w:szCs w:val="22"/>
                <w:color w:val="auto"/>
              </w:rPr>
            </w:pPr>
          </w:p>
        </w:tc>
        <w:tc>
          <w:tcPr>
            <w:tcW w:w="80" w:type="dxa"/>
            <w:vAlign w:val="bottom"/>
            <w:tcBorders>
              <w:top w:val="single" w:sz="8" w:color="auto"/>
              <w:bottom w:val="single" w:sz="8" w:color="CCEEFF"/>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70"/>
        </w:trPr>
        <w:tc>
          <w:tcPr>
            <w:tcW w:w="54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ROU assets obtained in exchange for lease obligations</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460" w:type="dxa"/>
            <w:vAlign w:val="bottom"/>
          </w:tcPr>
          <w:p>
            <w:pPr>
              <w:ind w:left="280"/>
              <w:spacing w:after="0"/>
              <w:rPr>
                <w:sz w:val="20"/>
                <w:szCs w:val="20"/>
                <w:color w:val="auto"/>
              </w:rPr>
            </w:pPr>
            <w:r>
              <w:rPr>
                <w:rFonts w:ascii="Arial" w:cs="Arial" w:eastAsia="Arial" w:hAnsi="Arial"/>
                <w:sz w:val="18"/>
                <w:szCs w:val="18"/>
                <w:color w:val="auto"/>
              </w:rPr>
              <w:t>Operating leases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704</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gridSpan w:val="4"/>
          </w:tcPr>
          <w:p>
            <w:pPr>
              <w:ind w:left="760"/>
              <w:spacing w:after="0"/>
              <w:rPr>
                <w:sz w:val="20"/>
                <w:szCs w:val="20"/>
                <w:color w:val="auto"/>
              </w:rPr>
            </w:pPr>
            <w:r>
              <w:rPr>
                <w:rFonts w:ascii="Arial" w:cs="Arial" w:eastAsia="Arial" w:hAnsi="Arial"/>
                <w:sz w:val="18"/>
                <w:szCs w:val="18"/>
                <w:color w:val="auto"/>
              </w:rPr>
              <w:t>—   $</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704</w:t>
            </w:r>
          </w:p>
        </w:tc>
        <w:tc>
          <w:tcPr>
            <w:tcW w:w="26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2,198</w:t>
            </w:r>
          </w:p>
        </w:tc>
        <w:tc>
          <w:tcPr>
            <w:tcW w:w="0" w:type="dxa"/>
            <w:vAlign w:val="bottom"/>
          </w:tcPr>
          <w:p>
            <w:pPr>
              <w:spacing w:after="0"/>
              <w:rPr>
                <w:sz w:val="1"/>
                <w:szCs w:val="1"/>
                <w:color w:val="auto"/>
              </w:rPr>
            </w:pPr>
          </w:p>
        </w:tc>
      </w:tr>
      <w:tr>
        <w:trPr>
          <w:trHeight w:val="277"/>
        </w:trPr>
        <w:tc>
          <w:tcPr>
            <w:tcW w:w="54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Finance leases</w:t>
            </w:r>
          </w:p>
        </w:tc>
        <w:tc>
          <w:tcPr>
            <w:tcW w:w="20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320" w:type="dxa"/>
            <w:vAlign w:val="bottom"/>
            <w:gridSpan w:val="4"/>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648"/>
        </w:trPr>
        <w:tc>
          <w:tcPr>
            <w:tcW w:w="9760" w:type="dxa"/>
            <w:vAlign w:val="bottom"/>
            <w:gridSpan w:val="10"/>
          </w:tcPr>
          <w:p>
            <w:pPr>
              <w:ind w:left="340"/>
              <w:spacing w:after="0"/>
              <w:rPr>
                <w:sz w:val="20"/>
                <w:szCs w:val="20"/>
                <w:color w:val="auto"/>
              </w:rPr>
            </w:pPr>
            <w:r>
              <w:rPr>
                <w:rFonts w:ascii="Arial" w:cs="Arial" w:eastAsia="Arial" w:hAnsi="Arial"/>
                <w:sz w:val="18"/>
                <w:szCs w:val="18"/>
                <w:color w:val="auto"/>
              </w:rPr>
              <w:t>In the three and six months ended June 30, 2020, we received proceeds from lease incentives of $8.6 million.</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940" w:type="dxa"/>
            <w:vAlign w:val="bottom"/>
            <w:gridSpan w:val="4"/>
          </w:tcPr>
          <w:p>
            <w:pPr>
              <w:ind w:left="340"/>
              <w:spacing w:after="0"/>
              <w:rPr>
                <w:sz w:val="20"/>
                <w:szCs w:val="20"/>
                <w:color w:val="auto"/>
              </w:rPr>
            </w:pPr>
            <w:r>
              <w:rPr>
                <w:rFonts w:ascii="Arial" w:cs="Arial" w:eastAsia="Arial" w:hAnsi="Arial"/>
                <w:sz w:val="18"/>
                <w:szCs w:val="18"/>
                <w:color w:val="auto"/>
              </w:rPr>
              <w:t>Maturities of operating lease liabilities at June 30, 2020 were as follows:</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546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5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Year ending December 31,</w:t>
            </w: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460" w:type="dxa"/>
            <w:vAlign w:val="bottom"/>
          </w:tcPr>
          <w:p>
            <w:pPr>
              <w:ind w:left="40"/>
              <w:spacing w:after="0"/>
              <w:rPr>
                <w:sz w:val="20"/>
                <w:szCs w:val="20"/>
                <w:color w:val="auto"/>
              </w:rPr>
            </w:pPr>
            <w:r>
              <w:rPr>
                <w:rFonts w:ascii="Arial" w:cs="Arial" w:eastAsia="Arial" w:hAnsi="Arial"/>
                <w:sz w:val="18"/>
                <w:szCs w:val="18"/>
                <w:color w:val="auto"/>
              </w:rPr>
              <w:t>2020</w:t>
            </w:r>
            <w:r>
              <w:rPr>
                <w:rFonts w:ascii="Arial" w:cs="Arial" w:eastAsia="Arial" w:hAnsi="Arial"/>
                <w:sz w:val="21"/>
                <w:szCs w:val="21"/>
                <w:color w:val="auto"/>
                <w:vertAlign w:val="superscript"/>
              </w:rPr>
              <w:t>(1)</w:t>
            </w: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40" w:type="dxa"/>
            <w:vAlign w:val="bottom"/>
            <w:gridSpan w:val="3"/>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2"/>
                <w:szCs w:val="22"/>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2,558</w:t>
            </w:r>
          </w:p>
        </w:tc>
        <w:tc>
          <w:tcPr>
            <w:tcW w:w="0" w:type="dxa"/>
            <w:vAlign w:val="bottom"/>
          </w:tcPr>
          <w:p>
            <w:pPr>
              <w:spacing w:after="0"/>
              <w:rPr>
                <w:sz w:val="1"/>
                <w:szCs w:val="1"/>
                <w:color w:val="auto"/>
              </w:rPr>
            </w:pPr>
          </w:p>
        </w:tc>
      </w:tr>
      <w:tr>
        <w:trPr>
          <w:trHeight w:val="257"/>
        </w:trPr>
        <w:tc>
          <w:tcPr>
            <w:tcW w:w="5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7,195</w:t>
            </w:r>
          </w:p>
        </w:tc>
        <w:tc>
          <w:tcPr>
            <w:tcW w:w="0" w:type="dxa"/>
            <w:vAlign w:val="bottom"/>
          </w:tcPr>
          <w:p>
            <w:pPr>
              <w:spacing w:after="0"/>
              <w:rPr>
                <w:sz w:val="1"/>
                <w:szCs w:val="1"/>
                <w:color w:val="auto"/>
              </w:rPr>
            </w:pPr>
          </w:p>
        </w:tc>
      </w:tr>
      <w:tr>
        <w:trPr>
          <w:trHeight w:val="250"/>
        </w:trPr>
        <w:tc>
          <w:tcPr>
            <w:tcW w:w="5460" w:type="dxa"/>
            <w:vAlign w:val="bottom"/>
          </w:tcPr>
          <w:p>
            <w:pPr>
              <w:ind w:left="40"/>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7,300</w:t>
            </w:r>
          </w:p>
        </w:tc>
        <w:tc>
          <w:tcPr>
            <w:tcW w:w="0" w:type="dxa"/>
            <w:vAlign w:val="bottom"/>
          </w:tcPr>
          <w:p>
            <w:pPr>
              <w:spacing w:after="0"/>
              <w:rPr>
                <w:sz w:val="1"/>
                <w:szCs w:val="1"/>
                <w:color w:val="auto"/>
              </w:rPr>
            </w:pPr>
          </w:p>
        </w:tc>
      </w:tr>
      <w:tr>
        <w:trPr>
          <w:trHeight w:val="263"/>
        </w:trPr>
        <w:tc>
          <w:tcPr>
            <w:tcW w:w="5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6,997</w:t>
            </w:r>
          </w:p>
        </w:tc>
        <w:tc>
          <w:tcPr>
            <w:tcW w:w="0" w:type="dxa"/>
            <w:vAlign w:val="bottom"/>
          </w:tcPr>
          <w:p>
            <w:pPr>
              <w:spacing w:after="0"/>
              <w:rPr>
                <w:sz w:val="1"/>
                <w:szCs w:val="1"/>
                <w:color w:val="auto"/>
              </w:rPr>
            </w:pPr>
          </w:p>
        </w:tc>
      </w:tr>
      <w:tr>
        <w:trPr>
          <w:trHeight w:val="250"/>
        </w:trPr>
        <w:tc>
          <w:tcPr>
            <w:tcW w:w="5460" w:type="dxa"/>
            <w:vAlign w:val="bottom"/>
          </w:tcPr>
          <w:p>
            <w:pPr>
              <w:ind w:left="40"/>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7,151</w:t>
            </w:r>
          </w:p>
        </w:tc>
        <w:tc>
          <w:tcPr>
            <w:tcW w:w="0" w:type="dxa"/>
            <w:vAlign w:val="bottom"/>
          </w:tcPr>
          <w:p>
            <w:pPr>
              <w:spacing w:after="0"/>
              <w:rPr>
                <w:sz w:val="1"/>
                <w:szCs w:val="1"/>
                <w:color w:val="auto"/>
              </w:rPr>
            </w:pPr>
          </w:p>
        </w:tc>
      </w:tr>
      <w:tr>
        <w:trPr>
          <w:trHeight w:val="257"/>
        </w:trPr>
        <w:tc>
          <w:tcPr>
            <w:tcW w:w="5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50,952</w:t>
            </w:r>
          </w:p>
        </w:tc>
        <w:tc>
          <w:tcPr>
            <w:tcW w:w="0" w:type="dxa"/>
            <w:vAlign w:val="bottom"/>
          </w:tcPr>
          <w:p>
            <w:pPr>
              <w:spacing w:after="0"/>
              <w:rPr>
                <w:sz w:val="1"/>
                <w:szCs w:val="1"/>
                <w:color w:val="auto"/>
              </w:rPr>
            </w:pPr>
          </w:p>
        </w:tc>
      </w:tr>
      <w:tr>
        <w:trPr>
          <w:trHeight w:val="250"/>
        </w:trPr>
        <w:tc>
          <w:tcPr>
            <w:tcW w:w="5460" w:type="dxa"/>
            <w:vAlign w:val="bottom"/>
          </w:tcPr>
          <w:p>
            <w:pPr>
              <w:ind w:left="280"/>
              <w:spacing w:after="0"/>
              <w:rPr>
                <w:sz w:val="20"/>
                <w:szCs w:val="20"/>
                <w:color w:val="auto"/>
              </w:rPr>
            </w:pPr>
            <w:r>
              <w:rPr>
                <w:rFonts w:ascii="Arial" w:cs="Arial" w:eastAsia="Arial" w:hAnsi="Arial"/>
                <w:sz w:val="18"/>
                <w:szCs w:val="18"/>
                <w:color w:val="auto"/>
              </w:rPr>
              <w:t>Total lease payments</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82,153</w:t>
            </w:r>
          </w:p>
        </w:tc>
        <w:tc>
          <w:tcPr>
            <w:tcW w:w="0" w:type="dxa"/>
            <w:vAlign w:val="bottom"/>
          </w:tcPr>
          <w:p>
            <w:pPr>
              <w:spacing w:after="0"/>
              <w:rPr>
                <w:sz w:val="1"/>
                <w:szCs w:val="1"/>
                <w:color w:val="auto"/>
              </w:rPr>
            </w:pPr>
          </w:p>
        </w:tc>
      </w:tr>
      <w:tr>
        <w:trPr>
          <w:trHeight w:val="263"/>
        </w:trPr>
        <w:tc>
          <w:tcPr>
            <w:tcW w:w="5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Less: Imputed interest</w:t>
            </w: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(22,521)</w:t>
            </w:r>
          </w:p>
        </w:tc>
        <w:tc>
          <w:tcPr>
            <w:tcW w:w="0" w:type="dxa"/>
            <w:vAlign w:val="bottom"/>
          </w:tcPr>
          <w:p>
            <w:pPr>
              <w:spacing w:after="0"/>
              <w:rPr>
                <w:sz w:val="1"/>
                <w:szCs w:val="1"/>
                <w:color w:val="auto"/>
              </w:rPr>
            </w:pPr>
          </w:p>
        </w:tc>
      </w:tr>
      <w:tr>
        <w:trPr>
          <w:trHeight w:val="250"/>
        </w:trPr>
        <w:tc>
          <w:tcPr>
            <w:tcW w:w="54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Less: Tenant incentives</w:t>
            </w:r>
          </w:p>
        </w:tc>
        <w:tc>
          <w:tcPr>
            <w:tcW w:w="200" w:type="dxa"/>
            <w:vAlign w:val="bottom"/>
            <w:tcBorders>
              <w:bottom w:val="single" w:sz="8" w:color="CCEEFF"/>
            </w:tcBorders>
          </w:tcPr>
          <w:p>
            <w:pPr>
              <w:spacing w:after="0"/>
              <w:rPr>
                <w:sz w:val="21"/>
                <w:szCs w:val="21"/>
                <w:color w:val="auto"/>
              </w:rPr>
            </w:pPr>
          </w:p>
        </w:tc>
        <w:tc>
          <w:tcPr>
            <w:tcW w:w="11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10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(5,607)</w:t>
            </w:r>
          </w:p>
        </w:tc>
        <w:tc>
          <w:tcPr>
            <w:tcW w:w="0" w:type="dxa"/>
            <w:vAlign w:val="bottom"/>
          </w:tcPr>
          <w:p>
            <w:pPr>
              <w:spacing w:after="0"/>
              <w:rPr>
                <w:sz w:val="1"/>
                <w:szCs w:val="1"/>
                <w:color w:val="auto"/>
              </w:rPr>
            </w:pPr>
          </w:p>
        </w:tc>
      </w:tr>
      <w:tr>
        <w:trPr>
          <w:trHeight w:val="257"/>
        </w:trPr>
        <w:tc>
          <w:tcPr>
            <w:tcW w:w="5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gridSpan w:val="3"/>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54,025</w:t>
            </w: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Arial" w:cs="Arial" w:eastAsia="Arial" w:hAnsi="Arial"/>
                <w:sz w:val="11"/>
                <w:szCs w:val="11"/>
                <w:color w:val="auto"/>
              </w:rPr>
              <w:t>_______________</w:t>
            </w: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546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380" w:hanging="372"/>
        <w:spacing w:after="0"/>
        <w:tabs>
          <w:tab w:leader="none" w:pos="38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Represents the six months ending December 31, 2020.</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Debt</w:t>
      </w:r>
    </w:p>
    <w:p>
      <w:pPr>
        <w:spacing w:after="0" w:line="247" w:lineRule="exact"/>
        <w:rPr>
          <w:sz w:val="20"/>
          <w:szCs w:val="20"/>
          <w:color w:val="auto"/>
        </w:rPr>
      </w:pPr>
    </w:p>
    <w:p>
      <w:pPr>
        <w:ind w:right="580" w:firstLine="324"/>
        <w:spacing w:after="0" w:line="261" w:lineRule="auto"/>
        <w:rPr>
          <w:sz w:val="20"/>
          <w:szCs w:val="20"/>
          <w:color w:val="auto"/>
        </w:rPr>
      </w:pPr>
      <w:r>
        <w:rPr>
          <w:rFonts w:ascii="Arial" w:cs="Arial" w:eastAsia="Arial" w:hAnsi="Arial"/>
          <w:sz w:val="18"/>
          <w:szCs w:val="18"/>
          <w:color w:val="auto"/>
        </w:rPr>
        <w:t>There were no amounts outstanding under our $25.0 million revolving credit facility (“2017 Credit Facility”) with Silicon Valley Bank ("SVB") in the six months ended June 30, 2020 and 2019.</w:t>
      </w:r>
    </w:p>
    <w:p>
      <w:pPr>
        <w:spacing w:after="0" w:line="198" w:lineRule="exact"/>
        <w:rPr>
          <w:sz w:val="20"/>
          <w:szCs w:val="20"/>
          <w:color w:val="auto"/>
        </w:rPr>
      </w:pPr>
    </w:p>
    <w:p>
      <w:pPr>
        <w:jc w:val="both"/>
        <w:ind w:right="360" w:firstLine="324"/>
        <w:spacing w:after="0" w:line="256" w:lineRule="auto"/>
        <w:rPr>
          <w:sz w:val="20"/>
          <w:szCs w:val="20"/>
          <w:color w:val="auto"/>
        </w:rPr>
      </w:pPr>
      <w:r>
        <w:rPr>
          <w:rFonts w:ascii="Arial" w:cs="Arial" w:eastAsia="Arial" w:hAnsi="Arial"/>
          <w:sz w:val="18"/>
          <w:szCs w:val="18"/>
          <w:color w:val="auto"/>
        </w:rPr>
        <w:t>In July 2020, the maturity date of the 2017 Credit Facility was extended to August 3, 2020. In April 2020, the 2017 Credit Facility was amended to increase the maximum amount of letters of credit that may be issued from $5.0 million to $6.5 million. At June 30, 2020, our borrowing capacity was reduced by $5.5 million related to standby letters of credit.</w:t>
      </w:r>
    </w:p>
    <w:p>
      <w:pPr>
        <w:spacing w:after="0" w:line="202"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In July 2020, we entered into a new $ 45.0 million senior secured credit facility (“2020 Credit Facility”) with SVB in connection with the expiration of the 2017 Credit Facility. The 2020 Credit Facility bears interest at either LIBOR plus 2%, with a 1% LIBOR floor, or the ABR plus 1%, and terminates on July 24, 2022. A commitment fee of 0.35% per annum is payable quarterly in arrears based on the unused portion. The 2020 Credit Facility includes a $45.0 million uncommitted expansion and has a financial covenant requiring a minimum consolidated quick ratio of at least 1.5:1.0 on the last day of any quarter.</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40" w:right="339" w:bottom="1440" w:gutter="0" w:footer="0" w:header="0"/>
        </w:sectPr>
      </w:pPr>
    </w:p>
    <w:bookmarkStart w:id="13" w:name="page14"/>
    <w:bookmarkEnd w:id="13"/>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w:t>
      </w:r>
    </w:p>
    <w:p>
      <w:pPr>
        <w:spacing w:after="0" w:line="247" w:lineRule="exact"/>
        <w:rPr>
          <w:sz w:val="20"/>
          <w:szCs w:val="20"/>
          <w:color w:val="auto"/>
        </w:rPr>
      </w:pPr>
    </w:p>
    <w:p>
      <w:pPr>
        <w:ind w:right="360" w:firstLine="324"/>
        <w:spacing w:after="0" w:line="261" w:lineRule="auto"/>
        <w:rPr>
          <w:sz w:val="20"/>
          <w:szCs w:val="20"/>
          <w:color w:val="auto"/>
        </w:rPr>
      </w:pPr>
      <w:r>
        <w:rPr>
          <w:rFonts w:ascii="Arial" w:cs="Arial" w:eastAsia="Arial" w:hAnsi="Arial"/>
          <w:sz w:val="18"/>
          <w:szCs w:val="18"/>
          <w:color w:val="auto"/>
        </w:rPr>
        <w:t>Under the evergreen provision in our 2018 Equity Incentive Plan ("2018 Plan"), in January 2020 we reserved an additional 4,929,361 shares of our common stock for issuance. At June 30, 2020, there were 17,500,941 shares available for grant under the 2018 Plan.</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Stock-based compensation expense included in the consolidated statements of operations was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760" w:type="dxa"/>
            <w:vAlign w:val="bottom"/>
            <w:gridSpan w:val="5"/>
          </w:tcPr>
          <w:p>
            <w:pPr>
              <w:ind w:left="60"/>
              <w:spacing w:after="0"/>
              <w:rPr>
                <w:sz w:val="20"/>
                <w:szCs w:val="20"/>
                <w:color w:val="auto"/>
              </w:rPr>
            </w:pPr>
            <w:r>
              <w:rPr>
                <w:rFonts w:ascii="Arial" w:cs="Arial" w:eastAsia="Arial" w:hAnsi="Arial"/>
                <w:sz w:val="16"/>
                <w:szCs w:val="16"/>
                <w:b w:val="1"/>
                <w:bCs w:val="1"/>
                <w:color w:val="auto"/>
              </w:rPr>
              <w:t>Three Months Ended June 30,</w:t>
            </w:r>
          </w:p>
        </w:tc>
        <w:tc>
          <w:tcPr>
            <w:tcW w:w="300" w:type="dxa"/>
            <w:vAlign w:val="bottom"/>
          </w:tcPr>
          <w:p>
            <w:pPr>
              <w:spacing w:after="0"/>
              <w:rPr>
                <w:sz w:val="19"/>
                <w:szCs w:val="19"/>
                <w:color w:val="auto"/>
              </w:rPr>
            </w:pPr>
          </w:p>
        </w:tc>
        <w:tc>
          <w:tcPr>
            <w:tcW w:w="2620" w:type="dxa"/>
            <w:vAlign w:val="bottom"/>
            <w:gridSpan w:val="4"/>
          </w:tcPr>
          <w:p>
            <w:pPr>
              <w:jc w:val="right"/>
              <w:ind w:right="312"/>
              <w:spacing w:after="0"/>
              <w:rPr>
                <w:sz w:val="20"/>
                <w:szCs w:val="20"/>
                <w:color w:val="auto"/>
              </w:rPr>
            </w:pPr>
            <w:r>
              <w:rPr>
                <w:rFonts w:ascii="Arial" w:cs="Arial" w:eastAsia="Arial" w:hAnsi="Arial"/>
                <w:sz w:val="16"/>
                <w:szCs w:val="16"/>
                <w:b w:val="1"/>
                <w:bCs w:val="1"/>
                <w:color w:val="auto"/>
              </w:rPr>
              <w:t>Six Months Ended June 30,</w:t>
            </w:r>
          </w:p>
        </w:tc>
      </w:tr>
      <w:tr>
        <w:trPr>
          <w:trHeight w:val="263"/>
        </w:trPr>
        <w:tc>
          <w:tcPr>
            <w:tcW w:w="530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2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2019</w:t>
            </w:r>
          </w:p>
        </w:tc>
      </w:tr>
      <w:tr>
        <w:trPr>
          <w:trHeight w:val="257"/>
        </w:trPr>
        <w:tc>
          <w:tcPr>
            <w:tcW w:w="5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830</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742</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1,577</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1,394</w:t>
            </w:r>
          </w:p>
        </w:tc>
      </w:tr>
      <w:tr>
        <w:trPr>
          <w:trHeight w:val="263"/>
        </w:trPr>
        <w:tc>
          <w:tcPr>
            <w:tcW w:w="530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260" w:type="dxa"/>
            <w:vAlign w:val="bottom"/>
          </w:tcPr>
          <w:p>
            <w:pPr>
              <w:spacing w:after="0"/>
              <w:rPr>
                <w:sz w:val="22"/>
                <w:szCs w:val="22"/>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5,375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4,215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9,871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7,581</w:t>
            </w:r>
          </w:p>
        </w:tc>
      </w:tr>
      <w:tr>
        <w:trPr>
          <w:trHeight w:val="277"/>
        </w:trPr>
        <w:tc>
          <w:tcPr>
            <w:tcW w:w="5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3,893</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2,441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6,841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4,471</w:t>
            </w:r>
          </w:p>
        </w:tc>
      </w:tr>
      <w:tr>
        <w:trPr>
          <w:trHeight w:val="263"/>
        </w:trPr>
        <w:tc>
          <w:tcPr>
            <w:tcW w:w="53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5,568</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3,975</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10,412</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7,246</w:t>
            </w:r>
          </w:p>
        </w:tc>
      </w:tr>
      <w:tr>
        <w:trPr>
          <w:trHeight w:val="257"/>
        </w:trPr>
        <w:tc>
          <w:tcPr>
            <w:tcW w:w="5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stock-based compensation expense</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15,666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11,373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28,701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20,692</w:t>
            </w:r>
          </w:p>
        </w:tc>
      </w:tr>
      <w:tr>
        <w:trPr>
          <w:trHeight w:val="20"/>
        </w:trPr>
        <w:tc>
          <w:tcPr>
            <w:tcW w:w="5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300" w:firstLine="324"/>
        <w:spacing w:after="0" w:line="261" w:lineRule="auto"/>
        <w:rPr>
          <w:sz w:val="20"/>
          <w:szCs w:val="20"/>
          <w:color w:val="auto"/>
        </w:rPr>
      </w:pPr>
      <w:r>
        <w:rPr>
          <w:rFonts w:ascii="Arial" w:cs="Arial" w:eastAsia="Arial" w:hAnsi="Arial"/>
          <w:sz w:val="18"/>
          <w:szCs w:val="18"/>
          <w:color w:val="auto"/>
        </w:rPr>
        <w:t>At June 30, 2020, the unrecognized stock-based compensation expense related to unvested restricted stock units was $127.9 million, which is expected to be recognized over an estimated remaining weighted average period of 3.2 years.</w:t>
      </w:r>
    </w:p>
    <w:p>
      <w:pPr>
        <w:spacing w:after="0" w:line="198" w:lineRule="exact"/>
        <w:rPr>
          <w:sz w:val="20"/>
          <w:szCs w:val="20"/>
          <w:color w:val="auto"/>
        </w:rPr>
      </w:pPr>
    </w:p>
    <w:p>
      <w:pPr>
        <w:ind w:right="100" w:firstLine="324"/>
        <w:spacing w:after="0" w:line="261" w:lineRule="auto"/>
        <w:rPr>
          <w:sz w:val="20"/>
          <w:szCs w:val="20"/>
          <w:color w:val="auto"/>
        </w:rPr>
      </w:pPr>
      <w:r>
        <w:rPr>
          <w:rFonts w:ascii="Arial" w:cs="Arial" w:eastAsia="Arial" w:hAnsi="Arial"/>
          <w:sz w:val="18"/>
          <w:szCs w:val="18"/>
          <w:color w:val="auto"/>
        </w:rPr>
        <w:t>At June 30, 2020, the unrecognized stock-based compensation expense related to outstanding stock options was $17.0 million, which is expected to be recognized over an estimated remaining weighted average period of 1.7 years.</w:t>
      </w:r>
    </w:p>
    <w:p>
      <w:pPr>
        <w:spacing w:after="0" w:line="198" w:lineRule="exact"/>
        <w:rPr>
          <w:sz w:val="20"/>
          <w:szCs w:val="20"/>
          <w:color w:val="auto"/>
        </w:rPr>
      </w:pPr>
    </w:p>
    <w:p>
      <w:pPr>
        <w:ind w:right="100" w:firstLine="324"/>
        <w:spacing w:after="0" w:line="261" w:lineRule="auto"/>
        <w:rPr>
          <w:sz w:val="20"/>
          <w:szCs w:val="20"/>
          <w:color w:val="auto"/>
        </w:rPr>
      </w:pPr>
      <w:r>
        <w:rPr>
          <w:rFonts w:ascii="Arial" w:cs="Arial" w:eastAsia="Arial" w:hAnsi="Arial"/>
          <w:sz w:val="18"/>
          <w:szCs w:val="18"/>
          <w:color w:val="auto"/>
        </w:rPr>
        <w:t>At June 30, 2020, the unrecognized stock-based compensation expense related to unvested awards of restricted stock was $0.8 million, which is expected to be recognized over an estimated remaining period of 0.5 years.</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Restricted Stock and Restricted Stock Units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our restricted stock and restricted stock units activity is presented below:</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80" w:type="dxa"/>
            <w:vAlign w:val="bottom"/>
          </w:tcPr>
          <w:p>
            <w:pPr>
              <w:spacing w:after="0"/>
              <w:rPr>
                <w:sz w:val="19"/>
                <w:szCs w:val="19"/>
                <w:color w:val="auto"/>
              </w:rPr>
            </w:pPr>
          </w:p>
        </w:tc>
        <w:tc>
          <w:tcPr>
            <w:tcW w:w="3020" w:type="dxa"/>
            <w:vAlign w:val="bottom"/>
            <w:tcBorders>
              <w:bottom w:val="single" w:sz="8" w:color="auto"/>
            </w:tcBorders>
            <w:gridSpan w:val="4"/>
          </w:tcPr>
          <w:p>
            <w:pPr>
              <w:jc w:val="right"/>
              <w:ind w:right="774"/>
              <w:spacing w:after="0"/>
              <w:rPr>
                <w:sz w:val="20"/>
                <w:szCs w:val="20"/>
                <w:color w:val="auto"/>
              </w:rPr>
            </w:pPr>
            <w:r>
              <w:rPr>
                <w:rFonts w:ascii="Arial" w:cs="Arial" w:eastAsia="Arial" w:hAnsi="Arial"/>
                <w:sz w:val="16"/>
                <w:szCs w:val="16"/>
                <w:b w:val="1"/>
                <w:bCs w:val="1"/>
                <w:color w:val="auto"/>
              </w:rPr>
              <w:t>Restricted Stock</w:t>
            </w:r>
          </w:p>
        </w:tc>
        <w:tc>
          <w:tcPr>
            <w:tcW w:w="120" w:type="dxa"/>
            <w:vAlign w:val="bottom"/>
          </w:tcPr>
          <w:p>
            <w:pPr>
              <w:spacing w:after="0"/>
              <w:rPr>
                <w:sz w:val="19"/>
                <w:szCs w:val="19"/>
                <w:color w:val="auto"/>
              </w:rPr>
            </w:pPr>
          </w:p>
        </w:tc>
        <w:tc>
          <w:tcPr>
            <w:tcW w:w="3020" w:type="dxa"/>
            <w:vAlign w:val="bottom"/>
            <w:tcBorders>
              <w:bottom w:val="single" w:sz="8" w:color="auto"/>
            </w:tcBorders>
            <w:gridSpan w:val="4"/>
          </w:tcPr>
          <w:p>
            <w:pPr>
              <w:jc w:val="right"/>
              <w:ind w:right="554"/>
              <w:spacing w:after="0"/>
              <w:rPr>
                <w:sz w:val="20"/>
                <w:szCs w:val="20"/>
                <w:color w:val="auto"/>
              </w:rPr>
            </w:pPr>
            <w:r>
              <w:rPr>
                <w:rFonts w:ascii="Arial" w:cs="Arial" w:eastAsia="Arial" w:hAnsi="Arial"/>
                <w:sz w:val="16"/>
                <w:szCs w:val="16"/>
                <w:b w:val="1"/>
                <w:bCs w:val="1"/>
                <w:color w:val="auto"/>
              </w:rPr>
              <w:t>Restricted Stock Units</w:t>
            </w:r>
          </w:p>
        </w:tc>
      </w:tr>
      <w:tr>
        <w:trPr>
          <w:trHeight w:val="198"/>
        </w:trPr>
        <w:tc>
          <w:tcPr>
            <w:tcW w:w="50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Weighted</w:t>
            </w: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center"/>
              <w:ind w:right="54"/>
              <w:spacing w:after="0"/>
              <w:rPr>
                <w:sz w:val="20"/>
                <w:szCs w:val="20"/>
                <w:color w:val="auto"/>
              </w:rPr>
            </w:pPr>
            <w:r>
              <w:rPr>
                <w:rFonts w:ascii="Arial" w:cs="Arial" w:eastAsia="Arial" w:hAnsi="Arial"/>
                <w:sz w:val="16"/>
                <w:szCs w:val="16"/>
                <w:b w:val="1"/>
                <w:bCs w:val="1"/>
                <w:color w:val="auto"/>
                <w:w w:val="99"/>
              </w:rPr>
              <w:t>Weighted</w:t>
            </w:r>
          </w:p>
        </w:tc>
      </w:tr>
      <w:tr>
        <w:trPr>
          <w:trHeight w:val="189"/>
        </w:trPr>
        <w:tc>
          <w:tcPr>
            <w:tcW w:w="50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Average</w:t>
            </w: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center"/>
              <w:ind w:right="54"/>
              <w:spacing w:after="0"/>
              <w:rPr>
                <w:sz w:val="20"/>
                <w:szCs w:val="20"/>
                <w:color w:val="auto"/>
              </w:rPr>
            </w:pPr>
            <w:r>
              <w:rPr>
                <w:rFonts w:ascii="Arial" w:cs="Arial" w:eastAsia="Arial" w:hAnsi="Arial"/>
                <w:sz w:val="16"/>
                <w:szCs w:val="16"/>
                <w:b w:val="1"/>
                <w:bCs w:val="1"/>
                <w:color w:val="auto"/>
              </w:rPr>
              <w:t>Average</w:t>
            </w:r>
          </w:p>
        </w:tc>
      </w:tr>
      <w:tr>
        <w:trPr>
          <w:trHeight w:val="189"/>
        </w:trPr>
        <w:tc>
          <w:tcPr>
            <w:tcW w:w="5080" w:type="dxa"/>
            <w:vAlign w:val="bottom"/>
          </w:tcPr>
          <w:p>
            <w:pPr>
              <w:spacing w:after="0"/>
              <w:rPr>
                <w:sz w:val="16"/>
                <w:szCs w:val="16"/>
                <w:color w:val="auto"/>
              </w:rPr>
            </w:pPr>
          </w:p>
        </w:tc>
        <w:tc>
          <w:tcPr>
            <w:tcW w:w="1440" w:type="dxa"/>
            <w:vAlign w:val="bottom"/>
          </w:tcPr>
          <w:p>
            <w:pPr>
              <w:jc w:val="right"/>
              <w:ind w:right="333"/>
              <w:spacing w:after="0"/>
              <w:rPr>
                <w:sz w:val="20"/>
                <w:szCs w:val="20"/>
                <w:color w:val="auto"/>
              </w:rPr>
            </w:pPr>
            <w:r>
              <w:rPr>
                <w:rFonts w:ascii="Arial" w:cs="Arial" w:eastAsia="Arial" w:hAnsi="Arial"/>
                <w:sz w:val="16"/>
                <w:szCs w:val="16"/>
                <w:b w:val="1"/>
                <w:bCs w:val="1"/>
                <w:color w:val="auto"/>
              </w:rPr>
              <w:t>Number</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Grant Date Fair</w:t>
            </w:r>
          </w:p>
        </w:tc>
        <w:tc>
          <w:tcPr>
            <w:tcW w:w="1440" w:type="dxa"/>
            <w:vAlign w:val="bottom"/>
          </w:tcPr>
          <w:p>
            <w:pPr>
              <w:jc w:val="right"/>
              <w:ind w:right="333"/>
              <w:spacing w:after="0"/>
              <w:rPr>
                <w:sz w:val="20"/>
                <w:szCs w:val="20"/>
                <w:color w:val="auto"/>
              </w:rPr>
            </w:pPr>
            <w:r>
              <w:rPr>
                <w:rFonts w:ascii="Arial" w:cs="Arial" w:eastAsia="Arial" w:hAnsi="Arial"/>
                <w:sz w:val="16"/>
                <w:szCs w:val="16"/>
                <w:b w:val="1"/>
                <w:bCs w:val="1"/>
                <w:color w:val="auto"/>
              </w:rPr>
              <w:t>Number</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center"/>
              <w:ind w:right="54"/>
              <w:spacing w:after="0"/>
              <w:rPr>
                <w:sz w:val="20"/>
                <w:szCs w:val="20"/>
                <w:color w:val="auto"/>
              </w:rPr>
            </w:pPr>
            <w:r>
              <w:rPr>
                <w:rFonts w:ascii="Arial" w:cs="Arial" w:eastAsia="Arial" w:hAnsi="Arial"/>
                <w:sz w:val="16"/>
                <w:szCs w:val="16"/>
                <w:b w:val="1"/>
                <w:bCs w:val="1"/>
                <w:color w:val="auto"/>
              </w:rPr>
              <w:t>Grant Date Fair</w:t>
            </w:r>
          </w:p>
        </w:tc>
      </w:tr>
      <w:tr>
        <w:trPr>
          <w:trHeight w:val="228"/>
        </w:trPr>
        <w:tc>
          <w:tcPr>
            <w:tcW w:w="508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 except for per share data)</w:t>
            </w:r>
          </w:p>
        </w:tc>
        <w:tc>
          <w:tcPr>
            <w:tcW w:w="1440" w:type="dxa"/>
            <w:vAlign w:val="bottom"/>
            <w:tcBorders>
              <w:bottom w:val="single" w:sz="8" w:color="auto"/>
            </w:tcBorders>
          </w:tcPr>
          <w:p>
            <w:pPr>
              <w:jc w:val="right"/>
              <w:ind w:right="273"/>
              <w:spacing w:after="0"/>
              <w:rPr>
                <w:sz w:val="20"/>
                <w:szCs w:val="20"/>
                <w:color w:val="auto"/>
              </w:rPr>
            </w:pPr>
            <w:r>
              <w:rPr>
                <w:rFonts w:ascii="Arial" w:cs="Arial" w:eastAsia="Arial" w:hAnsi="Arial"/>
                <w:sz w:val="16"/>
                <w:szCs w:val="16"/>
                <w:b w:val="1"/>
                <w:bCs w:val="1"/>
                <w:color w:val="auto"/>
              </w:rPr>
              <w:t>of Shares</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54"/>
              <w:spacing w:after="0"/>
              <w:rPr>
                <w:sz w:val="20"/>
                <w:szCs w:val="20"/>
                <w:color w:val="auto"/>
              </w:rPr>
            </w:pPr>
            <w:r>
              <w:rPr>
                <w:rFonts w:ascii="Arial" w:cs="Arial" w:eastAsia="Arial" w:hAnsi="Arial"/>
                <w:sz w:val="16"/>
                <w:szCs w:val="16"/>
                <w:b w:val="1"/>
                <w:bCs w:val="1"/>
                <w:color w:val="auto"/>
                <w:w w:val="98"/>
              </w:rPr>
              <w:t>Value</w:t>
            </w:r>
          </w:p>
        </w:tc>
        <w:tc>
          <w:tcPr>
            <w:tcW w:w="12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ind w:right="273"/>
              <w:spacing w:after="0"/>
              <w:rPr>
                <w:sz w:val="20"/>
                <w:szCs w:val="20"/>
                <w:color w:val="auto"/>
              </w:rPr>
            </w:pPr>
            <w:r>
              <w:rPr>
                <w:rFonts w:ascii="Arial" w:cs="Arial" w:eastAsia="Arial" w:hAnsi="Arial"/>
                <w:sz w:val="16"/>
                <w:szCs w:val="16"/>
                <w:b w:val="1"/>
                <w:bCs w:val="1"/>
                <w:color w:val="auto"/>
              </w:rPr>
              <w:t>of Shares</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34"/>
              <w:spacing w:after="0"/>
              <w:rPr>
                <w:sz w:val="20"/>
                <w:szCs w:val="20"/>
                <w:color w:val="auto"/>
              </w:rPr>
            </w:pPr>
            <w:r>
              <w:rPr>
                <w:rFonts w:ascii="Arial" w:cs="Arial" w:eastAsia="Arial" w:hAnsi="Arial"/>
                <w:sz w:val="16"/>
                <w:szCs w:val="16"/>
                <w:b w:val="1"/>
                <w:bCs w:val="1"/>
                <w:color w:val="auto"/>
                <w:w w:val="98"/>
              </w:rPr>
              <w:t>Value</w:t>
            </w:r>
          </w:p>
        </w:tc>
      </w:tr>
      <w:tr>
        <w:trPr>
          <w:trHeight w:val="256"/>
        </w:trPr>
        <w:tc>
          <w:tcPr>
            <w:tcW w:w="5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Unvested balance at December 31, 2019</w:t>
            </w:r>
          </w:p>
        </w:tc>
        <w:tc>
          <w:tcPr>
            <w:tcW w:w="14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495</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4.25</w:t>
            </w:r>
          </w:p>
        </w:tc>
        <w:tc>
          <w:tcPr>
            <w:tcW w:w="12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2,894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26.34</w:t>
            </w:r>
          </w:p>
        </w:tc>
      </w:tr>
      <w:tr>
        <w:trPr>
          <w:trHeight w:val="263"/>
        </w:trPr>
        <w:tc>
          <w:tcPr>
            <w:tcW w:w="5080" w:type="dxa"/>
            <w:vAlign w:val="bottom"/>
          </w:tcPr>
          <w:p>
            <w:pPr>
              <w:ind w:left="220"/>
              <w:spacing w:after="0"/>
              <w:rPr>
                <w:sz w:val="20"/>
                <w:szCs w:val="20"/>
                <w:color w:val="auto"/>
              </w:rPr>
            </w:pPr>
            <w:r>
              <w:rPr>
                <w:rFonts w:ascii="Arial" w:cs="Arial" w:eastAsia="Arial" w:hAnsi="Arial"/>
                <w:sz w:val="18"/>
                <w:szCs w:val="18"/>
                <w:color w:val="auto"/>
              </w:rPr>
              <w:t>Granted</w:t>
            </w: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3,372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27.86</w:t>
            </w:r>
          </w:p>
        </w:tc>
      </w:tr>
      <w:tr>
        <w:trPr>
          <w:trHeight w:val="277"/>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Vested</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4.25</w:t>
            </w:r>
          </w:p>
        </w:tc>
        <w:tc>
          <w:tcPr>
            <w:tcW w:w="12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29.04</w:t>
            </w:r>
          </w:p>
        </w:tc>
      </w:tr>
      <w:tr>
        <w:trPr>
          <w:trHeight w:val="263"/>
        </w:trPr>
        <w:tc>
          <w:tcPr>
            <w:tcW w:w="50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Forfeited</w:t>
            </w:r>
          </w:p>
        </w:tc>
        <w:tc>
          <w:tcPr>
            <w:tcW w:w="14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44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340" w:type="dxa"/>
            <w:vAlign w:val="bottom"/>
            <w:tcBorders>
              <w:bottom w:val="single" w:sz="8" w:color="CCEEFF"/>
            </w:tcBorders>
          </w:tcPr>
          <w:p>
            <w:pPr>
              <w:jc w:val="right"/>
              <w:ind w:right="14"/>
              <w:spacing w:after="0"/>
              <w:rPr>
                <w:sz w:val="20"/>
                <w:szCs w:val="20"/>
                <w:color w:val="auto"/>
              </w:rPr>
            </w:pPr>
            <w:r>
              <w:rPr>
                <w:rFonts w:ascii="Arial" w:cs="Arial" w:eastAsia="Arial" w:hAnsi="Arial"/>
                <w:sz w:val="18"/>
                <w:szCs w:val="18"/>
                <w:color w:val="auto"/>
              </w:rPr>
              <w:t>25.71</w:t>
            </w:r>
          </w:p>
        </w:tc>
      </w:tr>
      <w:tr>
        <w:trPr>
          <w:trHeight w:val="257"/>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balance at June 30, 2020</w:t>
            </w:r>
          </w:p>
        </w:tc>
        <w:tc>
          <w:tcPr>
            <w:tcW w:w="14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297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4.25</w:t>
            </w:r>
          </w:p>
        </w:tc>
        <w:tc>
          <w:tcPr>
            <w:tcW w:w="1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5,436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27.03</w:t>
            </w:r>
          </w:p>
        </w:tc>
      </w:tr>
      <w:tr>
        <w:trPr>
          <w:trHeight w:val="20"/>
        </w:trPr>
        <w:tc>
          <w:tcPr>
            <w:tcW w:w="50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845"/>
        </w:trPr>
        <w:tc>
          <w:tcPr>
            <w:tcW w:w="5080" w:type="dxa"/>
            <w:vAlign w:val="bottom"/>
          </w:tcPr>
          <w:p>
            <w:pPr>
              <w:spacing w:after="0"/>
              <w:rPr>
                <w:sz w:val="24"/>
                <w:szCs w:val="24"/>
                <w:color w:val="auto"/>
              </w:rPr>
            </w:pPr>
          </w:p>
        </w:tc>
        <w:tc>
          <w:tcPr>
            <w:tcW w:w="1440" w:type="dxa"/>
            <w:vAlign w:val="bottom"/>
          </w:tcPr>
          <w:p>
            <w:pPr>
              <w:jc w:val="right"/>
              <w:ind w:right="713"/>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1240"/>
          </w:cols>
          <w:pgMar w:left="320" w:top="140" w:right="339" w:bottom="1440" w:gutter="0" w:footer="0" w:header="0"/>
        </w:sectPr>
      </w:pPr>
    </w:p>
    <w:bookmarkStart w:id="14" w:name="page15"/>
    <w:bookmarkEnd w:id="14"/>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Options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our stock option activity is presented below:</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Weighted-</w:t>
            </w: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Average</w:t>
            </w: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Weighted</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Remaining</w:t>
            </w: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20" w:type="dxa"/>
            <w:vAlign w:val="bottom"/>
          </w:tcPr>
          <w:p>
            <w:pPr>
              <w:spacing w:after="0"/>
              <w:rPr>
                <w:sz w:val="16"/>
                <w:szCs w:val="16"/>
                <w:color w:val="auto"/>
              </w:rPr>
            </w:pPr>
          </w:p>
        </w:tc>
        <w:tc>
          <w:tcPr>
            <w:tcW w:w="1440" w:type="dxa"/>
            <w:vAlign w:val="bottom"/>
          </w:tcPr>
          <w:p>
            <w:pPr>
              <w:jc w:val="right"/>
              <w:ind w:right="332"/>
              <w:spacing w:after="0"/>
              <w:rPr>
                <w:sz w:val="20"/>
                <w:szCs w:val="20"/>
                <w:color w:val="auto"/>
              </w:rPr>
            </w:pPr>
            <w:r>
              <w:rPr>
                <w:rFonts w:ascii="Arial" w:cs="Arial" w:eastAsia="Arial" w:hAnsi="Arial"/>
                <w:sz w:val="16"/>
                <w:szCs w:val="16"/>
                <w:b w:val="1"/>
                <w:bCs w:val="1"/>
                <w:color w:val="auto"/>
              </w:rPr>
              <w:t>Number</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Average</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Contractual Term</w:t>
            </w:r>
          </w:p>
        </w:tc>
        <w:tc>
          <w:tcPr>
            <w:tcW w:w="200" w:type="dxa"/>
            <w:vAlign w:val="bottom"/>
          </w:tcPr>
          <w:p>
            <w:pPr>
              <w:spacing w:after="0"/>
              <w:rPr>
                <w:sz w:val="16"/>
                <w:szCs w:val="16"/>
                <w:color w:val="auto"/>
              </w:rPr>
            </w:pPr>
          </w:p>
        </w:tc>
        <w:tc>
          <w:tcPr>
            <w:tcW w:w="1320" w:type="dxa"/>
            <w:vAlign w:val="bottom"/>
          </w:tcPr>
          <w:p>
            <w:pPr>
              <w:jc w:val="right"/>
              <w:ind w:right="273"/>
              <w:spacing w:after="0"/>
              <w:rPr>
                <w:sz w:val="20"/>
                <w:szCs w:val="20"/>
                <w:color w:val="auto"/>
              </w:rPr>
            </w:pPr>
            <w:r>
              <w:rPr>
                <w:rFonts w:ascii="Arial" w:cs="Arial" w:eastAsia="Arial" w:hAnsi="Arial"/>
                <w:sz w:val="16"/>
                <w:szCs w:val="16"/>
                <w:b w:val="1"/>
                <w:bCs w:val="1"/>
                <w:color w:val="auto"/>
              </w:rPr>
              <w:t>Aggregate</w:t>
            </w:r>
          </w:p>
        </w:tc>
        <w:tc>
          <w:tcPr>
            <w:tcW w:w="0" w:type="dxa"/>
            <w:vAlign w:val="bottom"/>
          </w:tcPr>
          <w:p>
            <w:pPr>
              <w:spacing w:after="0"/>
              <w:rPr>
                <w:sz w:val="1"/>
                <w:szCs w:val="1"/>
                <w:color w:val="auto"/>
              </w:rPr>
            </w:pPr>
          </w:p>
        </w:tc>
      </w:tr>
      <w:tr>
        <w:trPr>
          <w:trHeight w:val="228"/>
        </w:trPr>
        <w:tc>
          <w:tcPr>
            <w:tcW w:w="502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 except for exercise prices and years)</w:t>
            </w:r>
          </w:p>
        </w:tc>
        <w:tc>
          <w:tcPr>
            <w:tcW w:w="1440" w:type="dxa"/>
            <w:vAlign w:val="bottom"/>
            <w:tcBorders>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of Shares</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53"/>
              <w:spacing w:after="0"/>
              <w:rPr>
                <w:sz w:val="20"/>
                <w:szCs w:val="20"/>
                <w:color w:val="auto"/>
              </w:rPr>
            </w:pPr>
            <w:r>
              <w:rPr>
                <w:rFonts w:ascii="Arial" w:cs="Arial" w:eastAsia="Arial" w:hAnsi="Arial"/>
                <w:sz w:val="16"/>
                <w:szCs w:val="16"/>
                <w:b w:val="1"/>
                <w:bCs w:val="1"/>
                <w:color w:val="auto"/>
              </w:rPr>
              <w:t>Exercise Price</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(in years)</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3"/>
              <w:spacing w:after="0"/>
              <w:rPr>
                <w:sz w:val="20"/>
                <w:szCs w:val="20"/>
                <w:color w:val="auto"/>
              </w:rPr>
            </w:pPr>
            <w:r>
              <w:rPr>
                <w:rFonts w:ascii="Arial" w:cs="Arial" w:eastAsia="Arial" w:hAnsi="Arial"/>
                <w:sz w:val="16"/>
                <w:szCs w:val="16"/>
                <w:b w:val="1"/>
                <w:bCs w:val="1"/>
                <w:color w:val="auto"/>
                <w:w w:val="98"/>
              </w:rPr>
              <w:t>Intrinsic Value</w:t>
            </w:r>
          </w:p>
        </w:tc>
        <w:tc>
          <w:tcPr>
            <w:tcW w:w="0" w:type="dxa"/>
            <w:vAlign w:val="bottom"/>
          </w:tcPr>
          <w:p>
            <w:pPr>
              <w:spacing w:after="0"/>
              <w:rPr>
                <w:sz w:val="1"/>
                <w:szCs w:val="1"/>
                <w:color w:val="auto"/>
              </w:rPr>
            </w:pPr>
          </w:p>
        </w:tc>
      </w:tr>
      <w:tr>
        <w:trPr>
          <w:trHeight w:val="257"/>
        </w:trPr>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Outstanding at December 31, 2019</w:t>
            </w:r>
          </w:p>
        </w:tc>
        <w:tc>
          <w:tcPr>
            <w:tcW w:w="14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12,939</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8.38</w:t>
            </w:r>
          </w:p>
        </w:tc>
        <w:tc>
          <w:tcPr>
            <w:tcW w:w="10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496"/>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201,608</w:t>
            </w:r>
          </w:p>
        </w:tc>
        <w:tc>
          <w:tcPr>
            <w:tcW w:w="0" w:type="dxa"/>
            <w:vAlign w:val="bottom"/>
          </w:tcPr>
          <w:p>
            <w:pPr>
              <w:spacing w:after="0"/>
              <w:rPr>
                <w:sz w:val="1"/>
                <w:szCs w:val="1"/>
                <w:color w:val="auto"/>
              </w:rPr>
            </w:pPr>
          </w:p>
        </w:tc>
      </w:tr>
      <w:tr>
        <w:trPr>
          <w:trHeight w:val="290"/>
        </w:trPr>
        <w:tc>
          <w:tcPr>
            <w:tcW w:w="5020" w:type="dxa"/>
            <w:vAlign w:val="bottom"/>
          </w:tcPr>
          <w:p>
            <w:pPr>
              <w:ind w:left="220"/>
              <w:spacing w:after="0"/>
              <w:rPr>
                <w:sz w:val="20"/>
                <w:szCs w:val="20"/>
                <w:color w:val="auto"/>
              </w:rPr>
            </w:pPr>
            <w:r>
              <w:rPr>
                <w:rFonts w:ascii="Arial" w:cs="Arial" w:eastAsia="Arial" w:hAnsi="Arial"/>
                <w:sz w:val="18"/>
                <w:szCs w:val="18"/>
                <w:color w:val="auto"/>
              </w:rPr>
              <w:t>Granted</w:t>
            </w: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Exercised</w:t>
            </w:r>
          </w:p>
        </w:tc>
        <w:tc>
          <w:tcPr>
            <w:tcW w:w="14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(1,594)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6.89</w:t>
            </w:r>
          </w:p>
        </w:tc>
        <w:tc>
          <w:tcPr>
            <w:tcW w:w="1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33,416</w:t>
            </w:r>
          </w:p>
        </w:tc>
        <w:tc>
          <w:tcPr>
            <w:tcW w:w="0" w:type="dxa"/>
            <w:vAlign w:val="bottom"/>
          </w:tcPr>
          <w:p>
            <w:pPr>
              <w:spacing w:after="0"/>
              <w:rPr>
                <w:sz w:val="1"/>
                <w:szCs w:val="1"/>
                <w:color w:val="auto"/>
              </w:rPr>
            </w:pPr>
          </w:p>
        </w:tc>
      </w:tr>
      <w:tr>
        <w:trPr>
          <w:trHeight w:val="290"/>
        </w:trPr>
        <w:tc>
          <w:tcPr>
            <w:tcW w:w="50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Forfeited/canceled</w:t>
            </w:r>
          </w:p>
        </w:tc>
        <w:tc>
          <w:tcPr>
            <w:tcW w:w="14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(287)</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320" w:type="dxa"/>
            <w:vAlign w:val="bottom"/>
            <w:tcBorders>
              <w:bottom w:val="single" w:sz="8" w:color="CCEEFF"/>
            </w:tcBorders>
          </w:tcPr>
          <w:p>
            <w:pPr>
              <w:jc w:val="right"/>
              <w:ind w:right="13"/>
              <w:spacing w:after="0"/>
              <w:rPr>
                <w:sz w:val="20"/>
                <w:szCs w:val="20"/>
                <w:color w:val="auto"/>
              </w:rPr>
            </w:pPr>
            <w:r>
              <w:rPr>
                <w:rFonts w:ascii="Arial" w:cs="Arial" w:eastAsia="Arial" w:hAnsi="Arial"/>
                <w:sz w:val="18"/>
                <w:szCs w:val="18"/>
                <w:color w:val="auto"/>
              </w:rPr>
              <w:t>10.99</w:t>
            </w:r>
          </w:p>
        </w:tc>
        <w:tc>
          <w:tcPr>
            <w:tcW w:w="100" w:type="dxa"/>
            <w:vAlign w:val="bottom"/>
            <w:tcBorders>
              <w:bottom w:val="single" w:sz="8" w:color="CCEEFF"/>
            </w:tcBorders>
          </w:tcPr>
          <w:p>
            <w:pPr>
              <w:spacing w:after="0"/>
              <w:rPr>
                <w:sz w:val="24"/>
                <w:szCs w:val="24"/>
                <w:color w:val="auto"/>
              </w:rPr>
            </w:pPr>
          </w:p>
        </w:tc>
        <w:tc>
          <w:tcPr>
            <w:tcW w:w="14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3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June 30, 2020</w:t>
            </w:r>
          </w:p>
        </w:tc>
        <w:tc>
          <w:tcPr>
            <w:tcW w:w="14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11,058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8.53</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496"/>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235,370</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vMerge w:val="restart"/>
          </w:tcPr>
          <w:p>
            <w:pPr>
              <w:jc w:val="right"/>
              <w:ind w:right="13"/>
              <w:spacing w:after="0"/>
              <w:rPr>
                <w:sz w:val="20"/>
                <w:szCs w:val="20"/>
                <w:color w:val="auto"/>
              </w:rPr>
            </w:pPr>
            <w:r>
              <w:rPr>
                <w:rFonts w:ascii="Arial" w:cs="Arial" w:eastAsia="Arial" w:hAnsi="Arial"/>
                <w:sz w:val="18"/>
                <w:szCs w:val="18"/>
                <w:color w:val="auto"/>
              </w:rPr>
              <w:t>156,517</w:t>
            </w:r>
          </w:p>
        </w:tc>
        <w:tc>
          <w:tcPr>
            <w:tcW w:w="0" w:type="dxa"/>
            <w:vAlign w:val="bottom"/>
          </w:tcPr>
          <w:p>
            <w:pPr>
              <w:spacing w:after="0" w:line="20" w:lineRule="exact"/>
              <w:rPr>
                <w:sz w:val="1"/>
                <w:szCs w:val="1"/>
                <w:color w:val="auto"/>
              </w:rPr>
            </w:pPr>
          </w:p>
        </w:tc>
      </w:tr>
      <w:tr>
        <w:trPr>
          <w:trHeight w:val="237"/>
        </w:trPr>
        <w:tc>
          <w:tcPr>
            <w:tcW w:w="5020" w:type="dxa"/>
            <w:vAlign w:val="bottom"/>
          </w:tcPr>
          <w:p>
            <w:pPr>
              <w:ind w:left="40"/>
              <w:spacing w:after="0"/>
              <w:rPr>
                <w:sz w:val="20"/>
                <w:szCs w:val="20"/>
                <w:color w:val="auto"/>
              </w:rPr>
            </w:pPr>
            <w:r>
              <w:rPr>
                <w:rFonts w:ascii="Arial" w:cs="Arial" w:eastAsia="Arial" w:hAnsi="Arial"/>
                <w:sz w:val="18"/>
                <w:szCs w:val="18"/>
                <w:color w:val="auto"/>
              </w:rPr>
              <w:t>Exercisable at June 30, 2020</w:t>
            </w:r>
          </w:p>
        </w:tc>
        <w:tc>
          <w:tcPr>
            <w:tcW w:w="14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6,692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6.42</w:t>
            </w:r>
          </w:p>
        </w:tc>
        <w:tc>
          <w:tcPr>
            <w:tcW w:w="100" w:type="dxa"/>
            <w:vAlign w:val="bottom"/>
          </w:tcPr>
          <w:p>
            <w:pPr>
              <w:spacing w:after="0"/>
              <w:rPr>
                <w:sz w:val="20"/>
                <w:szCs w:val="20"/>
                <w:color w:val="auto"/>
              </w:rPr>
            </w:pPr>
          </w:p>
        </w:tc>
        <w:tc>
          <w:tcPr>
            <w:tcW w:w="1460" w:type="dxa"/>
            <w:vAlign w:val="bottom"/>
          </w:tcPr>
          <w:p>
            <w:pPr>
              <w:jc w:val="right"/>
              <w:ind w:right="496"/>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June 30, 2020, there were 11.1 million stock options that were vested and expected to vest.</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2018 Employee Stock Purchase Plan</w:t>
      </w:r>
    </w:p>
    <w:p>
      <w:pPr>
        <w:spacing w:after="0" w:line="247" w:lineRule="exact"/>
        <w:rPr>
          <w:sz w:val="20"/>
          <w:szCs w:val="20"/>
          <w:color w:val="auto"/>
        </w:rPr>
      </w:pPr>
    </w:p>
    <w:p>
      <w:pPr>
        <w:jc w:val="both"/>
        <w:ind w:right="220" w:firstLine="324"/>
        <w:spacing w:after="0" w:line="256" w:lineRule="auto"/>
        <w:rPr>
          <w:sz w:val="20"/>
          <w:szCs w:val="20"/>
          <w:color w:val="auto"/>
        </w:rPr>
      </w:pPr>
      <w:r>
        <w:rPr>
          <w:rFonts w:ascii="Arial" w:cs="Arial" w:eastAsia="Arial" w:hAnsi="Arial"/>
          <w:sz w:val="18"/>
          <w:szCs w:val="18"/>
          <w:color w:val="auto"/>
        </w:rPr>
        <w:t>Under the evergreen provision in our 2018 Employee Stock Purchase Plan ("2018 ESPP"), in January 2020 we reserved an additional 1,478,808 shares of our common stock for issuance. At June 30, 2020, there were 5,721,517 shares reserved for issuance under the 2018 ESPP.</w:t>
      </w:r>
    </w:p>
    <w:p>
      <w:pPr>
        <w:spacing w:after="0" w:line="202" w:lineRule="exact"/>
        <w:rPr>
          <w:sz w:val="20"/>
          <w:szCs w:val="20"/>
          <w:color w:val="auto"/>
        </w:rPr>
      </w:pPr>
    </w:p>
    <w:p>
      <w:pPr>
        <w:ind w:right="480" w:firstLine="324"/>
        <w:spacing w:after="0" w:line="261" w:lineRule="auto"/>
        <w:rPr>
          <w:sz w:val="20"/>
          <w:szCs w:val="20"/>
          <w:color w:val="auto"/>
        </w:rPr>
      </w:pPr>
      <w:r>
        <w:rPr>
          <w:rFonts w:ascii="Arial" w:cs="Arial" w:eastAsia="Arial" w:hAnsi="Arial"/>
          <w:sz w:val="18"/>
          <w:szCs w:val="18"/>
          <w:color w:val="auto"/>
        </w:rPr>
        <w:t>In the six months ended June 30, 2020, employees purchased 377,378 shares of our common stock at a weighted average price of $19.36 per share, resulting in $7.3 million of cash proceeds.</w:t>
      </w:r>
    </w:p>
    <w:p>
      <w:pPr>
        <w:spacing w:after="0" w:line="198" w:lineRule="exact"/>
        <w:rPr>
          <w:sz w:val="20"/>
          <w:szCs w:val="20"/>
          <w:color w:val="auto"/>
        </w:rPr>
      </w:pPr>
    </w:p>
    <w:p>
      <w:pPr>
        <w:ind w:right="200" w:firstLine="324"/>
        <w:spacing w:after="0" w:line="256" w:lineRule="auto"/>
        <w:rPr>
          <w:sz w:val="20"/>
          <w:szCs w:val="20"/>
          <w:color w:val="auto"/>
        </w:rPr>
      </w:pPr>
      <w:r>
        <w:rPr>
          <w:rFonts w:ascii="Arial" w:cs="Arial" w:eastAsia="Arial" w:hAnsi="Arial"/>
          <w:sz w:val="18"/>
          <w:szCs w:val="18"/>
          <w:color w:val="auto"/>
        </w:rPr>
        <w:t>At June 30, 2020, there was $5.0 million of employee contributions to the 2018 ESPP included in accrued compensation. The unrecognized stock-based compensation expense related to our 2018 ESPP was $6.5 million, which is expected to be recognized over the remaining weighted average period of 0.7 years.</w:t>
      </w:r>
    </w:p>
    <w:p>
      <w:pPr>
        <w:spacing w:after="0" w:line="202" w:lineRule="exact"/>
        <w:rPr>
          <w:sz w:val="20"/>
          <w:szCs w:val="20"/>
          <w:color w:val="auto"/>
        </w:rPr>
      </w:pPr>
    </w:p>
    <w:p>
      <w:pPr>
        <w:ind w:right="520" w:firstLine="324"/>
        <w:spacing w:after="0" w:line="261" w:lineRule="auto"/>
        <w:rPr>
          <w:sz w:val="20"/>
          <w:szCs w:val="20"/>
          <w:color w:val="auto"/>
        </w:rPr>
      </w:pPr>
      <w:r>
        <w:rPr>
          <w:rFonts w:ascii="Arial" w:cs="Arial" w:eastAsia="Arial" w:hAnsi="Arial"/>
          <w:sz w:val="18"/>
          <w:szCs w:val="18"/>
          <w:color w:val="auto"/>
        </w:rPr>
        <w:t>The fair value of the 2018 ESPP purchase rights was estimated on the offering or modification dates using a Black-Scholes option-pricing model and the following assumptions: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gridSpan w:val="8"/>
          </w:tcPr>
          <w:p>
            <w:pPr>
              <w:jc w:val="right"/>
              <w:ind w:right="110"/>
              <w:spacing w:after="0"/>
              <w:rPr>
                <w:sz w:val="20"/>
                <w:szCs w:val="20"/>
                <w:color w:val="auto"/>
              </w:rPr>
            </w:pPr>
            <w:r>
              <w:rPr>
                <w:rFonts w:ascii="Arial" w:cs="Arial" w:eastAsia="Arial" w:hAnsi="Arial"/>
                <w:sz w:val="16"/>
                <w:szCs w:val="16"/>
                <w:b w:val="1"/>
                <w:bCs w:val="1"/>
                <w:color w:val="auto"/>
              </w:rPr>
              <w:t>Six Months Ended June 30,</w:t>
            </w:r>
          </w:p>
        </w:tc>
        <w:tc>
          <w:tcPr>
            <w:tcW w:w="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r>
      <w:tr>
        <w:trPr>
          <w:trHeight w:val="263"/>
        </w:trPr>
        <w:tc>
          <w:tcPr>
            <w:tcW w:w="546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1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2019</w:t>
            </w:r>
          </w:p>
        </w:tc>
        <w:tc>
          <w:tcPr>
            <w:tcW w:w="880" w:type="dxa"/>
            <w:vAlign w:val="bottom"/>
            <w:tcBorders>
              <w:bottom w:val="single" w:sz="8" w:color="auto"/>
            </w:tcBorders>
          </w:tcPr>
          <w:p>
            <w:pPr>
              <w:spacing w:after="0"/>
              <w:rPr>
                <w:sz w:val="22"/>
                <w:szCs w:val="22"/>
                <w:color w:val="auto"/>
              </w:rPr>
            </w:pPr>
          </w:p>
        </w:tc>
      </w:tr>
      <w:tr>
        <w:trPr>
          <w:trHeight w:val="257"/>
        </w:trPr>
        <w:tc>
          <w:tcPr>
            <w:tcW w:w="5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term (in years)</w:t>
            </w: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2.0</w:t>
            </w:r>
          </w:p>
        </w:tc>
        <w:tc>
          <w:tcPr>
            <w:tcW w:w="2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0.5 —</w:t>
            </w:r>
          </w:p>
        </w:tc>
        <w:tc>
          <w:tcPr>
            <w:tcW w:w="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w:t>
            </w:r>
          </w:p>
        </w:tc>
      </w:tr>
      <w:tr>
        <w:trPr>
          <w:trHeight w:val="263"/>
        </w:trPr>
        <w:tc>
          <w:tcPr>
            <w:tcW w:w="546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41.6%</w:t>
            </w:r>
          </w:p>
        </w:tc>
        <w:tc>
          <w:tcPr>
            <w:tcW w:w="860" w:type="dxa"/>
            <w:vAlign w:val="bottom"/>
            <w:gridSpan w:val="3"/>
          </w:tcPr>
          <w:p>
            <w:pPr>
              <w:ind w:left="20"/>
              <w:spacing w:after="0"/>
              <w:rPr>
                <w:sz w:val="20"/>
                <w:szCs w:val="20"/>
                <w:color w:val="auto"/>
              </w:rPr>
            </w:pPr>
            <w:r>
              <w:rPr>
                <w:rFonts w:ascii="Arial" w:cs="Arial" w:eastAsia="Arial" w:hAnsi="Arial"/>
                <w:sz w:val="18"/>
                <w:szCs w:val="18"/>
                <w:color w:val="auto"/>
              </w:rPr>
              <w:t>— 47.9%</w:t>
            </w: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35.4% —</w:t>
            </w:r>
          </w:p>
        </w:tc>
        <w:tc>
          <w:tcPr>
            <w:tcW w:w="940" w:type="dxa"/>
            <w:vAlign w:val="bottom"/>
            <w:gridSpan w:val="2"/>
          </w:tcPr>
          <w:p>
            <w:pPr>
              <w:ind w:left="20"/>
              <w:spacing w:after="0"/>
              <w:rPr>
                <w:sz w:val="20"/>
                <w:szCs w:val="20"/>
                <w:color w:val="auto"/>
              </w:rPr>
            </w:pPr>
            <w:r>
              <w:rPr>
                <w:rFonts w:ascii="Arial" w:cs="Arial" w:eastAsia="Arial" w:hAnsi="Arial"/>
                <w:sz w:val="18"/>
                <w:szCs w:val="18"/>
                <w:color w:val="auto"/>
              </w:rPr>
              <w:t>44.6%</w:t>
            </w:r>
          </w:p>
        </w:tc>
      </w:tr>
      <w:tr>
        <w:trPr>
          <w:trHeight w:val="277"/>
        </w:trPr>
        <w:tc>
          <w:tcPr>
            <w:tcW w:w="5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8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 0.9%</w:t>
            </w:r>
          </w:p>
        </w:tc>
        <w:tc>
          <w:tcPr>
            <w:tcW w:w="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2.6%</w:t>
            </w:r>
          </w:p>
        </w:tc>
      </w:tr>
      <w:tr>
        <w:trPr>
          <w:trHeight w:val="257"/>
        </w:trPr>
        <w:tc>
          <w:tcPr>
            <w:tcW w:w="546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662"/>
        </w:trPr>
        <w:tc>
          <w:tcPr>
            <w:tcW w:w="5460" w:type="dxa"/>
            <w:vAlign w:val="bottom"/>
          </w:tcPr>
          <w:p>
            <w:pPr>
              <w:spacing w:after="0"/>
              <w:rPr>
                <w:sz w:val="20"/>
                <w:szCs w:val="20"/>
                <w:color w:val="auto"/>
              </w:rPr>
            </w:pPr>
            <w:r>
              <w:rPr>
                <w:rFonts w:ascii="Arial" w:cs="Arial" w:eastAsia="Arial" w:hAnsi="Arial"/>
                <w:sz w:val="18"/>
                <w:szCs w:val="18"/>
                <w:b w:val="1"/>
                <w:bCs w:val="1"/>
                <w:color w:val="auto"/>
              </w:rPr>
              <w:t>10. Net Loss Per Share</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32"/>
        </w:trPr>
        <w:tc>
          <w:tcPr>
            <w:tcW w:w="7180" w:type="dxa"/>
            <w:vAlign w:val="bottom"/>
            <w:gridSpan w:val="6"/>
          </w:tcPr>
          <w:p>
            <w:pPr>
              <w:ind w:left="340"/>
              <w:spacing w:after="0"/>
              <w:rPr>
                <w:sz w:val="20"/>
                <w:szCs w:val="20"/>
                <w:color w:val="auto"/>
              </w:rPr>
            </w:pPr>
            <w:r>
              <w:rPr>
                <w:rFonts w:ascii="Arial" w:cs="Arial" w:eastAsia="Arial" w:hAnsi="Arial"/>
                <w:sz w:val="18"/>
                <w:szCs w:val="18"/>
                <w:color w:val="auto"/>
              </w:rPr>
              <w:t>The following table sets forth the computation of basic and diluted net loss per share:</w:t>
            </w: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98"/>
        </w:trPr>
        <w:tc>
          <w:tcPr>
            <w:tcW w:w="5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40" w:type="dxa"/>
            <w:vAlign w:val="bottom"/>
            <w:gridSpan w:val="7"/>
          </w:tcPr>
          <w:p>
            <w:pPr>
              <w:ind w:left="80"/>
              <w:spacing w:after="0"/>
              <w:rPr>
                <w:sz w:val="20"/>
                <w:szCs w:val="20"/>
                <w:color w:val="auto"/>
              </w:rPr>
            </w:pPr>
            <w:r>
              <w:rPr>
                <w:rFonts w:ascii="Arial" w:cs="Arial" w:eastAsia="Arial" w:hAnsi="Arial"/>
                <w:sz w:val="16"/>
                <w:szCs w:val="16"/>
                <w:b w:val="1"/>
                <w:bCs w:val="1"/>
                <w:color w:val="auto"/>
              </w:rPr>
              <w:t>Three Months Ended June 30,</w:t>
            </w:r>
          </w:p>
        </w:tc>
        <w:tc>
          <w:tcPr>
            <w:tcW w:w="280" w:type="dxa"/>
            <w:vAlign w:val="bottom"/>
          </w:tcPr>
          <w:p>
            <w:pPr>
              <w:spacing w:after="0"/>
              <w:rPr>
                <w:sz w:val="24"/>
                <w:szCs w:val="24"/>
                <w:color w:val="auto"/>
              </w:rPr>
            </w:pPr>
          </w:p>
        </w:tc>
        <w:tc>
          <w:tcPr>
            <w:tcW w:w="2560" w:type="dxa"/>
            <w:vAlign w:val="bottom"/>
            <w:gridSpan w:val="7"/>
          </w:tcPr>
          <w:p>
            <w:pPr>
              <w:jc w:val="right"/>
              <w:ind w:right="272"/>
              <w:spacing w:after="0"/>
              <w:rPr>
                <w:sz w:val="20"/>
                <w:szCs w:val="20"/>
                <w:color w:val="auto"/>
              </w:rPr>
            </w:pPr>
            <w:r>
              <w:rPr>
                <w:rFonts w:ascii="Arial" w:cs="Arial" w:eastAsia="Arial" w:hAnsi="Arial"/>
                <w:sz w:val="16"/>
                <w:szCs w:val="16"/>
                <w:b w:val="1"/>
                <w:bCs w:val="1"/>
                <w:color w:val="auto"/>
              </w:rPr>
              <w:t>Six Months Ended June 30,</w:t>
            </w:r>
          </w:p>
        </w:tc>
      </w:tr>
      <w:tr>
        <w:trPr>
          <w:trHeight w:val="264"/>
        </w:trPr>
        <w:tc>
          <w:tcPr>
            <w:tcW w:w="546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20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2020</w:t>
            </w:r>
          </w:p>
        </w:tc>
        <w:tc>
          <w:tcPr>
            <w:tcW w:w="40" w:type="dxa"/>
            <w:vAlign w:val="bottom"/>
            <w:tcBorders>
              <w:top w:val="single" w:sz="8" w:color="auto"/>
              <w:bottom w:val="single" w:sz="8" w:color="CCEEFF"/>
            </w:tcBorders>
          </w:tcPr>
          <w:p>
            <w:pPr>
              <w:spacing w:after="0"/>
              <w:rPr>
                <w:sz w:val="22"/>
                <w:szCs w:val="22"/>
                <w:color w:val="auto"/>
              </w:rPr>
            </w:pPr>
          </w:p>
        </w:tc>
        <w:tc>
          <w:tcPr>
            <w:tcW w:w="8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480" w:type="dxa"/>
            <w:vAlign w:val="bottom"/>
            <w:tcBorders>
              <w:top w:val="single" w:sz="8" w:color="auto"/>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gridSpan w:val="3"/>
          </w:tcPr>
          <w:p>
            <w:pPr>
              <w:jc w:val="right"/>
              <w:ind w:right="410"/>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2019</w:t>
            </w:r>
          </w:p>
        </w:tc>
      </w:tr>
      <w:tr>
        <w:trPr>
          <w:trHeight w:val="256"/>
        </w:trPr>
        <w:tc>
          <w:tcPr>
            <w:tcW w:w="5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(11,960)</w:t>
            </w:r>
          </w:p>
        </w:tc>
        <w:tc>
          <w:tcPr>
            <w:tcW w:w="4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(21,628)</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(34,937)</w:t>
            </w:r>
          </w:p>
        </w:tc>
        <w:tc>
          <w:tcPr>
            <w:tcW w:w="54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(43,068)</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gridSpan w:val="3"/>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304"/>
        </w:trPr>
        <w:tc>
          <w:tcPr>
            <w:tcW w:w="5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6"/>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shares used to compute net loss per share</w:t>
            </w:r>
          </w:p>
        </w:tc>
        <w:tc>
          <w:tcPr>
            <w:tcW w:w="20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100,209</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95,820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99,532</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94,785</w:t>
            </w:r>
          </w:p>
        </w:tc>
      </w:tr>
      <w:tr>
        <w:trPr>
          <w:trHeight w:val="20"/>
        </w:trPr>
        <w:tc>
          <w:tcPr>
            <w:tcW w:w="5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37"/>
        </w:trPr>
        <w:tc>
          <w:tcPr>
            <w:tcW w:w="5460" w:type="dxa"/>
            <w:vAlign w:val="bottom"/>
          </w:tcPr>
          <w:p>
            <w:pPr>
              <w:ind w:left="40"/>
              <w:spacing w:after="0"/>
              <w:rPr>
                <w:sz w:val="20"/>
                <w:szCs w:val="20"/>
                <w:color w:val="auto"/>
              </w:rPr>
            </w:pPr>
            <w:r>
              <w:rPr>
                <w:rFonts w:ascii="Arial" w:cs="Arial" w:eastAsia="Arial" w:hAnsi="Arial"/>
                <w:sz w:val="18"/>
                <w:szCs w:val="18"/>
                <w:color w:val="auto"/>
              </w:rPr>
              <w:t>Net loss per share, basic and diluted</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(0.12)</w:t>
            </w:r>
          </w:p>
        </w:tc>
        <w:tc>
          <w:tcPr>
            <w:tcW w:w="40" w:type="dxa"/>
            <w:vAlign w:val="bottom"/>
          </w:tcPr>
          <w:p>
            <w:pPr>
              <w:spacing w:after="0"/>
              <w:rPr>
                <w:sz w:val="20"/>
                <w:szCs w:val="20"/>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(0.23)</w:t>
            </w:r>
          </w:p>
        </w:tc>
        <w:tc>
          <w:tcPr>
            <w:tcW w:w="100" w:type="dxa"/>
            <w:vAlign w:val="bottom"/>
          </w:tcPr>
          <w:p>
            <w:pPr>
              <w:spacing w:after="0"/>
              <w:rPr>
                <w:sz w:val="20"/>
                <w:szCs w:val="20"/>
                <w:color w:val="auto"/>
              </w:rPr>
            </w:pP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(0.35)</w:t>
            </w:r>
          </w:p>
        </w:tc>
        <w:tc>
          <w:tcPr>
            <w:tcW w:w="54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(0.45)</w:t>
            </w:r>
          </w:p>
        </w:tc>
      </w:tr>
      <w:tr>
        <w:trPr>
          <w:trHeight w:val="20"/>
        </w:trPr>
        <w:tc>
          <w:tcPr>
            <w:tcW w:w="5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240"/>
          </w:cols>
          <w:pgMar w:left="320" w:top="140" w:right="339" w:bottom="1440" w:gutter="0" w:footer="0" w:header="0"/>
          <w:type w:val="continuous"/>
        </w:sectPr>
      </w:pPr>
    </w:p>
    <w:bookmarkStart w:id="15" w:name="page16"/>
    <w:bookmarkEnd w:id="15"/>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ind w:right="280" w:firstLine="324"/>
        <w:spacing w:after="0" w:line="261" w:lineRule="auto"/>
        <w:rPr>
          <w:sz w:val="20"/>
          <w:szCs w:val="20"/>
          <w:color w:val="auto"/>
        </w:rPr>
      </w:pPr>
      <w:r>
        <w:rPr>
          <w:rFonts w:ascii="Arial" w:cs="Arial" w:eastAsia="Arial" w:hAnsi="Arial"/>
          <w:sz w:val="18"/>
          <w:szCs w:val="18"/>
          <w:color w:val="auto"/>
        </w:rPr>
        <w:t>The following potentially dilutive securities have been excluded from the diluted per share calculations because they would have been antidilutive: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540" w:type="dxa"/>
            <w:vAlign w:val="bottom"/>
          </w:tcPr>
          <w:p>
            <w:pPr>
              <w:spacing w:after="0"/>
              <w:rPr>
                <w:sz w:val="19"/>
                <w:szCs w:val="19"/>
                <w:color w:val="auto"/>
              </w:rPr>
            </w:pPr>
          </w:p>
        </w:tc>
        <w:tc>
          <w:tcPr>
            <w:tcW w:w="3700" w:type="dxa"/>
            <w:vAlign w:val="bottom"/>
            <w:tcBorders>
              <w:bottom w:val="single" w:sz="8" w:color="auto"/>
            </w:tcBorders>
            <w:gridSpan w:val="3"/>
          </w:tcPr>
          <w:p>
            <w:pPr>
              <w:jc w:val="right"/>
              <w:ind w:right="292"/>
              <w:spacing w:after="0"/>
              <w:rPr>
                <w:sz w:val="20"/>
                <w:szCs w:val="20"/>
                <w:color w:val="auto"/>
              </w:rPr>
            </w:pPr>
            <w:r>
              <w:rPr>
                <w:rFonts w:ascii="Arial" w:cs="Arial" w:eastAsia="Arial" w:hAnsi="Arial"/>
                <w:sz w:val="16"/>
                <w:szCs w:val="16"/>
                <w:b w:val="1"/>
                <w:bCs w:val="1"/>
                <w:color w:val="auto"/>
              </w:rPr>
              <w:t>Three and Six Months Ended June 30,</w:t>
            </w:r>
          </w:p>
        </w:tc>
      </w:tr>
      <w:tr>
        <w:trPr>
          <w:trHeight w:val="264"/>
        </w:trPr>
        <w:tc>
          <w:tcPr>
            <w:tcW w:w="754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800" w:type="dxa"/>
            <w:vAlign w:val="bottom"/>
            <w:tcBorders>
              <w:bottom w:val="single" w:sz="8" w:color="auto"/>
            </w:tcBorders>
          </w:tcPr>
          <w:p>
            <w:pPr>
              <w:jc w:val="right"/>
              <w:ind w:right="633"/>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22"/>
                <w:szCs w:val="22"/>
                <w:color w:val="auto"/>
              </w:rPr>
            </w:pPr>
          </w:p>
        </w:tc>
        <w:tc>
          <w:tcPr>
            <w:tcW w:w="1780" w:type="dxa"/>
            <w:vAlign w:val="bottom"/>
            <w:tcBorders>
              <w:bottom w:val="single" w:sz="8" w:color="auto"/>
            </w:tcBorders>
          </w:tcPr>
          <w:p>
            <w:pPr>
              <w:jc w:val="right"/>
              <w:ind w:right="632"/>
              <w:spacing w:after="0"/>
              <w:rPr>
                <w:sz w:val="20"/>
                <w:szCs w:val="20"/>
                <w:color w:val="auto"/>
              </w:rPr>
            </w:pPr>
            <w:r>
              <w:rPr>
                <w:rFonts w:ascii="Arial" w:cs="Arial" w:eastAsia="Arial" w:hAnsi="Arial"/>
                <w:sz w:val="16"/>
                <w:szCs w:val="16"/>
                <w:b w:val="1"/>
                <w:bCs w:val="1"/>
                <w:color w:val="auto"/>
              </w:rPr>
              <w:t>2019</w:t>
            </w:r>
          </w:p>
        </w:tc>
      </w:tr>
      <w:tr>
        <w:trPr>
          <w:trHeight w:val="256"/>
        </w:trPr>
        <w:tc>
          <w:tcPr>
            <w:tcW w:w="7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18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11,058</w:t>
            </w:r>
          </w:p>
        </w:tc>
        <w:tc>
          <w:tcPr>
            <w:tcW w:w="120" w:type="dxa"/>
            <w:vAlign w:val="bottom"/>
            <w:shd w:val="clear" w:color="auto" w:fill="CCEEFF"/>
          </w:tcPr>
          <w:p>
            <w:pPr>
              <w:spacing w:after="0"/>
              <w:rPr>
                <w:sz w:val="22"/>
                <w:szCs w:val="22"/>
                <w:color w:val="auto"/>
              </w:rPr>
            </w:pPr>
          </w:p>
        </w:tc>
        <w:tc>
          <w:tcPr>
            <w:tcW w:w="1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14,892</w:t>
            </w:r>
          </w:p>
        </w:tc>
      </w:tr>
      <w:tr>
        <w:trPr>
          <w:trHeight w:val="263"/>
        </w:trPr>
        <w:tc>
          <w:tcPr>
            <w:tcW w:w="7540" w:type="dxa"/>
            <w:vAlign w:val="bottom"/>
          </w:tcPr>
          <w:p>
            <w:pPr>
              <w:ind w:left="40"/>
              <w:spacing w:after="0"/>
              <w:rPr>
                <w:sz w:val="20"/>
                <w:szCs w:val="20"/>
                <w:color w:val="auto"/>
              </w:rPr>
            </w:pPr>
            <w:r>
              <w:rPr>
                <w:rFonts w:ascii="Arial" w:cs="Arial" w:eastAsia="Arial" w:hAnsi="Arial"/>
                <w:sz w:val="18"/>
                <w:szCs w:val="18"/>
                <w:color w:val="auto"/>
              </w:rPr>
              <w:t>Restricted stock units</w:t>
            </w:r>
          </w:p>
        </w:tc>
        <w:tc>
          <w:tcPr>
            <w:tcW w:w="1800" w:type="dxa"/>
            <w:vAlign w:val="bottom"/>
          </w:tcPr>
          <w:p>
            <w:pPr>
              <w:jc w:val="right"/>
              <w:ind w:right="33"/>
              <w:spacing w:after="0"/>
              <w:rPr>
                <w:sz w:val="20"/>
                <w:szCs w:val="20"/>
                <w:color w:val="auto"/>
              </w:rPr>
            </w:pPr>
            <w:r>
              <w:rPr>
                <w:rFonts w:ascii="Arial" w:cs="Arial" w:eastAsia="Arial" w:hAnsi="Arial"/>
                <w:sz w:val="18"/>
                <w:szCs w:val="18"/>
                <w:color w:val="auto"/>
              </w:rPr>
              <w:t>5,436</w:t>
            </w:r>
          </w:p>
        </w:tc>
        <w:tc>
          <w:tcPr>
            <w:tcW w:w="120" w:type="dxa"/>
            <w:vAlign w:val="bottom"/>
          </w:tcPr>
          <w:p>
            <w:pPr>
              <w:spacing w:after="0"/>
              <w:rPr>
                <w:sz w:val="22"/>
                <w:szCs w:val="22"/>
                <w:color w:val="auto"/>
              </w:rPr>
            </w:pPr>
          </w:p>
        </w:tc>
        <w:tc>
          <w:tcPr>
            <w:tcW w:w="1780" w:type="dxa"/>
            <w:vAlign w:val="bottom"/>
          </w:tcPr>
          <w:p>
            <w:pPr>
              <w:jc w:val="right"/>
              <w:ind w:right="12"/>
              <w:spacing w:after="0"/>
              <w:rPr>
                <w:sz w:val="20"/>
                <w:szCs w:val="20"/>
                <w:color w:val="auto"/>
              </w:rPr>
            </w:pPr>
            <w:r>
              <w:rPr>
                <w:rFonts w:ascii="Arial" w:cs="Arial" w:eastAsia="Arial" w:hAnsi="Arial"/>
                <w:sz w:val="18"/>
                <w:szCs w:val="18"/>
                <w:color w:val="auto"/>
              </w:rPr>
              <w:t>2,987</w:t>
            </w:r>
          </w:p>
        </w:tc>
      </w:tr>
      <w:tr>
        <w:trPr>
          <w:trHeight w:val="277"/>
        </w:trPr>
        <w:tc>
          <w:tcPr>
            <w:tcW w:w="7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Restricted shares</w:t>
            </w:r>
          </w:p>
        </w:tc>
        <w:tc>
          <w:tcPr>
            <w:tcW w:w="18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297</w:t>
            </w:r>
          </w:p>
        </w:tc>
        <w:tc>
          <w:tcPr>
            <w:tcW w:w="120" w:type="dxa"/>
            <w:vAlign w:val="bottom"/>
            <w:shd w:val="clear" w:color="auto" w:fill="CCEEFF"/>
          </w:tcPr>
          <w:p>
            <w:pPr>
              <w:spacing w:after="0"/>
              <w:rPr>
                <w:sz w:val="24"/>
                <w:szCs w:val="24"/>
                <w:color w:val="auto"/>
              </w:rPr>
            </w:pPr>
          </w:p>
        </w:tc>
        <w:tc>
          <w:tcPr>
            <w:tcW w:w="1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692</w:t>
            </w:r>
          </w:p>
        </w:tc>
      </w:tr>
      <w:tr>
        <w:trPr>
          <w:trHeight w:val="263"/>
        </w:trPr>
        <w:tc>
          <w:tcPr>
            <w:tcW w:w="75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Shares to be issued under the 2018 ESPP</w:t>
            </w:r>
          </w:p>
        </w:tc>
        <w:tc>
          <w:tcPr>
            <w:tcW w:w="18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255</w:t>
            </w:r>
          </w:p>
        </w:tc>
        <w:tc>
          <w:tcPr>
            <w:tcW w:w="120" w:type="dxa"/>
            <w:vAlign w:val="bottom"/>
            <w:tcBorders>
              <w:bottom w:val="single" w:sz="8" w:color="CCEEFF"/>
            </w:tcBorders>
          </w:tcPr>
          <w:p>
            <w:pPr>
              <w:spacing w:after="0"/>
              <w:rPr>
                <w:sz w:val="22"/>
                <w:szCs w:val="22"/>
                <w:color w:val="auto"/>
              </w:rPr>
            </w:pPr>
          </w:p>
        </w:tc>
        <w:tc>
          <w:tcPr>
            <w:tcW w:w="17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253</w:t>
            </w:r>
          </w:p>
        </w:tc>
      </w:tr>
      <w:tr>
        <w:trPr>
          <w:trHeight w:val="257"/>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8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17,046</w:t>
            </w:r>
          </w:p>
        </w:tc>
        <w:tc>
          <w:tcPr>
            <w:tcW w:w="12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18,824</w:t>
            </w:r>
          </w:p>
        </w:tc>
      </w:tr>
      <w:tr>
        <w:trPr>
          <w:trHeight w:val="20"/>
        </w:trPr>
        <w:tc>
          <w:tcPr>
            <w:tcW w:w="754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Geographic Information</w:t>
      </w:r>
    </w:p>
    <w:p>
      <w:pPr>
        <w:spacing w:after="0" w:line="247" w:lineRule="exact"/>
        <w:rPr>
          <w:sz w:val="20"/>
          <w:szCs w:val="20"/>
          <w:color w:val="auto"/>
        </w:rPr>
      </w:pPr>
    </w:p>
    <w:p>
      <w:pPr>
        <w:ind w:right="140" w:firstLine="324"/>
        <w:spacing w:after="0" w:line="261" w:lineRule="auto"/>
        <w:rPr>
          <w:sz w:val="20"/>
          <w:szCs w:val="20"/>
          <w:color w:val="auto"/>
        </w:rPr>
      </w:pPr>
      <w:r>
        <w:rPr>
          <w:rFonts w:ascii="Arial" w:cs="Arial" w:eastAsia="Arial" w:hAnsi="Arial"/>
          <w:sz w:val="18"/>
          <w:szCs w:val="18"/>
          <w:color w:val="auto"/>
        </w:rPr>
        <w:t>We operate as one operating segment. Our Chief Executive Officer, who is our chief operating decision maker, reviews financial information on a consolidated basis for purposes of making operating decisions, allocating resources, and evaluating financial performance.</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Revenue by region, based on the address of the end user as specified in our subscription, license or service agreements, was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740" w:type="dxa"/>
            <w:vAlign w:val="bottom"/>
            <w:gridSpan w:val="5"/>
          </w:tcPr>
          <w:p>
            <w:pPr>
              <w:ind w:left="80"/>
              <w:spacing w:after="0"/>
              <w:rPr>
                <w:sz w:val="20"/>
                <w:szCs w:val="20"/>
                <w:color w:val="auto"/>
              </w:rPr>
            </w:pPr>
            <w:r>
              <w:rPr>
                <w:rFonts w:ascii="Arial" w:cs="Arial" w:eastAsia="Arial" w:hAnsi="Arial"/>
                <w:sz w:val="16"/>
                <w:szCs w:val="16"/>
                <w:b w:val="1"/>
                <w:bCs w:val="1"/>
                <w:color w:val="auto"/>
              </w:rPr>
              <w:t>Three Months Ended June 30,</w:t>
            </w:r>
          </w:p>
        </w:tc>
        <w:tc>
          <w:tcPr>
            <w:tcW w:w="260" w:type="dxa"/>
            <w:vAlign w:val="bottom"/>
          </w:tcPr>
          <w:p>
            <w:pPr>
              <w:spacing w:after="0"/>
              <w:rPr>
                <w:sz w:val="19"/>
                <w:szCs w:val="19"/>
                <w:color w:val="auto"/>
              </w:rPr>
            </w:pPr>
          </w:p>
        </w:tc>
        <w:tc>
          <w:tcPr>
            <w:tcW w:w="2580" w:type="dxa"/>
            <w:vAlign w:val="bottom"/>
            <w:gridSpan w:val="4"/>
          </w:tcPr>
          <w:p>
            <w:pPr>
              <w:jc w:val="right"/>
              <w:ind w:right="272"/>
              <w:spacing w:after="0"/>
              <w:rPr>
                <w:sz w:val="20"/>
                <w:szCs w:val="20"/>
                <w:color w:val="auto"/>
              </w:rPr>
            </w:pPr>
            <w:r>
              <w:rPr>
                <w:rFonts w:ascii="Arial" w:cs="Arial" w:eastAsia="Arial" w:hAnsi="Arial"/>
                <w:sz w:val="16"/>
                <w:szCs w:val="16"/>
                <w:b w:val="1"/>
                <w:bCs w:val="1"/>
                <w:color w:val="auto"/>
              </w:rPr>
              <w:t>Six Months Ended June 30,</w:t>
            </w:r>
          </w:p>
        </w:tc>
      </w:tr>
      <w:tr>
        <w:trPr>
          <w:trHeight w:val="264"/>
        </w:trPr>
        <w:tc>
          <w:tcPr>
            <w:tcW w:w="546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2019</w:t>
            </w:r>
          </w:p>
        </w:tc>
      </w:tr>
      <w:tr>
        <w:trPr>
          <w:trHeight w:val="256"/>
        </w:trPr>
        <w:tc>
          <w:tcPr>
            <w:tcW w:w="5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Americas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71,946</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58,888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141,260</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114,979</w:t>
            </w:r>
          </w:p>
        </w:tc>
      </w:tr>
      <w:tr>
        <w:trPr>
          <w:trHeight w:val="263"/>
        </w:trPr>
        <w:tc>
          <w:tcPr>
            <w:tcW w:w="5460" w:type="dxa"/>
            <w:vAlign w:val="bottom"/>
          </w:tcPr>
          <w:p>
            <w:pPr>
              <w:ind w:left="40"/>
              <w:spacing w:after="0"/>
              <w:rPr>
                <w:sz w:val="20"/>
                <w:szCs w:val="20"/>
                <w:color w:val="auto"/>
              </w:rPr>
            </w:pPr>
            <w:r>
              <w:rPr>
                <w:rFonts w:ascii="Arial" w:cs="Arial" w:eastAsia="Arial" w:hAnsi="Arial"/>
                <w:sz w:val="18"/>
                <w:szCs w:val="18"/>
                <w:color w:val="auto"/>
              </w:rPr>
              <w:t>Europe, Middle East and Africa</w:t>
            </w:r>
          </w:p>
        </w:tc>
        <w:tc>
          <w:tcPr>
            <w:tcW w:w="200" w:type="dxa"/>
            <w:vAlign w:val="bottom"/>
          </w:tcPr>
          <w:p>
            <w:pPr>
              <w:spacing w:after="0"/>
              <w:rPr>
                <w:sz w:val="22"/>
                <w:szCs w:val="22"/>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24,642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18,848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48,192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36,155</w:t>
            </w:r>
          </w:p>
        </w:tc>
      </w:tr>
      <w:tr>
        <w:trPr>
          <w:trHeight w:val="270"/>
        </w:trPr>
        <w:tc>
          <w:tcPr>
            <w:tcW w:w="5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Asia Pacific</w:t>
            </w:r>
          </w:p>
        </w:tc>
        <w:tc>
          <w:tcPr>
            <w:tcW w:w="2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10,621</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7,648</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20,405</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14,551</w:t>
            </w:r>
          </w:p>
        </w:tc>
      </w:tr>
      <w:tr>
        <w:trPr>
          <w:trHeight w:val="256"/>
        </w:trPr>
        <w:tc>
          <w:tcPr>
            <w:tcW w:w="5460" w:type="dxa"/>
            <w:vAlign w:val="bottom"/>
          </w:tcPr>
          <w:p>
            <w:pPr>
              <w:ind w:left="280"/>
              <w:spacing w:after="0"/>
              <w:rPr>
                <w:sz w:val="20"/>
                <w:szCs w:val="20"/>
                <w:color w:val="auto"/>
              </w:rPr>
            </w:pPr>
            <w:r>
              <w:rPr>
                <w:rFonts w:ascii="Arial" w:cs="Arial" w:eastAsia="Arial" w:hAnsi="Arial"/>
                <w:sz w:val="18"/>
                <w:szCs w:val="18"/>
                <w:color w:val="auto"/>
              </w:rPr>
              <w:t>Revenue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107,209</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85,384</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209,857</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165,685</w:t>
            </w:r>
          </w:p>
        </w:tc>
      </w:tr>
      <w:tr>
        <w:trPr>
          <w:trHeight w:val="20"/>
        </w:trPr>
        <w:tc>
          <w:tcPr>
            <w:tcW w:w="5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Customers located in the United States accounted for 61% and 62% of revenue in the three and six months ended June 30, 2020, respectively and 64% of revenue in the three and six months ended June 30, 2019. No other country accounted for 10% or more of revenue in the periods presented.</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property and equipment, net by geographic area is summarized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4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ind w:right="74"/>
              <w:spacing w:after="0"/>
              <w:rPr>
                <w:sz w:val="20"/>
                <w:szCs w:val="20"/>
                <w:color w:val="auto"/>
              </w:rPr>
            </w:pPr>
            <w:r>
              <w:rPr>
                <w:rFonts w:ascii="Arial" w:cs="Arial" w:eastAsia="Arial" w:hAnsi="Arial"/>
                <w:sz w:val="16"/>
                <w:szCs w:val="16"/>
                <w:b w:val="1"/>
                <w:bCs w:val="1"/>
                <w:color w:val="auto"/>
                <w:w w:val="99"/>
              </w:rPr>
              <w:t>December 31,</w:t>
            </w:r>
          </w:p>
        </w:tc>
        <w:tc>
          <w:tcPr>
            <w:tcW w:w="0" w:type="dxa"/>
            <w:vAlign w:val="bottom"/>
          </w:tcPr>
          <w:p>
            <w:pPr>
              <w:spacing w:after="0"/>
              <w:rPr>
                <w:sz w:val="1"/>
                <w:szCs w:val="1"/>
                <w:color w:val="auto"/>
              </w:rPr>
            </w:pPr>
          </w:p>
        </w:tc>
      </w:tr>
      <w:tr>
        <w:trPr>
          <w:trHeight w:val="228"/>
        </w:trPr>
        <w:tc>
          <w:tcPr>
            <w:tcW w:w="404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43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2"/>
              <w:spacing w:after="0"/>
              <w:rPr>
                <w:sz w:val="20"/>
                <w:szCs w:val="20"/>
                <w:color w:val="auto"/>
              </w:rPr>
            </w:pPr>
            <w:r>
              <w:rPr>
                <w:rFonts w:ascii="Arial" w:cs="Arial" w:eastAsia="Arial" w:hAnsi="Arial"/>
                <w:sz w:val="16"/>
                <w:szCs w:val="16"/>
                <w:b w:val="1"/>
                <w:bCs w:val="1"/>
                <w:color w:val="auto"/>
              </w:rPr>
              <w:t>June 30, 2020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57"/>
        </w:trPr>
        <w:tc>
          <w:tcPr>
            <w:tcW w:w="4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4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30,853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21,464</w:t>
            </w:r>
          </w:p>
        </w:tc>
        <w:tc>
          <w:tcPr>
            <w:tcW w:w="0" w:type="dxa"/>
            <w:vAlign w:val="bottom"/>
          </w:tcPr>
          <w:p>
            <w:pPr>
              <w:spacing w:after="0"/>
              <w:rPr>
                <w:sz w:val="1"/>
                <w:szCs w:val="1"/>
                <w:color w:val="auto"/>
              </w:rPr>
            </w:pPr>
          </w:p>
        </w:tc>
      </w:tr>
      <w:tr>
        <w:trPr>
          <w:trHeight w:val="263"/>
        </w:trPr>
        <w:tc>
          <w:tcPr>
            <w:tcW w:w="40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International</w:t>
            </w:r>
          </w:p>
        </w:tc>
        <w:tc>
          <w:tcPr>
            <w:tcW w:w="436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4,291</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5,383</w:t>
            </w:r>
          </w:p>
        </w:tc>
        <w:tc>
          <w:tcPr>
            <w:tcW w:w="0" w:type="dxa"/>
            <w:vAlign w:val="bottom"/>
          </w:tcPr>
          <w:p>
            <w:pPr>
              <w:spacing w:after="0"/>
              <w:rPr>
                <w:sz w:val="1"/>
                <w:szCs w:val="1"/>
                <w:color w:val="auto"/>
              </w:rPr>
            </w:pPr>
          </w:p>
        </w:tc>
      </w:tr>
      <w:tr>
        <w:trPr>
          <w:trHeight w:val="257"/>
        </w:trPr>
        <w:tc>
          <w:tcPr>
            <w:tcW w:w="40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Property and equipment, net</w:t>
            </w:r>
          </w:p>
        </w:tc>
        <w:tc>
          <w:tcPr>
            <w:tcW w:w="4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35,144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26,847</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4360" w:type="dxa"/>
            <w:vAlign w:val="bottom"/>
            <w:tcBorders>
              <w:top w:val="single" w:sz="8" w:color="CCEEFF"/>
              <w:bottom w:val="single" w:sz="8" w:color="CCEEFF"/>
            </w:tcBorders>
            <w:vMerge w:val="restart"/>
          </w:tcPr>
          <w:p>
            <w:pPr>
              <w:jc w:val="right"/>
              <w:ind w:right="2590"/>
              <w:spacing w:after="0"/>
              <w:rPr>
                <w:sz w:val="20"/>
                <w:szCs w:val="20"/>
                <w:color w:val="auto"/>
              </w:rPr>
            </w:pPr>
            <w:r>
              <w:rPr>
                <w:rFonts w:ascii="Arial" w:cs="Arial" w:eastAsia="Arial" w:hAnsi="Arial"/>
                <w:sz w:val="18"/>
                <w:szCs w:val="18"/>
                <w:color w:val="auto"/>
              </w:rPr>
              <w:t>16</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4040" w:type="dxa"/>
            <w:vAlign w:val="bottom"/>
          </w:tcPr>
          <w:p>
            <w:pPr>
              <w:spacing w:after="0"/>
              <w:rPr>
                <w:sz w:val="24"/>
                <w:szCs w:val="24"/>
                <w:color w:val="auto"/>
              </w:rPr>
            </w:pPr>
          </w:p>
        </w:tc>
        <w:tc>
          <w:tcPr>
            <w:tcW w:w="43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0" w:right="339" w:bottom="1440" w:gutter="0" w:footer="0" w:header="0"/>
        </w:sectPr>
      </w:pPr>
    </w:p>
    <w:bookmarkStart w:id="16" w:name="page17"/>
    <w:bookmarkEnd w:id="16"/>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(1) our consolidated financial statements and related notes included elsewhere in this Quarterly Report on Form 10-Q, or this Form 10-Q, and (2) our consolidated financial statements, related notes and management's discussion and analysis of financial condition and results of operations in our Annual Report on Form 10-K for the year ended December 31, 2019, or the 10-K, filed with the Securities and Exchange Commission on February 28, 2020. This Form 10-Q contains forward-looking statements within the meaning of Section 27A of the Securities Act of 1933, as amended, or the Securities Act and Section 21E of the Securities Exchange Act of 1934, as amended, or the Exchange Act. These statements are often identified by the use of words such as “anticipate,” “believe,” “continue,” “could,” “estimate,” “expect,” “intend,” “may,” “plan,” “project,” “will,” “would” or the negative or plural of these words or similar expressions or variations. Such forward-looking statements are subject to a number of risks, uncertainties, assumptions and other factors that could cause actual results and the timing of certain events to differ materially from future results expressed or implied by the forward-looking statements. Factors that could cause or contribute to such differences include, but are not limited to, those identified herein, and those discussed in the section titled “Risk Factors,” set forth in Part II, Item 1A of this Form 10-Q and in our other filings with the SEC. Such risks and uncertainties may be amplified by the COVID-19 pandemic and its potential impact on our business and the global economy. You should not rely upon forward-looking statements as predictions of future events. Furthermore, such forward-looking statements speak only as of the date of this report. Except as required by law, we undertake no obligation to update any forward-looking statements to reflect events or circumstances after the date of such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355" w:lineRule="exact"/>
        <w:rPr>
          <w:sz w:val="20"/>
          <w:szCs w:val="20"/>
          <w:color w:val="auto"/>
        </w:rPr>
      </w:pPr>
    </w:p>
    <w:p>
      <w:pPr>
        <w:ind w:right="220" w:firstLine="324"/>
        <w:spacing w:after="0" w:line="254" w:lineRule="auto"/>
        <w:rPr>
          <w:sz w:val="20"/>
          <w:szCs w:val="20"/>
          <w:color w:val="auto"/>
        </w:rPr>
      </w:pPr>
      <w:r>
        <w:rPr>
          <w:rFonts w:ascii="Arial" w:cs="Arial" w:eastAsia="Arial" w:hAnsi="Arial"/>
          <w:sz w:val="18"/>
          <w:szCs w:val="18"/>
          <w:color w:val="auto"/>
        </w:rPr>
        <w:t>We are a leading provider of solutions for a new category of cybersecurity that we call Cyber Exposure. Cyber Exposure is a discipline for managing, measuring and comparing cybersecurity risk in the digital era. Our enterprise platform enables broad visibility into an organization’s cyber exposure across the modern attack surface and deep insights that help organizations translate vulnerability data into business insights to understand and reduce their cybersecurity risk.</w:t>
      </w:r>
    </w:p>
    <w:p>
      <w:pPr>
        <w:spacing w:after="0" w:line="312"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Our enterprise platform offerings include Tenable.io, which is our software as a service, or SaaS, offering and Tenable.sc, which is our on-premises offering, both of which provide organizations with applications purpose-built for areas of both traditional and modern attack surfaces, including IT infrastructure and applications, cloud environments and industrial Internet of things, or IoT, and operational technology, or OT, environments. These applications are designed with views, workflows and dashboards to help identify vulnerabilities, internal and regulatory compliance violations, misconfigurations and other cybersecurity issues, prioritize these issues for remediation, and provide insightful remediation guidance.</w:t>
      </w:r>
    </w:p>
    <w:p>
      <w:pPr>
        <w:spacing w:after="0" w:line="31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enterprise platform offerings are primarily sold on a subscription basis with a one-year term. Our subscription terms are generally not longer than three years. These offerings are typically prepaid in advance. To a lesser extent, we generate ratably recognizable revenue from perpetual licenses and from the related ongoing maintenance.</w:t>
      </w:r>
    </w:p>
    <w:p>
      <w:pPr>
        <w:spacing w:after="0" w:line="310"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We sell and market our products and services through our field sales force that works closely with our channel partners, which includes a network of distributors and resellers, in developing sales opportunities. We use a two-tiered channel model whereby we sell our enterprise platform offerings to our distributors, which in turn sell to our resellers, which then sell to end users, which we call customers.</w:t>
      </w:r>
    </w:p>
    <w:p>
      <w:pPr>
        <w:spacing w:after="0" w:line="310"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Many of our enterprise platform customers initially use either our free or paid version of Nessus, one of the industry’s most widely deployed vulnerability assessment solutions. Nessus, which is the technology that underpins our enterprise platform offerings, is designed to quickly and accurately identify vulnerabilities, configuration and compliance issues and malware. Our free version of Nessus, Nessus Essentials, allows for vulnerability assessment over a limited number of IP addresses. We believe many of our Nessus customers begin with Nessus Essentials and subsequently upgrade to Nessus Professional, the paid version of Nessus; however, we expect many users to continue to use Nessus Essentials.</w:t>
      </w:r>
    </w:p>
    <w:p>
      <w:pPr>
        <w:spacing w:after="0" w:line="208" w:lineRule="exact"/>
        <w:rPr>
          <w:sz w:val="20"/>
          <w:szCs w:val="20"/>
          <w:color w:val="auto"/>
        </w:rPr>
      </w:pPr>
    </w:p>
    <w:p>
      <w:pPr>
        <w:jc w:val="both"/>
        <w:ind w:right="60" w:firstLine="324"/>
        <w:spacing w:after="0" w:line="256" w:lineRule="auto"/>
        <w:rPr>
          <w:sz w:val="20"/>
          <w:szCs w:val="20"/>
          <w:color w:val="auto"/>
        </w:rPr>
      </w:pPr>
      <w:r>
        <w:rPr>
          <w:rFonts w:ascii="Arial" w:cs="Arial" w:eastAsia="Arial" w:hAnsi="Arial"/>
          <w:sz w:val="18"/>
          <w:szCs w:val="18"/>
          <w:color w:val="auto"/>
        </w:rPr>
        <w:t>There have been more than two million cumulative unique downloads, which refers to an individual email address utilized to register for the use of Nessus Essentials. We believe that the cumulative number of unique downloads of the free version of Nessus is representative of our brand recognition among cybersecurity professionals and that continued</w:t>
      </w: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00"/>
          </w:cols>
          <w:pgMar w:left="320" w:top="140" w:right="379" w:bottom="1440" w:gutter="0" w:footer="0" w:header="0"/>
        </w:sectPr>
      </w:pPr>
    </w:p>
    <w:bookmarkStart w:id="17" w:name="page18"/>
    <w:bookmarkEnd w:id="17"/>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growth in this number suggests broader awareness among potential customers. While we believe that the cumulative number of unique downloads may provide an indication of the growth and scale of our thought leadership and brand awareness, we do not expect this metric to necessarily correlate to future revenue growth opportunities, and we do not consider this metric a measure of our operating performance.</w:t>
      </w:r>
    </w:p>
    <w:p>
      <w:pPr>
        <w:spacing w:after="0" w:line="202"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We have experienced rapid growth in recent years. Revenue in the three months ended June 30, 2020 and 2019 and the six months ended June 30, 2020 and 2019 was $107.2 million, $85.4 million, $209.9 million and $165.7 million, respectively, representing year-over-year growth of 26% and 27% in the quarterly and year-to-date periods, respectively. Our recurring revenue, which includes revenue from subscription arrangements for software and cloud-based solutions and maintenance associated with perpetual licenses, represented 93% of our total revenue in the three and six months ended June 30, 2020 and 91% of our total revenue in the three and six months ended June 30, 2019. Our net loss in the three months ended June 30, 2020 and 2019 and the six months ended June 30, 2020 and 2019 was $12.0 million, $21.6 million, $34.9 million and $43.1 million, respectively, as we continue to invest in our business and market opportunity.</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COVID-19 Update</w:t>
      </w:r>
    </w:p>
    <w:p>
      <w:pPr>
        <w:spacing w:after="0" w:line="247" w:lineRule="exact"/>
        <w:rPr>
          <w:sz w:val="20"/>
          <w:szCs w:val="20"/>
          <w:color w:val="auto"/>
        </w:rPr>
      </w:pPr>
    </w:p>
    <w:p>
      <w:pPr>
        <w:ind w:right="160" w:firstLine="324"/>
        <w:spacing w:after="0" w:line="252" w:lineRule="auto"/>
        <w:rPr>
          <w:sz w:val="20"/>
          <w:szCs w:val="20"/>
          <w:color w:val="auto"/>
        </w:rPr>
      </w:pPr>
      <w:r>
        <w:rPr>
          <w:rFonts w:ascii="Arial" w:cs="Arial" w:eastAsia="Arial" w:hAnsi="Arial"/>
          <w:sz w:val="18"/>
          <w:szCs w:val="18"/>
          <w:color w:val="auto"/>
        </w:rPr>
        <w:t>We are closely monitoring the impact of the COVID-19 pandemic on our customers, partners, employees and service providers. The extent to which the COVID-19 pandemic will impact our business and operations will depend on future developments that are highly uncertain. While in the near term we may experience reductions in our billing and revenue growth rates, we are proactively managing our expenditures, including reductions of non-critical and discretionary expenses, while preserving strategic investments in sales capacity and research and development. This may result in improved leverage related to gross margins as well as sales and marketing, research and development, and general and administrative expenses as a percent of revenue. For additional information on the potential effects of the COVID-19 pandemic on our business, financial condition and results of operations, see the "Liquidity and Capital Resources" section below and “Risk Factors” in Part II, Item 1A of this Form 10-Q.</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Financial Highlights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Below are our key financial results: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740" w:type="dxa"/>
            <w:vAlign w:val="bottom"/>
            <w:gridSpan w:val="5"/>
          </w:tcPr>
          <w:p>
            <w:pPr>
              <w:ind w:left="80"/>
              <w:spacing w:after="0"/>
              <w:rPr>
                <w:sz w:val="20"/>
                <w:szCs w:val="20"/>
                <w:color w:val="auto"/>
              </w:rPr>
            </w:pPr>
            <w:r>
              <w:rPr>
                <w:rFonts w:ascii="Arial" w:cs="Arial" w:eastAsia="Arial" w:hAnsi="Arial"/>
                <w:sz w:val="16"/>
                <w:szCs w:val="16"/>
                <w:b w:val="1"/>
                <w:bCs w:val="1"/>
                <w:color w:val="auto"/>
              </w:rPr>
              <w:t>Three Months Ended June 30,</w:t>
            </w:r>
          </w:p>
        </w:tc>
        <w:tc>
          <w:tcPr>
            <w:tcW w:w="260" w:type="dxa"/>
            <w:vAlign w:val="bottom"/>
          </w:tcPr>
          <w:p>
            <w:pPr>
              <w:spacing w:after="0"/>
              <w:rPr>
                <w:sz w:val="19"/>
                <w:szCs w:val="19"/>
                <w:color w:val="auto"/>
              </w:rPr>
            </w:pPr>
          </w:p>
        </w:tc>
        <w:tc>
          <w:tcPr>
            <w:tcW w:w="2580" w:type="dxa"/>
            <w:vAlign w:val="bottom"/>
            <w:gridSpan w:val="4"/>
          </w:tcPr>
          <w:p>
            <w:pPr>
              <w:jc w:val="right"/>
              <w:ind w:right="271"/>
              <w:spacing w:after="0"/>
              <w:rPr>
                <w:sz w:val="20"/>
                <w:szCs w:val="20"/>
                <w:color w:val="auto"/>
              </w:rPr>
            </w:pPr>
            <w:r>
              <w:rPr>
                <w:rFonts w:ascii="Arial" w:cs="Arial" w:eastAsia="Arial" w:hAnsi="Arial"/>
                <w:sz w:val="16"/>
                <w:szCs w:val="16"/>
                <w:b w:val="1"/>
                <w:bCs w:val="1"/>
                <w:color w:val="auto"/>
              </w:rPr>
              <w:t>Six Months Ended June 30,</w:t>
            </w:r>
          </w:p>
        </w:tc>
      </w:tr>
      <w:tr>
        <w:trPr>
          <w:trHeight w:val="263"/>
        </w:trPr>
        <w:tc>
          <w:tcPr>
            <w:tcW w:w="546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20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2019</w:t>
            </w:r>
          </w:p>
        </w:tc>
      </w:tr>
      <w:tr>
        <w:trPr>
          <w:trHeight w:val="256"/>
        </w:trPr>
        <w:tc>
          <w:tcPr>
            <w:tcW w:w="5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107,209</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85,384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209,857</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165,685</w:t>
            </w:r>
          </w:p>
        </w:tc>
      </w:tr>
      <w:tr>
        <w:trPr>
          <w:trHeight w:val="263"/>
        </w:trPr>
        <w:tc>
          <w:tcPr>
            <w:tcW w:w="5460" w:type="dxa"/>
            <w:vAlign w:val="bottom"/>
          </w:tcPr>
          <w:p>
            <w:pPr>
              <w:ind w:left="40"/>
              <w:spacing w:after="0"/>
              <w:rPr>
                <w:sz w:val="20"/>
                <w:szCs w:val="20"/>
                <w:color w:val="auto"/>
              </w:rPr>
            </w:pPr>
            <w:r>
              <w:rPr>
                <w:rFonts w:ascii="Arial" w:cs="Arial" w:eastAsia="Arial" w:hAnsi="Arial"/>
                <w:sz w:val="18"/>
                <w:szCs w:val="18"/>
                <w:color w:val="auto"/>
              </w:rPr>
              <w:t>Loss from operations</w:t>
            </w: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(10,565)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(22,234)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(32,237)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(44,919)</w:t>
            </w:r>
          </w:p>
        </w:tc>
      </w:tr>
      <w:tr>
        <w:trPr>
          <w:trHeight w:val="277"/>
        </w:trPr>
        <w:tc>
          <w:tcPr>
            <w:tcW w:w="5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(21,628)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(34,937)</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(43,068)</w:t>
            </w:r>
          </w:p>
        </w:tc>
      </w:tr>
      <w:tr>
        <w:trPr>
          <w:trHeight w:val="263"/>
        </w:trPr>
        <w:tc>
          <w:tcPr>
            <w:tcW w:w="5460" w:type="dxa"/>
            <w:vAlign w:val="bottom"/>
          </w:tcPr>
          <w:p>
            <w:pPr>
              <w:ind w:left="40"/>
              <w:spacing w:after="0"/>
              <w:rPr>
                <w:sz w:val="20"/>
                <w:szCs w:val="20"/>
                <w:color w:val="auto"/>
              </w:rPr>
            </w:pPr>
            <w:r>
              <w:rPr>
                <w:rFonts w:ascii="Arial" w:cs="Arial" w:eastAsia="Arial" w:hAnsi="Arial"/>
                <w:sz w:val="18"/>
                <w:szCs w:val="18"/>
                <w:color w:val="auto"/>
              </w:rPr>
              <w:t>Net loss per share, basic and diluted</w:t>
            </w: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(0.12)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(0.23)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(0.35)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(0.45)</w:t>
            </w:r>
          </w:p>
        </w:tc>
      </w:tr>
      <w:tr>
        <w:trPr>
          <w:trHeight w:val="277"/>
        </w:trPr>
        <w:tc>
          <w:tcPr>
            <w:tcW w:w="5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(used in) operating activities</w:t>
            </w: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16,999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21,491</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(2,997)</w:t>
            </w:r>
          </w:p>
        </w:tc>
      </w:tr>
      <w:tr>
        <w:trPr>
          <w:trHeight w:val="257"/>
        </w:trPr>
        <w:tc>
          <w:tcPr>
            <w:tcW w:w="5460" w:type="dxa"/>
            <w:vAlign w:val="bottom"/>
          </w:tcPr>
          <w:p>
            <w:pPr>
              <w:ind w:left="40"/>
              <w:spacing w:after="0"/>
              <w:rPr>
                <w:sz w:val="20"/>
                <w:szCs w:val="20"/>
                <w:color w:val="auto"/>
              </w:rPr>
            </w:pPr>
            <w:r>
              <w:rPr>
                <w:rFonts w:ascii="Arial" w:cs="Arial" w:eastAsia="Arial" w:hAnsi="Arial"/>
                <w:sz w:val="18"/>
                <w:szCs w:val="18"/>
                <w:color w:val="auto"/>
              </w:rPr>
              <w:t>Purchases of property and equipment</w:t>
            </w: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(10,390)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(3,029)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(11,004)</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(5,335)</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Product Leadership</w:t>
      </w:r>
    </w:p>
    <w:p>
      <w:pPr>
        <w:spacing w:after="0" w:line="247"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Our enterprise platform offerings provide visibility into the broadest range of traditional and modern IT assets across cloud and on-premises environments. We are intensely focused on continued innovation and ongoing development of our enterprise platform offerings that empower organizations to understand and reduce their cyber exposure. Additionally, we continue to expand the capabilities of our Nessus products, specifically as they relate to the ability to scan for and detect the rapidly expanding volume of vulnerabilities.</w:t>
      </w:r>
    </w:p>
    <w:p>
      <w:pPr>
        <w:spacing w:after="0" w:line="204" w:lineRule="exact"/>
        <w:rPr>
          <w:sz w:val="20"/>
          <w:szCs w:val="20"/>
          <w:color w:val="auto"/>
        </w:rPr>
      </w:pPr>
    </w:p>
    <w:p>
      <w:pPr>
        <w:ind w:right="200" w:firstLine="324"/>
        <w:spacing w:after="0" w:line="256" w:lineRule="auto"/>
        <w:rPr>
          <w:sz w:val="20"/>
          <w:szCs w:val="20"/>
          <w:color w:val="auto"/>
        </w:rPr>
      </w:pPr>
      <w:r>
        <w:rPr>
          <w:rFonts w:ascii="Arial" w:cs="Arial" w:eastAsia="Arial" w:hAnsi="Arial"/>
          <w:sz w:val="18"/>
          <w:szCs w:val="18"/>
          <w:color w:val="auto"/>
        </w:rPr>
        <w:t>We intend to continue to invest in our engineering capabilities and marketing activities to maintain our position in the highly-competitive market for cybersecurity solutions. Our results of operations may fluctuate as we make these investments to drive increased customer adoption and usage.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40" w:right="339" w:bottom="1440" w:gutter="0" w:footer="0" w:header="0"/>
        </w:sectPr>
      </w:pPr>
    </w:p>
    <w:bookmarkStart w:id="18" w:name="page19"/>
    <w:bookmarkEnd w:id="18"/>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New Enterprise Platform Customer Acquisition</w:t>
      </w:r>
    </w:p>
    <w:p>
      <w:pPr>
        <w:spacing w:after="0" w:line="247"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We believe that our customer base provides a significant opportunity to expand sales of our enterprise platform offerings and that our ability to continue to grow the number of enterprise platform customers will increase future opportunities for renewals and follow-on sales. We believe that we have significant room to increase our market share.</w:t>
      </w:r>
    </w:p>
    <w:p>
      <w:pPr>
        <w:spacing w:after="0" w:line="202"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We expect to grow our enterprise platform customers by continuing to expand our sales organization and leveraging our channel partner network, which we believe will allow us to identify new enterprise customers, enter new markets, including internationally, as well as to convert more of our existing Nessus Professional customers to enterprise platform customers.</w:t>
      </w:r>
    </w:p>
    <w:p>
      <w:pPr>
        <w:spacing w:after="0" w:line="202" w:lineRule="exact"/>
        <w:rPr>
          <w:sz w:val="20"/>
          <w:szCs w:val="20"/>
          <w:color w:val="auto"/>
        </w:rPr>
      </w:pPr>
    </w:p>
    <w:p>
      <w:pPr>
        <w:ind w:right="280" w:firstLine="324"/>
        <w:spacing w:after="0" w:line="261" w:lineRule="auto"/>
        <w:rPr>
          <w:sz w:val="20"/>
          <w:szCs w:val="20"/>
          <w:color w:val="auto"/>
        </w:rPr>
      </w:pPr>
      <w:r>
        <w:rPr>
          <w:rFonts w:ascii="Arial" w:cs="Arial" w:eastAsia="Arial" w:hAnsi="Arial"/>
          <w:sz w:val="18"/>
          <w:szCs w:val="18"/>
          <w:color w:val="auto"/>
        </w:rPr>
        <w:t>We have increased our sales and marketing headcount in recent years and we will continue to invest in our partner network and sales and marketing capability in order to grow domestically and internationally.</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Retaining and Expanding Revenue from Existing Customers</w:t>
      </w:r>
    </w:p>
    <w:p>
      <w:pPr>
        <w:spacing w:after="0" w:line="247"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Our enterprise platform offerings utilize IT asset-based or IP address-based pricing models. Once enterprise customers have licensed our platform offerings, they typically seek broader coverage over their traditional IT assets, including networking infrastructure, desktops and on-premises servers. As customers launch new applications or migrate existing applications to the cloud and deploy web applications, containers, IoT and OT, they often increase the scope of their subscriptions and/or add additional perpetual licenses to our enterprise platforms.</w:t>
      </w:r>
    </w:p>
    <w:p>
      <w:pPr>
        <w:spacing w:after="0" w:line="205"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We are also focused on upselling customers from Nessus Professional to our enterprise platform offerings. Nessus Professional customers are typically organizations or independent security consultants that use Nessus Professional for a single vulnerability assessment at a point in time. We seek to convert these customers to our enterprise platform offerings, which provide continuous visibility and insights into their attack surface, as their needs develop.</w:t>
      </w:r>
    </w:p>
    <w:p>
      <w:pPr>
        <w:spacing w:after="0" w:line="204"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Further, we plan to expand existing platform capabilities and launch new products, which we believe will drive new product purchases and follow-on purchases over time, thereby contributing to customer renewals. We believe that there is a significant opportunity to drive additional sales to existing customers, and we expect to invest in sales and marketing and customer success personnel and activities to achieve additional revenue growth from existing customers. However, our ability to increase sales to existing customers will depend on a number of factors, including satisfaction or dissatisfaction with our products and services, competition, pricing, current economic conditions or overall changes in our and our clients' spending levels.</w:t>
      </w:r>
    </w:p>
    <w:p>
      <w:pPr>
        <w:spacing w:after="0" w:line="208" w:lineRule="exact"/>
        <w:rPr>
          <w:sz w:val="20"/>
          <w:szCs w:val="20"/>
          <w:color w:val="auto"/>
        </w:rPr>
      </w:pPr>
    </w:p>
    <w:p>
      <w:pPr>
        <w:ind w:right="160" w:firstLine="324"/>
        <w:spacing w:after="0" w:line="261" w:lineRule="auto"/>
        <w:rPr>
          <w:sz w:val="20"/>
          <w:szCs w:val="20"/>
          <w:color w:val="auto"/>
        </w:rPr>
      </w:pPr>
      <w:r>
        <w:rPr>
          <w:rFonts w:ascii="Arial" w:cs="Arial" w:eastAsia="Arial" w:hAnsi="Arial"/>
          <w:sz w:val="18"/>
          <w:szCs w:val="18"/>
          <w:color w:val="auto"/>
        </w:rPr>
        <w:t>We evaluate our ability to expand sales with our existing customers by assessing our dollar-based net expansion rate. We calculate our dollar-based net expansion rate as follows:</w:t>
      </w:r>
    </w:p>
    <w:p>
      <w:pPr>
        <w:spacing w:after="0" w:line="198" w:lineRule="exact"/>
        <w:rPr>
          <w:sz w:val="20"/>
          <w:szCs w:val="20"/>
          <w:color w:val="auto"/>
        </w:rPr>
      </w:pPr>
    </w:p>
    <w:p>
      <w:pPr>
        <w:ind w:left="660" w:right="120" w:hanging="247"/>
        <w:spacing w:after="0" w:line="25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Denominator: To calculate our dollar-based net expansion rate as of the end of a reporting period, we first determine the annual recurring revenue, or ARR, from all active subscriptions and maintenance from perpetual licenses as of the last day of the same reporting period in the prior year. This represents recurring payments that we expect to receive in the next 12-month period from the cohort of customers that existed on the last day of the same reporting period in the prior year.</w:t>
      </w:r>
    </w:p>
    <w:p>
      <w:pPr>
        <w:spacing w:after="0" w:line="203" w:lineRule="exact"/>
        <w:rPr>
          <w:rFonts w:ascii="Arial" w:cs="Arial" w:eastAsia="Arial" w:hAnsi="Arial"/>
          <w:sz w:val="18"/>
          <w:szCs w:val="18"/>
          <w:color w:val="auto"/>
        </w:rPr>
      </w:pPr>
    </w:p>
    <w:p>
      <w:pPr>
        <w:ind w:left="660" w:right="140" w:hanging="247"/>
        <w:spacing w:after="0" w:line="261"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Numerator: We measure the ARR for that same cohort of customers representing all subscriptions and maintenance from perpetual licenses based on customer orders as of the end of the reporting period.</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calculate dollar-based net expansion rate by dividing the numerator by the denominator.</w:t>
      </w:r>
    </w:p>
    <w:p>
      <w:pPr>
        <w:spacing w:after="0" w:line="225" w:lineRule="exact"/>
        <w:rPr>
          <w:sz w:val="20"/>
          <w:szCs w:val="20"/>
          <w:color w:val="auto"/>
        </w:rPr>
      </w:pPr>
    </w:p>
    <w:p>
      <w:pPr>
        <w:jc w:val="both"/>
        <w:ind w:right="340" w:firstLine="324"/>
        <w:spacing w:after="0" w:line="256" w:lineRule="auto"/>
        <w:rPr>
          <w:sz w:val="20"/>
          <w:szCs w:val="20"/>
          <w:color w:val="auto"/>
        </w:rPr>
      </w:pPr>
      <w:r>
        <w:rPr>
          <w:rFonts w:ascii="Arial" w:cs="Arial" w:eastAsia="Arial" w:hAnsi="Arial"/>
          <w:sz w:val="18"/>
          <w:szCs w:val="18"/>
          <w:color w:val="auto"/>
        </w:rPr>
        <w:t>While our dollar-based net expansion rate may decline or fluctuate from quarter to quarter based on the result of a number of factors, including our existing customers' satisfaction with our solutions, the pricing of our solutions and the ability of competing solutions and the pricing thereof, our dollar-based net expansion rate has historically exceeded 110%.</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Investing in Business Growth</w:t>
      </w:r>
    </w:p>
    <w:p>
      <w:pPr>
        <w:spacing w:after="0" w:line="247"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Since our founding, we have invested significantly in growing our business. We intend to continue to invest in sales and marketing to grow our sales team, expand brand and Cyber Exposure awareness and optimize our channel partner network. We also intend to continue to invest in our research and development team to further our</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40" w:right="339" w:bottom="1440" w:gutter="0" w:footer="0" w:header="0"/>
        </w:sectPr>
      </w:pPr>
    </w:p>
    <w:bookmarkStart w:id="19" w:name="page20"/>
    <w:bookmarkEnd w:id="19"/>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technological leadership position in Cyber Exposure and enhance the functionality of our solutions. Any investments we make in our sales and marketing and research and development teams will occur in advance of experiencing the benefits from such investments, so it may be difficult for us to determine if we are efficiently allocating resources in those areas. We may also explore acquisitions of businesses, technology and/or development personnel that will expand and enhance the functionality of our platform offerings. These investment activities could increase our net losses over the short term if our revenue growth does not increase at higher rates. However, we expect that these investments will ultimately benefit our results of operations.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and Financial Metrics</w:t>
      </w:r>
    </w:p>
    <w:p>
      <w:pPr>
        <w:spacing w:after="0" w:line="247"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To supplement our consolidated financial statements, which are prepared and presented in accordance with GAAP, we use certain operating metrics and non-GAAP financial measures, as described below, to understand and evaluate our core operating and financial performance. These non-GAAP financial measures, which may be different than similarly titled measures used by other companies, are presented to enhance investors’ overall understanding of our financial performance and should not be considered a substitute for, or superior to, the financial information prepared and presented in accordance with GAAP.</w:t>
      </w:r>
    </w:p>
    <w:p>
      <w:pPr>
        <w:spacing w:after="0" w:line="205"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We believe that these operating metrics and non-GAAP financial measures provide useful information about our operating and financial performance, enhance the overall understanding of our past performance and future prospects and allow for greater transparency with respect to important metrics used by management for financial and operational decision-making. We present these operating metrics and non-GAAP financial measures to assist investors in seeing our operating and financial performance using a management view and because we believe that these measures provide an additional tool for investors to use in comparing our core operating and financial performance over multiple periods with other companies in our industry.</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Calculated Current Billings</w:t>
      </w:r>
    </w:p>
    <w:p>
      <w:pPr>
        <w:spacing w:after="0" w:line="247"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We use the non-GAAP measure of calculated current billings, which we believe is a key metric to measure our periodic performance. Given that most of our customers pay in advance, we typically recognize a majority of the related revenue ratably over time. We use calculated current billings to measure and monitor our ability to provide our business with the working capital generated by upfront payments from our customers.</w:t>
      </w:r>
    </w:p>
    <w:p>
      <w:pPr>
        <w:spacing w:after="0" w:line="204" w:lineRule="exact"/>
        <w:rPr>
          <w:sz w:val="20"/>
          <w:szCs w:val="20"/>
          <w:color w:val="auto"/>
        </w:rPr>
      </w:pPr>
    </w:p>
    <w:p>
      <w:pPr>
        <w:ind w:right="180" w:firstLine="324"/>
        <w:spacing w:after="0" w:line="254" w:lineRule="auto"/>
        <w:rPr>
          <w:sz w:val="20"/>
          <w:szCs w:val="20"/>
          <w:color w:val="auto"/>
        </w:rPr>
      </w:pPr>
      <w:r>
        <w:rPr>
          <w:rFonts w:ascii="Arial" w:cs="Arial" w:eastAsia="Arial" w:hAnsi="Arial"/>
          <w:sz w:val="18"/>
          <w:szCs w:val="18"/>
          <w:color w:val="auto"/>
        </w:rPr>
        <w:t>Calculated current billings consists of revenue recognized in a period plus the change in current deferred revenue in the corresponding period. We believe that calculated current billings, which excludes deferred revenue for periods beyond twelve months in a customer’s contractual term, more closely correlates with annual contract value. Variability in total billings, depending on the timing of large multi-year contracts and the preference for annual billing versus multi-year upfront billing, may distort growth in one period over another.</w:t>
      </w:r>
    </w:p>
    <w:p>
      <w:pPr>
        <w:spacing w:after="0" w:line="204"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While we believe that calculated current billings provides valuable insight into the cash that will be generated from sales of our subscriptions, this metric may vary from period-to-period for a number of reasons, and therefore has a number of limitations as a quarter-to-quarter or year-over-year comparative measure. Calculated current billings in any one period may be impacted by the overall timing of sales, including early renewals, as well as the timing and amount of multi-year prepaid contracts, which could favorably or unfavorably impact year-over-year comparisons. For example, an increasing number of large sales transactions, for which the timing has and will continue to vary, may occur in quarters subsequent to or in advance of those that we anticipate. Our calculation of calculated current billings may be different from other companies that report similar financial measures. Because of these and other limitations, you should consider calculated current billings along with revenue and our other GAAP financial results.</w:t>
      </w:r>
    </w:p>
    <w:p>
      <w:pPr>
        <w:spacing w:after="0" w:line="187"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 xml:space="preserve">The adoption of Accounting Standards Codification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at January 1, 2017 resulted in a $55.0 million increase in deferred revenue primarily related to the deferral of perpetual license revenue. This cumulative adjustment to deferred revenue at January 1, 2017 increased calculated current billings by $16.7 million, $ 11.8 million and $5.6 million in 2017, 2018 and 2019, respectively, and is expected to increase our calculated current billings by $1.9 million in 2020.</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320" w:top="140" w:right="359" w:bottom="1440" w:gutter="0" w:footer="0" w:header="0"/>
        </w:sectPr>
      </w:pPr>
    </w:p>
    <w:bookmarkStart w:id="20" w:name="page21"/>
    <w:bookmarkEnd w:id="20"/>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a reconciliation of revenue, the most directly comparable financial measure calculated in accordance with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GAAP, to calculated current billings: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740" w:type="dxa"/>
            <w:vAlign w:val="bottom"/>
            <w:gridSpan w:val="5"/>
          </w:tcPr>
          <w:p>
            <w:pPr>
              <w:ind w:left="80"/>
              <w:spacing w:after="0"/>
              <w:rPr>
                <w:sz w:val="20"/>
                <w:szCs w:val="20"/>
                <w:color w:val="auto"/>
              </w:rPr>
            </w:pPr>
            <w:r>
              <w:rPr>
                <w:rFonts w:ascii="Arial" w:cs="Arial" w:eastAsia="Arial" w:hAnsi="Arial"/>
                <w:sz w:val="16"/>
                <w:szCs w:val="16"/>
                <w:b w:val="1"/>
                <w:bCs w:val="1"/>
                <w:color w:val="auto"/>
              </w:rPr>
              <w:t>Three Months Ended June 30,</w:t>
            </w:r>
          </w:p>
        </w:tc>
        <w:tc>
          <w:tcPr>
            <w:tcW w:w="260" w:type="dxa"/>
            <w:vAlign w:val="bottom"/>
          </w:tcPr>
          <w:p>
            <w:pPr>
              <w:spacing w:after="0"/>
              <w:rPr>
                <w:sz w:val="19"/>
                <w:szCs w:val="19"/>
                <w:color w:val="auto"/>
              </w:rPr>
            </w:pPr>
          </w:p>
        </w:tc>
        <w:tc>
          <w:tcPr>
            <w:tcW w:w="2580" w:type="dxa"/>
            <w:vAlign w:val="bottom"/>
            <w:gridSpan w:val="4"/>
          </w:tcPr>
          <w:p>
            <w:pPr>
              <w:jc w:val="right"/>
              <w:ind w:right="272"/>
              <w:spacing w:after="0"/>
              <w:rPr>
                <w:sz w:val="20"/>
                <w:szCs w:val="20"/>
                <w:color w:val="auto"/>
              </w:rPr>
            </w:pPr>
            <w:r>
              <w:rPr>
                <w:rFonts w:ascii="Arial" w:cs="Arial" w:eastAsia="Arial" w:hAnsi="Arial"/>
                <w:sz w:val="16"/>
                <w:szCs w:val="16"/>
                <w:b w:val="1"/>
                <w:bCs w:val="1"/>
                <w:color w:val="auto"/>
              </w:rPr>
              <w:t>Six Months Ended June 30,</w:t>
            </w:r>
          </w:p>
        </w:tc>
      </w:tr>
      <w:tr>
        <w:trPr>
          <w:trHeight w:val="263"/>
        </w:trPr>
        <w:tc>
          <w:tcPr>
            <w:tcW w:w="546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2019</w:t>
            </w:r>
          </w:p>
        </w:tc>
      </w:tr>
      <w:tr>
        <w:trPr>
          <w:trHeight w:val="257"/>
        </w:trPr>
        <w:tc>
          <w:tcPr>
            <w:tcW w:w="5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107,209</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85,384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209,857</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165,685</w:t>
            </w:r>
          </w:p>
        </w:tc>
      </w:tr>
      <w:tr>
        <w:trPr>
          <w:trHeight w:val="263"/>
        </w:trPr>
        <w:tc>
          <w:tcPr>
            <w:tcW w:w="5460" w:type="dxa"/>
            <w:vAlign w:val="bottom"/>
          </w:tcPr>
          <w:p>
            <w:pPr>
              <w:ind w:left="40"/>
              <w:spacing w:after="0"/>
              <w:rPr>
                <w:sz w:val="20"/>
                <w:szCs w:val="20"/>
                <w:color w:val="auto"/>
              </w:rPr>
            </w:pPr>
            <w:r>
              <w:rPr>
                <w:rFonts w:ascii="Arial" w:cs="Arial" w:eastAsia="Arial" w:hAnsi="Arial"/>
                <w:sz w:val="18"/>
                <w:szCs w:val="18"/>
                <w:color w:val="auto"/>
              </w:rPr>
              <w:t>Add: Deferred revenue (current), end of period</w:t>
            </w:r>
          </w:p>
        </w:tc>
        <w:tc>
          <w:tcPr>
            <w:tcW w:w="200" w:type="dxa"/>
            <w:vAlign w:val="bottom"/>
          </w:tcPr>
          <w:p>
            <w:pPr>
              <w:spacing w:after="0"/>
              <w:rPr>
                <w:sz w:val="22"/>
                <w:szCs w:val="22"/>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274,953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227,227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274,953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227,227</w:t>
            </w:r>
          </w:p>
        </w:tc>
      </w:tr>
      <w:tr>
        <w:trPr>
          <w:trHeight w:val="270"/>
        </w:trPr>
        <w:tc>
          <w:tcPr>
            <w:tcW w:w="5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Less: Deferred revenue (current), beginning of period</w:t>
            </w:r>
          </w:p>
        </w:tc>
        <w:tc>
          <w:tcPr>
            <w:tcW w:w="2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(270,916)</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(214,508)</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(274,348)</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(213,644)</w:t>
            </w:r>
          </w:p>
        </w:tc>
      </w:tr>
      <w:tr>
        <w:trPr>
          <w:trHeight w:val="256"/>
        </w:trPr>
        <w:tc>
          <w:tcPr>
            <w:tcW w:w="5460" w:type="dxa"/>
            <w:vAlign w:val="bottom"/>
          </w:tcPr>
          <w:p>
            <w:pPr>
              <w:ind w:left="280"/>
              <w:spacing w:after="0"/>
              <w:rPr>
                <w:sz w:val="20"/>
                <w:szCs w:val="20"/>
                <w:color w:val="auto"/>
              </w:rPr>
            </w:pPr>
            <w:r>
              <w:rPr>
                <w:rFonts w:ascii="Arial" w:cs="Arial" w:eastAsia="Arial" w:hAnsi="Arial"/>
                <w:sz w:val="18"/>
                <w:szCs w:val="18"/>
                <w:color w:val="auto"/>
              </w:rPr>
              <w:t>Calculated current billings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111,246</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98,103</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210,462</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179,268</w:t>
            </w:r>
          </w:p>
        </w:tc>
      </w:tr>
      <w:tr>
        <w:trPr>
          <w:trHeight w:val="20"/>
        </w:trPr>
        <w:tc>
          <w:tcPr>
            <w:tcW w:w="5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Free Cash Flow</w:t>
      </w:r>
    </w:p>
    <w:p>
      <w:pPr>
        <w:spacing w:after="0" w:line="247" w:lineRule="exact"/>
        <w:rPr>
          <w:sz w:val="20"/>
          <w:szCs w:val="20"/>
          <w:color w:val="auto"/>
        </w:rPr>
      </w:pPr>
    </w:p>
    <w:p>
      <w:pPr>
        <w:ind w:right="200" w:firstLine="324"/>
        <w:spacing w:after="0" w:line="254" w:lineRule="auto"/>
        <w:rPr>
          <w:sz w:val="20"/>
          <w:szCs w:val="20"/>
          <w:color w:val="auto"/>
        </w:rPr>
      </w:pPr>
      <w:r>
        <w:rPr>
          <w:rFonts w:ascii="Arial" w:cs="Arial" w:eastAsia="Arial" w:hAnsi="Arial"/>
          <w:sz w:val="18"/>
          <w:szCs w:val="18"/>
          <w:color w:val="auto"/>
        </w:rPr>
        <w:t>We use the non-GAAP measure of free cash flow, which we define as GAAP net cash flows from operating activities reduced by purchases of property and equipment. We believe free cash flow is an important liquidity measure of the cash (if any) that is available, after purchases of property and equipment, for investment in our business and to make acquisitions. We believe that free cash flow is useful to investors as a liquidity measure because it measures our ability to generate or use cash.</w:t>
      </w:r>
    </w:p>
    <w:p>
      <w:pPr>
        <w:spacing w:after="0" w:line="204"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Our use of free cash flow has limitations as an analytical tool and you should not consider it in isolation or as a substitute for an analysis of our results under GAAP. First, free cash flow is not a substitute for net cash flows from operating activities. Second, other companies may calculate free cash flow or similarly titled non-GAAP financial measures differently or may use other measures to evaluate their performance, all of which could reduce the usefulness of free cash flow as a tool for comparison. Additionally, the utility of free cash flow is further limited as it does not reflect our future contractual commitments and does not represent the total increase or decrease in our cash balance for a given period. Because of these and other limitations, you should consider free cash flow along with net cash provided by (used in) operating activities and our other GAAP financial measures.</w:t>
      </w:r>
    </w:p>
    <w:p>
      <w:pPr>
        <w:spacing w:after="0" w:line="207" w:lineRule="exact"/>
        <w:rPr>
          <w:sz w:val="20"/>
          <w:szCs w:val="20"/>
          <w:color w:val="auto"/>
        </w:rPr>
      </w:pPr>
    </w:p>
    <w:p>
      <w:pPr>
        <w:ind w:right="100" w:firstLine="324"/>
        <w:spacing w:after="0" w:line="261" w:lineRule="auto"/>
        <w:rPr>
          <w:sz w:val="20"/>
          <w:szCs w:val="20"/>
          <w:color w:val="auto"/>
        </w:rPr>
      </w:pPr>
      <w:r>
        <w:rPr>
          <w:rFonts w:ascii="Arial" w:cs="Arial" w:eastAsia="Arial" w:hAnsi="Arial"/>
          <w:sz w:val="18"/>
          <w:szCs w:val="18"/>
          <w:color w:val="auto"/>
        </w:rPr>
        <w:t>The following table presents a reconciliation of net cash provided by (used in) operating activities, the most directly comparable financial measure calculated in accordance with GAAP, to free cash flow:</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740" w:type="dxa"/>
            <w:vAlign w:val="bottom"/>
            <w:gridSpan w:val="5"/>
          </w:tcPr>
          <w:p>
            <w:pPr>
              <w:ind w:left="80"/>
              <w:spacing w:after="0"/>
              <w:rPr>
                <w:sz w:val="20"/>
                <w:szCs w:val="20"/>
                <w:color w:val="auto"/>
              </w:rPr>
            </w:pPr>
            <w:r>
              <w:rPr>
                <w:rFonts w:ascii="Arial" w:cs="Arial" w:eastAsia="Arial" w:hAnsi="Arial"/>
                <w:sz w:val="16"/>
                <w:szCs w:val="16"/>
                <w:b w:val="1"/>
                <w:bCs w:val="1"/>
                <w:color w:val="auto"/>
              </w:rPr>
              <w:t>Three Months Ended June 30,</w:t>
            </w:r>
          </w:p>
        </w:tc>
        <w:tc>
          <w:tcPr>
            <w:tcW w:w="260" w:type="dxa"/>
            <w:vAlign w:val="bottom"/>
          </w:tcPr>
          <w:p>
            <w:pPr>
              <w:spacing w:after="0"/>
              <w:rPr>
                <w:sz w:val="19"/>
                <w:szCs w:val="19"/>
                <w:color w:val="auto"/>
              </w:rPr>
            </w:pPr>
          </w:p>
        </w:tc>
        <w:tc>
          <w:tcPr>
            <w:tcW w:w="2580" w:type="dxa"/>
            <w:vAlign w:val="bottom"/>
            <w:gridSpan w:val="4"/>
          </w:tcPr>
          <w:p>
            <w:pPr>
              <w:jc w:val="right"/>
              <w:ind w:right="272"/>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263"/>
        </w:trPr>
        <w:tc>
          <w:tcPr>
            <w:tcW w:w="546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57"/>
        </w:trPr>
        <w:tc>
          <w:tcPr>
            <w:tcW w:w="5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(used in) operating activities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16,999</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21,491</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(2,997)</w:t>
            </w:r>
          </w:p>
        </w:tc>
        <w:tc>
          <w:tcPr>
            <w:tcW w:w="0" w:type="dxa"/>
            <w:vAlign w:val="bottom"/>
          </w:tcPr>
          <w:p>
            <w:pPr>
              <w:spacing w:after="0"/>
              <w:rPr>
                <w:sz w:val="1"/>
                <w:szCs w:val="1"/>
                <w:color w:val="auto"/>
              </w:rPr>
            </w:pPr>
          </w:p>
        </w:tc>
      </w:tr>
      <w:tr>
        <w:trPr>
          <w:trHeight w:val="263"/>
        </w:trPr>
        <w:tc>
          <w:tcPr>
            <w:tcW w:w="54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Purchases of property and equipment</w:t>
            </w: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(10,390)</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(3,029)</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(11,004)</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(5,335)</w:t>
            </w:r>
          </w:p>
        </w:tc>
        <w:tc>
          <w:tcPr>
            <w:tcW w:w="0" w:type="dxa"/>
            <w:vAlign w:val="bottom"/>
          </w:tcPr>
          <w:p>
            <w:pPr>
              <w:spacing w:after="0"/>
              <w:rPr>
                <w:sz w:val="1"/>
                <w:szCs w:val="1"/>
                <w:color w:val="auto"/>
              </w:rPr>
            </w:pPr>
          </w:p>
        </w:tc>
      </w:tr>
      <w:tr>
        <w:trPr>
          <w:trHeight w:val="257"/>
        </w:trPr>
        <w:tc>
          <w:tcPr>
            <w:tcW w:w="5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Free cash flow</w:t>
            </w:r>
            <w:r>
              <w:rPr>
                <w:rFonts w:ascii="Arial" w:cs="Arial" w:eastAsia="Arial" w:hAnsi="Arial"/>
                <w:sz w:val="21"/>
                <w:szCs w:val="21"/>
                <w:color w:val="auto"/>
                <w:vertAlign w:val="superscript"/>
              </w:rPr>
              <w:t>(1)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6,609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10,487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(8,332)</w:t>
            </w: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Arial" w:cs="Arial" w:eastAsia="Arial" w:hAnsi="Arial"/>
                <w:sz w:val="11"/>
                <w:szCs w:val="11"/>
                <w:color w:val="auto"/>
              </w:rPr>
              <w:t>_______________</w:t>
            </w: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546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right="40" w:firstLine="8"/>
        <w:spacing w:after="0" w:line="251" w:lineRule="auto"/>
        <w:tabs>
          <w:tab w:leader="none" w:pos="378" w:val="left"/>
        </w:tabs>
        <w:numPr>
          <w:ilvl w:val="0"/>
          <w:numId w:val="9"/>
        </w:numPr>
        <w:rPr>
          <w:rFonts w:ascii="Arial" w:cs="Arial" w:eastAsia="Arial" w:hAnsi="Arial"/>
          <w:sz w:val="16"/>
          <w:szCs w:val="16"/>
          <w:color w:val="auto"/>
        </w:rPr>
      </w:pPr>
      <w:r>
        <w:rPr>
          <w:rFonts w:ascii="Arial" w:cs="Arial" w:eastAsia="Arial" w:hAnsi="Arial"/>
          <w:sz w:val="16"/>
          <w:szCs w:val="16"/>
          <w:color w:val="auto"/>
        </w:rPr>
        <w:t>Free cash flow included benefits of $3.3 million and $3.9 million and reductions of $0.4 million and $1.0 million related to employee stock purchase plan activity in the three months ended June 30, 2020 and 2019 and the six months ended June 30, 2020 and 2019, respectively. The three and six months ended June 30, 2020 included $8.6 million of proceeds from lease incentives as well as $9.7 million and $9.8 million, respectively, in capital expenditures for our new headquarters. The six months ended June 30, 2020 also included $0.7 million of acquisition-related payments for Indegy.</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Enterprise Platform Customers</w:t>
      </w:r>
    </w:p>
    <w:p>
      <w:pPr>
        <w:spacing w:after="0" w:line="247" w:lineRule="exact"/>
        <w:rPr>
          <w:sz w:val="20"/>
          <w:szCs w:val="20"/>
          <w:color w:val="auto"/>
        </w:rPr>
      </w:pPr>
    </w:p>
    <w:p>
      <w:pPr>
        <w:ind w:right="200" w:firstLine="324"/>
        <w:spacing w:after="0" w:line="261" w:lineRule="auto"/>
        <w:rPr>
          <w:sz w:val="20"/>
          <w:szCs w:val="20"/>
          <w:color w:val="auto"/>
        </w:rPr>
      </w:pPr>
      <w:r>
        <w:rPr>
          <w:rFonts w:ascii="Arial" w:cs="Arial" w:eastAsia="Arial" w:hAnsi="Arial"/>
          <w:sz w:val="18"/>
          <w:szCs w:val="18"/>
          <w:color w:val="auto"/>
        </w:rPr>
        <w:t>We believe that our customer base provides a significant opportunity to expand sales of our enterprise platform offerings. The following tables summarize key components of our customer base: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98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3340" w:type="dxa"/>
            <w:vAlign w:val="bottom"/>
            <w:tcBorders>
              <w:bottom w:val="single" w:sz="8" w:color="auto"/>
            </w:tcBorders>
            <w:gridSpan w:val="5"/>
          </w:tcPr>
          <w:p>
            <w:pPr>
              <w:ind w:left="60"/>
              <w:spacing w:after="0"/>
              <w:rPr>
                <w:sz w:val="20"/>
                <w:szCs w:val="20"/>
                <w:color w:val="auto"/>
              </w:rPr>
            </w:pPr>
            <w:r>
              <w:rPr>
                <w:rFonts w:ascii="Arial" w:cs="Arial" w:eastAsia="Arial" w:hAnsi="Arial"/>
                <w:sz w:val="16"/>
                <w:szCs w:val="16"/>
                <w:b w:val="1"/>
                <w:bCs w:val="1"/>
                <w:color w:val="auto"/>
              </w:rPr>
              <w:t>Three Months Ended June 30,</w:t>
            </w:r>
          </w:p>
        </w:tc>
      </w:tr>
      <w:tr>
        <w:trPr>
          <w:trHeight w:val="263"/>
        </w:trPr>
        <w:tc>
          <w:tcPr>
            <w:tcW w:w="698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4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Change (%)</w:t>
            </w:r>
          </w:p>
        </w:tc>
      </w:tr>
      <w:tr>
        <w:trPr>
          <w:trHeight w:val="257"/>
        </w:trPr>
        <w:tc>
          <w:tcPr>
            <w:tcW w:w="6980" w:type="dxa"/>
            <w:vAlign w:val="bottom"/>
            <w:shd w:val="clear" w:color="auto" w:fill="CCEEFF"/>
          </w:tcPr>
          <w:p>
            <w:pPr>
              <w:jc w:val="right"/>
              <w:ind w:right="1808"/>
              <w:spacing w:after="0"/>
              <w:rPr>
                <w:sz w:val="20"/>
                <w:szCs w:val="20"/>
                <w:color w:val="auto"/>
              </w:rPr>
            </w:pPr>
            <w:r>
              <w:rPr>
                <w:rFonts w:ascii="Arial" w:cs="Arial" w:eastAsia="Arial" w:hAnsi="Arial"/>
                <w:sz w:val="18"/>
                <w:szCs w:val="18"/>
                <w:color w:val="auto"/>
                <w:w w:val="99"/>
              </w:rPr>
              <w:t>Number of new enterprise platform customers added in period</w:t>
            </w:r>
            <w:r>
              <w:rPr>
                <w:rFonts w:ascii="Arial" w:cs="Arial" w:eastAsia="Arial" w:hAnsi="Arial"/>
                <w:sz w:val="21"/>
                <w:szCs w:val="21"/>
                <w:color w:val="auto"/>
                <w:w w:val="99"/>
                <w:vertAlign w:val="superscript"/>
              </w:rPr>
              <w:t>(1)</w:t>
            </w:r>
          </w:p>
        </w:tc>
        <w:tc>
          <w:tcPr>
            <w:tcW w:w="9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341</w:t>
            </w:r>
          </w:p>
        </w:tc>
        <w:tc>
          <w:tcPr>
            <w:tcW w:w="1900" w:type="dxa"/>
            <w:vAlign w:val="bottom"/>
            <w:gridSpan w:val="3"/>
            <w:shd w:val="clear" w:color="auto" w:fill="CCEEFF"/>
          </w:tcPr>
          <w:p>
            <w:pPr>
              <w:jc w:val="right"/>
              <w:ind w:right="439"/>
              <w:spacing w:after="0"/>
              <w:rPr>
                <w:sz w:val="20"/>
                <w:szCs w:val="20"/>
                <w:color w:val="auto"/>
              </w:rPr>
            </w:pPr>
            <w:r>
              <w:rPr>
                <w:rFonts w:ascii="Arial" w:cs="Arial" w:eastAsia="Arial" w:hAnsi="Arial"/>
                <w:sz w:val="18"/>
                <w:szCs w:val="18"/>
                <w:color w:val="auto"/>
              </w:rPr>
              <w:t>352</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395"/>
              <w:spacing w:after="0"/>
              <w:rPr>
                <w:sz w:val="20"/>
                <w:szCs w:val="20"/>
                <w:color w:val="auto"/>
              </w:rPr>
            </w:pPr>
            <w:r>
              <w:rPr>
                <w:rFonts w:ascii="Arial" w:cs="Arial" w:eastAsia="Arial" w:hAnsi="Arial"/>
                <w:sz w:val="18"/>
                <w:szCs w:val="18"/>
                <w:color w:val="auto"/>
              </w:rPr>
              <w:t>(3)%</w:t>
            </w:r>
          </w:p>
        </w:tc>
      </w:tr>
      <w:tr>
        <w:trPr>
          <w:trHeight w:val="123"/>
        </w:trPr>
        <w:tc>
          <w:tcPr>
            <w:tcW w:w="6980" w:type="dxa"/>
            <w:vAlign w:val="bottom"/>
          </w:tcPr>
          <w:p>
            <w:pPr>
              <w:jc w:val="right"/>
              <w:ind w:right="6008"/>
              <w:spacing w:after="0" w:line="124" w:lineRule="exact"/>
              <w:rPr>
                <w:sz w:val="20"/>
                <w:szCs w:val="20"/>
                <w:color w:val="auto"/>
              </w:rPr>
            </w:pPr>
            <w:r>
              <w:rPr>
                <w:rFonts w:ascii="Arial" w:cs="Arial" w:eastAsia="Arial" w:hAnsi="Arial"/>
                <w:sz w:val="11"/>
                <w:szCs w:val="11"/>
                <w:color w:val="auto"/>
                <w:w w:val="95"/>
              </w:rPr>
              <w:t>_______________</w:t>
            </w:r>
          </w:p>
        </w:tc>
        <w:tc>
          <w:tcPr>
            <w:tcW w:w="9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tcPr>
          <w:p>
            <w:pPr>
              <w:spacing w:after="0"/>
              <w:rPr>
                <w:sz w:val="10"/>
                <w:szCs w:val="10"/>
                <w:color w:val="auto"/>
              </w:rPr>
            </w:pPr>
          </w:p>
        </w:tc>
      </w:tr>
    </w:tbl>
    <w:p>
      <w:pPr>
        <w:ind w:right="240" w:firstLine="8"/>
        <w:spacing w:after="0" w:line="253" w:lineRule="auto"/>
        <w:tabs>
          <w:tab w:leader="none" w:pos="378"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define an enterprise platform customer as a customer that has licensed Tenable.io or Tenable.sc for an annual amount of $5,000 or greater. New enterprise platform customers represent new customer logos during the periods presented and do not include customer conversions from Nessus Professional to enterprise platforms.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40" w:right="339" w:bottom="1440" w:gutter="0" w:footer="0" w:header="0"/>
        </w:sectPr>
      </w:pPr>
    </w:p>
    <w:bookmarkStart w:id="21" w:name="page22"/>
    <w:bookmarkEnd w:id="21"/>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980" w:type="dxa"/>
            <w:vAlign w:val="bottom"/>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ind w:left="240"/>
              <w:spacing w:after="0"/>
              <w:rPr>
                <w:sz w:val="20"/>
                <w:szCs w:val="20"/>
                <w:color w:val="auto"/>
              </w:rPr>
            </w:pPr>
            <w:r>
              <w:rPr>
                <w:rFonts w:ascii="Arial" w:cs="Arial" w:eastAsia="Arial" w:hAnsi="Arial"/>
                <w:sz w:val="16"/>
                <w:szCs w:val="16"/>
                <w:b w:val="1"/>
                <w:bCs w:val="1"/>
                <w:color w:val="auto"/>
              </w:rPr>
              <w:t>At June 30,</w:t>
            </w:r>
          </w:p>
        </w:tc>
        <w:tc>
          <w:tcPr>
            <w:tcW w:w="1340" w:type="dxa"/>
            <w:vAlign w:val="bottom"/>
            <w:tcBorders>
              <w:bottom w:val="single" w:sz="8" w:color="auto"/>
            </w:tcBorders>
          </w:tcPr>
          <w:p>
            <w:pPr>
              <w:spacing w:after="0"/>
              <w:rPr>
                <w:sz w:val="19"/>
                <w:szCs w:val="19"/>
                <w:color w:val="auto"/>
              </w:rPr>
            </w:pPr>
          </w:p>
        </w:tc>
      </w:tr>
      <w:tr>
        <w:trPr>
          <w:trHeight w:val="263"/>
        </w:trPr>
        <w:tc>
          <w:tcPr>
            <w:tcW w:w="698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416"/>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Change (%)</w:t>
            </w:r>
          </w:p>
        </w:tc>
      </w:tr>
      <w:tr>
        <w:trPr>
          <w:trHeight w:val="215"/>
        </w:trPr>
        <w:tc>
          <w:tcPr>
            <w:tcW w:w="6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Number of customers with $100,000 and greater in annual contract value at end of</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30"/>
        </w:trPr>
        <w:tc>
          <w:tcPr>
            <w:tcW w:w="6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period</w:t>
            </w:r>
          </w:p>
        </w:tc>
        <w:tc>
          <w:tcPr>
            <w:tcW w:w="134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715</w:t>
            </w: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436"/>
              <w:spacing w:after="0"/>
              <w:rPr>
                <w:sz w:val="20"/>
                <w:szCs w:val="20"/>
                <w:color w:val="auto"/>
              </w:rPr>
            </w:pPr>
            <w:r>
              <w:rPr>
                <w:rFonts w:ascii="Arial" w:cs="Arial" w:eastAsia="Arial" w:hAnsi="Arial"/>
                <w:sz w:val="18"/>
                <w:szCs w:val="18"/>
                <w:color w:val="auto"/>
              </w:rPr>
              <w:t>538</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395"/>
              <w:spacing w:after="0"/>
              <w:rPr>
                <w:sz w:val="20"/>
                <w:szCs w:val="20"/>
                <w:color w:val="auto"/>
              </w:rPr>
            </w:pPr>
            <w:r>
              <w:rPr>
                <w:rFonts w:ascii="Arial" w:cs="Arial" w:eastAsia="Arial" w:hAnsi="Arial"/>
                <w:sz w:val="18"/>
                <w:szCs w:val="18"/>
                <w:color w:val="auto"/>
              </w:rPr>
              <w:t>33%</w:t>
            </w:r>
          </w:p>
        </w:tc>
      </w:tr>
    </w:tbl>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Non-GAAP Income (Loss) from Operations and Non-GAAP Operating Margin</w:t>
      </w:r>
    </w:p>
    <w:p>
      <w:pPr>
        <w:spacing w:after="0" w:line="247"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We use non-GAAP income (loss) from operations along with non-GAAP operating margin as key indicators of our financial performance. We define these non-GAAP financial measures as their respective GAAP measures, excluding the effects of stock-based compensation, acquisition-related expenses and amortization of acquired intangible assets. Acquisition-related expenses include transaction expenses and costs related to the transfer of acquired intellectual property.</w:t>
      </w:r>
    </w:p>
    <w:p>
      <w:pPr>
        <w:spacing w:after="0" w:line="204" w:lineRule="exact"/>
        <w:rPr>
          <w:sz w:val="20"/>
          <w:szCs w:val="20"/>
          <w:color w:val="auto"/>
        </w:rPr>
      </w:pPr>
    </w:p>
    <w:p>
      <w:pPr>
        <w:ind w:right="260" w:firstLine="324"/>
        <w:spacing w:after="0" w:line="253" w:lineRule="auto"/>
        <w:rPr>
          <w:sz w:val="20"/>
          <w:szCs w:val="20"/>
          <w:color w:val="auto"/>
        </w:rPr>
      </w:pPr>
      <w:r>
        <w:rPr>
          <w:rFonts w:ascii="Arial" w:cs="Arial" w:eastAsia="Arial" w:hAnsi="Arial"/>
          <w:sz w:val="18"/>
          <w:szCs w:val="18"/>
          <w:color w:val="auto"/>
        </w:rPr>
        <w:t>We believe that these non-GAAP financial measures provide useful information about our core operating results over multiple periods. There are a number of limitations related to the use of the non-GAAP financial measures as compared to GAAP loss from operations and operating margin, including that non-GAAP income (loss) from operations and non-GAAP operating margin exclude stock-based compensation expense, which has been, and will continue to be for the foreseeable future, a significant recurring expense in our business and an important part of our compensation strategy.</w:t>
      </w:r>
    </w:p>
    <w:p>
      <w:pPr>
        <w:spacing w:after="0" w:line="205" w:lineRule="exact"/>
        <w:rPr>
          <w:sz w:val="20"/>
          <w:szCs w:val="20"/>
          <w:color w:val="auto"/>
        </w:rPr>
      </w:pPr>
    </w:p>
    <w:p>
      <w:pPr>
        <w:ind w:right="160" w:firstLine="324"/>
        <w:spacing w:after="0" w:line="256" w:lineRule="auto"/>
        <w:rPr>
          <w:sz w:val="20"/>
          <w:szCs w:val="20"/>
          <w:color w:val="auto"/>
        </w:rPr>
      </w:pPr>
      <w:r>
        <w:rPr>
          <w:rFonts w:ascii="Arial" w:cs="Arial" w:eastAsia="Arial" w:hAnsi="Arial"/>
          <w:sz w:val="18"/>
          <w:szCs w:val="18"/>
          <w:color w:val="auto"/>
        </w:rPr>
        <w:t>The following table presents a reconciliation of loss from operations, the most directly comparable financial measure calculated in accordance with GAAP, to non-GAAP income (loss) from operations, and operating margin, the most directly comparable financial measure calculated in accordance with GAAP, to non-GAAP operating margin:</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90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June 30,</w:t>
            </w:r>
          </w:p>
        </w:tc>
        <w:tc>
          <w:tcPr>
            <w:tcW w:w="320" w:type="dxa"/>
            <w:vAlign w:val="bottom"/>
          </w:tcPr>
          <w:p>
            <w:pPr>
              <w:spacing w:after="0"/>
              <w:rPr>
                <w:sz w:val="19"/>
                <w:szCs w:val="19"/>
                <w:color w:val="auto"/>
              </w:rPr>
            </w:pPr>
          </w:p>
        </w:tc>
        <w:tc>
          <w:tcPr>
            <w:tcW w:w="2740" w:type="dxa"/>
            <w:vAlign w:val="bottom"/>
            <w:gridSpan w:val="4"/>
          </w:tcPr>
          <w:p>
            <w:pPr>
              <w:jc w:val="right"/>
              <w:ind w:right="371"/>
              <w:spacing w:after="0"/>
              <w:rPr>
                <w:sz w:val="20"/>
                <w:szCs w:val="20"/>
                <w:color w:val="auto"/>
              </w:rPr>
            </w:pPr>
            <w:r>
              <w:rPr>
                <w:rFonts w:ascii="Arial" w:cs="Arial" w:eastAsia="Arial" w:hAnsi="Arial"/>
                <w:sz w:val="16"/>
                <w:szCs w:val="16"/>
                <w:b w:val="1"/>
                <w:bCs w:val="1"/>
                <w:color w:val="auto"/>
              </w:rPr>
              <w:t>Six Months Ended June 30,</w:t>
            </w:r>
          </w:p>
        </w:tc>
      </w:tr>
      <w:tr>
        <w:trPr>
          <w:trHeight w:val="263"/>
        </w:trPr>
        <w:tc>
          <w:tcPr>
            <w:tcW w:w="502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26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2019</w:t>
            </w:r>
          </w:p>
        </w:tc>
      </w:tr>
      <w:tr>
        <w:trPr>
          <w:trHeight w:val="257"/>
        </w:trPr>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(10,565)</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(22,234)</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(32,237)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(44,919)</w:t>
            </w:r>
          </w:p>
        </w:tc>
      </w:tr>
      <w:tr>
        <w:trPr>
          <w:trHeight w:val="263"/>
        </w:trPr>
        <w:tc>
          <w:tcPr>
            <w:tcW w:w="502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260" w:type="dxa"/>
            <w:vAlign w:val="bottom"/>
          </w:tcPr>
          <w:p>
            <w:pPr>
              <w:spacing w:after="0"/>
              <w:rPr>
                <w:sz w:val="22"/>
                <w:szCs w:val="22"/>
                <w:color w:val="auto"/>
              </w:rPr>
            </w:pPr>
          </w:p>
        </w:tc>
        <w:tc>
          <w:tcPr>
            <w:tcW w:w="1220" w:type="dxa"/>
            <w:vAlign w:val="bottom"/>
          </w:tcPr>
          <w:p>
            <w:pPr>
              <w:jc w:val="right"/>
              <w:ind w:right="172"/>
              <w:spacing w:after="0"/>
              <w:rPr>
                <w:sz w:val="20"/>
                <w:szCs w:val="20"/>
                <w:color w:val="auto"/>
              </w:rPr>
            </w:pPr>
            <w:r>
              <w:rPr>
                <w:rFonts w:ascii="Arial" w:cs="Arial" w:eastAsia="Arial" w:hAnsi="Arial"/>
                <w:sz w:val="18"/>
                <w:szCs w:val="18"/>
                <w:color w:val="auto"/>
              </w:rPr>
              <w:t>15,666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71"/>
              <w:spacing w:after="0"/>
              <w:rPr>
                <w:sz w:val="20"/>
                <w:szCs w:val="20"/>
                <w:color w:val="auto"/>
              </w:rPr>
            </w:pPr>
            <w:r>
              <w:rPr>
                <w:rFonts w:ascii="Arial" w:cs="Arial" w:eastAsia="Arial" w:hAnsi="Arial"/>
                <w:sz w:val="18"/>
                <w:szCs w:val="18"/>
                <w:color w:val="auto"/>
              </w:rPr>
              <w:t>11,373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ind w:right="172"/>
              <w:spacing w:after="0"/>
              <w:rPr>
                <w:sz w:val="20"/>
                <w:szCs w:val="20"/>
                <w:color w:val="auto"/>
              </w:rPr>
            </w:pPr>
            <w:r>
              <w:rPr>
                <w:rFonts w:ascii="Arial" w:cs="Arial" w:eastAsia="Arial" w:hAnsi="Arial"/>
                <w:sz w:val="18"/>
                <w:szCs w:val="18"/>
                <w:color w:val="auto"/>
              </w:rPr>
              <w:t>28,701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20,692</w:t>
            </w:r>
          </w:p>
        </w:tc>
      </w:tr>
      <w:tr>
        <w:trPr>
          <w:trHeight w:val="277"/>
        </w:trPr>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Acquisition-related expenses</w:t>
            </w:r>
          </w:p>
        </w:tc>
        <w:tc>
          <w:tcPr>
            <w:tcW w:w="26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339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r>
      <w:tr>
        <w:trPr>
          <w:trHeight w:val="264"/>
        </w:trPr>
        <w:tc>
          <w:tcPr>
            <w:tcW w:w="50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Amortization of acquired intangible assets</w:t>
            </w: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578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1,157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302</w:t>
            </w:r>
          </w:p>
        </w:tc>
      </w:tr>
      <w:tr>
        <w:trPr>
          <w:trHeight w:val="256"/>
        </w:trPr>
        <w:tc>
          <w:tcPr>
            <w:tcW w:w="5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Non-GAAP income (loss) from operations</w:t>
            </w: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5,679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(10,710)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(2,040)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(23,925)</w:t>
            </w:r>
          </w:p>
        </w:tc>
      </w:tr>
      <w:tr>
        <w:trPr>
          <w:trHeight w:val="20"/>
        </w:trPr>
        <w:tc>
          <w:tcPr>
            <w:tcW w:w="5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305"/>
        </w:trPr>
        <w:tc>
          <w:tcPr>
            <w:tcW w:w="5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0"/>
        </w:trPr>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57"/>
        </w:trPr>
        <w:tc>
          <w:tcPr>
            <w:tcW w:w="5020" w:type="dxa"/>
            <w:vAlign w:val="bottom"/>
          </w:tcPr>
          <w:p>
            <w:pPr>
              <w:ind w:left="40"/>
              <w:spacing w:after="0"/>
              <w:rPr>
                <w:sz w:val="20"/>
                <w:szCs w:val="20"/>
                <w:color w:val="auto"/>
              </w:rPr>
            </w:pPr>
            <w:r>
              <w:rPr>
                <w:rFonts w:ascii="Arial" w:cs="Arial" w:eastAsia="Arial" w:hAnsi="Arial"/>
                <w:sz w:val="18"/>
                <w:szCs w:val="18"/>
                <w:color w:val="auto"/>
              </w:rPr>
              <w:t>Non-GAAP operating margin</w:t>
            </w: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5 %</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w:t>
            </w:r>
          </w:p>
        </w:tc>
      </w:tr>
    </w:tbl>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Non-GAAP Net Income (Loss) and Non-GAAP Earnings (Loss) Per Share</w:t>
      </w:r>
    </w:p>
    <w:p>
      <w:pPr>
        <w:spacing w:after="0" w:line="247"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We use non-GAAP net income (loss), which excludes the effect of stock-based compensation, acquisition-related expenses and amortization of acquired intangible assets, as well as the related tax impact, to calculate non-GAAP earnings (loss) per share. We believe that these non-GAAP measures provide important information to management and investors because they facilitate comparisons of our core operating results over multiple periods.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40" w:right="339" w:bottom="1440" w:gutter="0" w:footer="0" w:header="0"/>
        </w:sectPr>
      </w:pPr>
    </w:p>
    <w:bookmarkStart w:id="22" w:name="page23"/>
    <w:bookmarkEnd w:id="22"/>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ind w:right="340" w:firstLine="324"/>
        <w:spacing w:after="0" w:line="261" w:lineRule="auto"/>
        <w:rPr>
          <w:sz w:val="20"/>
          <w:szCs w:val="20"/>
          <w:color w:val="auto"/>
        </w:rPr>
      </w:pPr>
      <w:r>
        <w:rPr>
          <w:rFonts w:ascii="Arial" w:cs="Arial" w:eastAsia="Arial" w:hAnsi="Arial"/>
          <w:sz w:val="18"/>
          <w:szCs w:val="18"/>
          <w:color w:val="auto"/>
        </w:rPr>
        <w:t>The following table presents a reconciliation of net loss and net loss per share, the most comparable financial measures calculated in accordance with GAAP, to non-GAAP net income (loss) and non-GAAP earnings (loss) per share: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740" w:type="dxa"/>
            <w:vAlign w:val="bottom"/>
            <w:gridSpan w:val="5"/>
          </w:tcPr>
          <w:p>
            <w:pPr>
              <w:ind w:left="80"/>
              <w:spacing w:after="0"/>
              <w:rPr>
                <w:sz w:val="20"/>
                <w:szCs w:val="20"/>
                <w:color w:val="auto"/>
              </w:rPr>
            </w:pPr>
            <w:r>
              <w:rPr>
                <w:rFonts w:ascii="Arial" w:cs="Arial" w:eastAsia="Arial" w:hAnsi="Arial"/>
                <w:sz w:val="16"/>
                <w:szCs w:val="16"/>
                <w:b w:val="1"/>
                <w:bCs w:val="1"/>
                <w:color w:val="auto"/>
              </w:rPr>
              <w:t>Three Months Ended June 30,</w:t>
            </w:r>
          </w:p>
        </w:tc>
        <w:tc>
          <w:tcPr>
            <w:tcW w:w="260" w:type="dxa"/>
            <w:vAlign w:val="bottom"/>
          </w:tcPr>
          <w:p>
            <w:pPr>
              <w:spacing w:after="0"/>
              <w:rPr>
                <w:sz w:val="19"/>
                <w:szCs w:val="19"/>
                <w:color w:val="auto"/>
              </w:rPr>
            </w:pPr>
          </w:p>
        </w:tc>
        <w:tc>
          <w:tcPr>
            <w:tcW w:w="2580" w:type="dxa"/>
            <w:vAlign w:val="bottom"/>
            <w:gridSpan w:val="4"/>
          </w:tcPr>
          <w:p>
            <w:pPr>
              <w:jc w:val="right"/>
              <w:ind w:right="271"/>
              <w:spacing w:after="0"/>
              <w:rPr>
                <w:sz w:val="20"/>
                <w:szCs w:val="20"/>
                <w:color w:val="auto"/>
              </w:rPr>
            </w:pPr>
            <w:r>
              <w:rPr>
                <w:rFonts w:ascii="Arial" w:cs="Arial" w:eastAsia="Arial" w:hAnsi="Arial"/>
                <w:sz w:val="16"/>
                <w:szCs w:val="16"/>
                <w:b w:val="1"/>
                <w:bCs w:val="1"/>
                <w:color w:val="auto"/>
              </w:rPr>
              <w:t>Six Months Ended June 30,</w:t>
            </w:r>
          </w:p>
        </w:tc>
      </w:tr>
      <w:tr>
        <w:trPr>
          <w:trHeight w:val="263"/>
        </w:trPr>
        <w:tc>
          <w:tcPr>
            <w:tcW w:w="546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 except for per share amounts)</w:t>
            </w:r>
          </w:p>
        </w:tc>
        <w:tc>
          <w:tcPr>
            <w:tcW w:w="20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2019</w:t>
            </w:r>
          </w:p>
        </w:tc>
      </w:tr>
      <w:tr>
        <w:trPr>
          <w:trHeight w:val="257"/>
        </w:trPr>
        <w:tc>
          <w:tcPr>
            <w:tcW w:w="5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(11,960)</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(21,628)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(34,937)</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(43,068)</w:t>
            </w:r>
          </w:p>
        </w:tc>
      </w:tr>
      <w:tr>
        <w:trPr>
          <w:trHeight w:val="263"/>
        </w:trPr>
        <w:tc>
          <w:tcPr>
            <w:tcW w:w="546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200" w:type="dxa"/>
            <w:vAlign w:val="bottom"/>
          </w:tcPr>
          <w:p>
            <w:pPr>
              <w:spacing w:after="0"/>
              <w:rPr>
                <w:sz w:val="22"/>
                <w:szCs w:val="22"/>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15,666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11,373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28,701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20,692</w:t>
            </w:r>
          </w:p>
        </w:tc>
      </w:tr>
      <w:tr>
        <w:trPr>
          <w:trHeight w:val="277"/>
        </w:trPr>
        <w:tc>
          <w:tcPr>
            <w:tcW w:w="5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Tax impact of stock-based compensation</w:t>
            </w:r>
            <w:r>
              <w:rPr>
                <w:rFonts w:ascii="Arial" w:cs="Arial" w:eastAsia="Arial" w:hAnsi="Arial"/>
                <w:sz w:val="21"/>
                <w:szCs w:val="21"/>
                <w:color w:val="auto"/>
                <w:vertAlign w:val="superscript"/>
              </w:rPr>
              <w:t>(1)</w:t>
            </w: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437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635</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r>
      <w:tr>
        <w:trPr>
          <w:trHeight w:val="263"/>
        </w:trPr>
        <w:tc>
          <w:tcPr>
            <w:tcW w:w="5460" w:type="dxa"/>
            <w:vAlign w:val="bottom"/>
          </w:tcPr>
          <w:p>
            <w:pPr>
              <w:ind w:left="40"/>
              <w:spacing w:after="0"/>
              <w:rPr>
                <w:sz w:val="20"/>
                <w:szCs w:val="20"/>
                <w:color w:val="auto"/>
              </w:rPr>
            </w:pPr>
            <w:r>
              <w:rPr>
                <w:rFonts w:ascii="Arial" w:cs="Arial" w:eastAsia="Arial" w:hAnsi="Arial"/>
                <w:sz w:val="18"/>
                <w:szCs w:val="18"/>
                <w:color w:val="auto"/>
              </w:rPr>
              <w:t>Acquisition-related expenses</w:t>
            </w:r>
          </w:p>
        </w:tc>
        <w:tc>
          <w:tcPr>
            <w:tcW w:w="20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339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7"/>
        </w:trPr>
        <w:tc>
          <w:tcPr>
            <w:tcW w:w="5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Amortization of acquired intangible assets</w:t>
            </w:r>
            <w:r>
              <w:rPr>
                <w:rFonts w:ascii="Arial" w:cs="Arial" w:eastAsia="Arial" w:hAnsi="Arial"/>
                <w:sz w:val="21"/>
                <w:szCs w:val="21"/>
                <w:color w:val="auto"/>
                <w:vertAlign w:val="superscript"/>
              </w:rPr>
              <w:t>(2)</w:t>
            </w:r>
          </w:p>
        </w:tc>
        <w:tc>
          <w:tcPr>
            <w:tcW w:w="20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578</w:t>
            </w: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1,157</w:t>
            </w:r>
          </w:p>
        </w:tc>
        <w:tc>
          <w:tcPr>
            <w:tcW w:w="12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302</w:t>
            </w:r>
          </w:p>
        </w:tc>
      </w:tr>
      <w:tr>
        <w:trPr>
          <w:trHeight w:val="290"/>
        </w:trPr>
        <w:tc>
          <w:tcPr>
            <w:tcW w:w="54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Non-GAAP net income (loss)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4,721</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(9,983)</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(4,105)</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(22,602)</w:t>
            </w:r>
          </w:p>
        </w:tc>
      </w:tr>
      <w:tr>
        <w:trPr>
          <w:trHeight w:val="305"/>
        </w:trPr>
        <w:tc>
          <w:tcPr>
            <w:tcW w:w="54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63"/>
        </w:trPr>
        <w:tc>
          <w:tcPr>
            <w:tcW w:w="5460" w:type="dxa"/>
            <w:vAlign w:val="bottom"/>
          </w:tcPr>
          <w:p>
            <w:pPr>
              <w:ind w:left="40"/>
              <w:spacing w:after="0"/>
              <w:rPr>
                <w:sz w:val="20"/>
                <w:szCs w:val="20"/>
                <w:color w:val="auto"/>
              </w:rPr>
            </w:pPr>
            <w:r>
              <w:rPr>
                <w:rFonts w:ascii="Arial" w:cs="Arial" w:eastAsia="Arial" w:hAnsi="Arial"/>
                <w:sz w:val="18"/>
                <w:szCs w:val="18"/>
                <w:color w:val="auto"/>
              </w:rPr>
              <w:t>Net loss per share, diluted</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(0.12)</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(0.23)</w:t>
            </w:r>
          </w:p>
        </w:tc>
        <w:tc>
          <w:tcPr>
            <w:tcW w:w="100" w:type="dxa"/>
            <w:vAlign w:val="bottom"/>
          </w:tcPr>
          <w:p>
            <w:pPr>
              <w:spacing w:after="0"/>
              <w:rPr>
                <w:sz w:val="22"/>
                <w:szCs w:val="22"/>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(0.35)</w:t>
            </w:r>
          </w:p>
        </w:tc>
        <w:tc>
          <w:tcPr>
            <w:tcW w:w="12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(0.45)</w:t>
            </w:r>
          </w:p>
        </w:tc>
      </w:tr>
      <w:tr>
        <w:trPr>
          <w:trHeight w:val="277"/>
        </w:trPr>
        <w:tc>
          <w:tcPr>
            <w:tcW w:w="5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Stock-based compensation</w:t>
            </w: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0.16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0.13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0.29</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0.22</w:t>
            </w:r>
          </w:p>
        </w:tc>
      </w:tr>
      <w:tr>
        <w:trPr>
          <w:trHeight w:val="270"/>
        </w:trPr>
        <w:tc>
          <w:tcPr>
            <w:tcW w:w="5460" w:type="dxa"/>
            <w:vAlign w:val="bottom"/>
          </w:tcPr>
          <w:p>
            <w:pPr>
              <w:ind w:left="40"/>
              <w:spacing w:after="0"/>
              <w:rPr>
                <w:sz w:val="20"/>
                <w:szCs w:val="20"/>
                <w:color w:val="auto"/>
              </w:rPr>
            </w:pPr>
            <w:r>
              <w:rPr>
                <w:rFonts w:ascii="Arial" w:cs="Arial" w:eastAsia="Arial" w:hAnsi="Arial"/>
                <w:sz w:val="18"/>
                <w:szCs w:val="18"/>
                <w:color w:val="auto"/>
              </w:rPr>
              <w:t>Tax impact of stock-based compensation</w:t>
            </w:r>
            <w:r>
              <w:rPr>
                <w:rFonts w:ascii="Arial" w:cs="Arial" w:eastAsia="Arial" w:hAnsi="Arial"/>
                <w:sz w:val="21"/>
                <w:szCs w:val="21"/>
                <w:color w:val="auto"/>
                <w:vertAlign w:val="superscript"/>
              </w:rPr>
              <w:t>(1)</w:t>
            </w:r>
          </w:p>
        </w:tc>
        <w:tc>
          <w:tcPr>
            <w:tcW w:w="20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(0.01)</w:t>
            </w:r>
          </w:p>
        </w:tc>
      </w:tr>
      <w:tr>
        <w:trPr>
          <w:trHeight w:val="270"/>
        </w:trPr>
        <w:tc>
          <w:tcPr>
            <w:tcW w:w="5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Acquisition-related expenses</w:t>
            </w:r>
          </w:p>
        </w:tc>
        <w:tc>
          <w:tcPr>
            <w:tcW w:w="20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5460" w:type="dxa"/>
            <w:vAlign w:val="bottom"/>
          </w:tcPr>
          <w:p>
            <w:pPr>
              <w:ind w:left="40"/>
              <w:spacing w:after="0"/>
              <w:rPr>
                <w:sz w:val="20"/>
                <w:szCs w:val="20"/>
                <w:color w:val="auto"/>
              </w:rPr>
            </w:pPr>
            <w:r>
              <w:rPr>
                <w:rFonts w:ascii="Arial" w:cs="Arial" w:eastAsia="Arial" w:hAnsi="Arial"/>
                <w:sz w:val="18"/>
                <w:szCs w:val="18"/>
                <w:color w:val="auto"/>
              </w:rPr>
              <w:t>Amortization of acquired intangible assets</w:t>
            </w:r>
            <w:r>
              <w:rPr>
                <w:rFonts w:ascii="Arial" w:cs="Arial" w:eastAsia="Arial" w:hAnsi="Arial"/>
                <w:sz w:val="21"/>
                <w:szCs w:val="21"/>
                <w:color w:val="auto"/>
                <w:vertAlign w:val="superscript"/>
              </w:rPr>
              <w:t>(2)</w:t>
            </w:r>
          </w:p>
        </w:tc>
        <w:tc>
          <w:tcPr>
            <w:tcW w:w="200" w:type="dxa"/>
            <w:vAlign w:val="bottom"/>
          </w:tcPr>
          <w:p>
            <w:pPr>
              <w:spacing w:after="0"/>
              <w:rPr>
                <w:sz w:val="23"/>
                <w:szCs w:val="23"/>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5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Adjustment to diluted earnings per share</w:t>
            </w:r>
            <w:r>
              <w:rPr>
                <w:rFonts w:ascii="Arial" w:cs="Arial" w:eastAsia="Arial" w:hAnsi="Arial"/>
                <w:sz w:val="21"/>
                <w:szCs w:val="21"/>
                <w:color w:val="auto"/>
                <w:vertAlign w:val="superscript"/>
              </w:rPr>
              <w:t>(3)</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90"/>
        </w:trPr>
        <w:tc>
          <w:tcPr>
            <w:tcW w:w="54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Non-GAAP earnings (loss) per share, diluted</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0.04</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(0.24)</w:t>
            </w:r>
          </w:p>
        </w:tc>
      </w:tr>
      <w:tr>
        <w:trPr>
          <w:trHeight w:val="304"/>
        </w:trPr>
        <w:tc>
          <w:tcPr>
            <w:tcW w:w="54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29"/>
        </w:trPr>
        <w:tc>
          <w:tcPr>
            <w:tcW w:w="5460" w:type="dxa"/>
            <w:vAlign w:val="bottom"/>
          </w:tcPr>
          <w:p>
            <w:pPr>
              <w:ind w:left="40"/>
              <w:spacing w:after="0"/>
              <w:rPr>
                <w:sz w:val="20"/>
                <w:szCs w:val="20"/>
                <w:color w:val="auto"/>
              </w:rPr>
            </w:pPr>
            <w:r>
              <w:rPr>
                <w:rFonts w:ascii="Arial" w:cs="Arial" w:eastAsia="Arial" w:hAnsi="Arial"/>
                <w:sz w:val="18"/>
                <w:szCs w:val="18"/>
                <w:color w:val="auto"/>
              </w:rPr>
              <w:t>Weighted-average shares used to compute GAAP net loss per</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4"/>
        </w:trPr>
        <w:tc>
          <w:tcPr>
            <w:tcW w:w="5460" w:type="dxa"/>
            <w:vAlign w:val="bottom"/>
          </w:tcPr>
          <w:p>
            <w:pPr>
              <w:ind w:left="120"/>
              <w:spacing w:after="0"/>
              <w:rPr>
                <w:sz w:val="20"/>
                <w:szCs w:val="20"/>
                <w:color w:val="auto"/>
              </w:rPr>
            </w:pPr>
            <w:r>
              <w:rPr>
                <w:rFonts w:ascii="Arial" w:cs="Arial" w:eastAsia="Arial" w:hAnsi="Arial"/>
                <w:sz w:val="18"/>
                <w:szCs w:val="18"/>
                <w:color w:val="auto"/>
              </w:rPr>
              <w:t>share, diluted</w:t>
            </w:r>
          </w:p>
        </w:tc>
        <w:tc>
          <w:tcPr>
            <w:tcW w:w="200" w:type="dxa"/>
            <w:vAlign w:val="bottom"/>
          </w:tcPr>
          <w:p>
            <w:pPr>
              <w:spacing w:after="0"/>
              <w:rPr>
                <w:sz w:val="19"/>
                <w:szCs w:val="19"/>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100,209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95,820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99,532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94,785</w:t>
            </w:r>
          </w:p>
        </w:tc>
      </w:tr>
      <w:tr>
        <w:trPr>
          <w:trHeight w:val="331"/>
        </w:trPr>
        <w:tc>
          <w:tcPr>
            <w:tcW w:w="54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26"/>
        </w:trPr>
        <w:tc>
          <w:tcPr>
            <w:tcW w:w="5460" w:type="dxa"/>
            <w:vAlign w:val="bottom"/>
          </w:tcPr>
          <w:p>
            <w:pPr>
              <w:ind w:left="40"/>
              <w:spacing w:after="0"/>
              <w:rPr>
                <w:sz w:val="20"/>
                <w:szCs w:val="20"/>
                <w:color w:val="auto"/>
              </w:rPr>
            </w:pPr>
            <w:r>
              <w:rPr>
                <w:rFonts w:ascii="Arial" w:cs="Arial" w:eastAsia="Arial" w:hAnsi="Arial"/>
                <w:sz w:val="18"/>
                <w:szCs w:val="18"/>
                <w:color w:val="auto"/>
              </w:rPr>
              <w:t>Weighted-average shares used to compute non-GAAP earnings</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5460" w:type="dxa"/>
            <w:vAlign w:val="bottom"/>
          </w:tcPr>
          <w:p>
            <w:pPr>
              <w:ind w:left="120"/>
              <w:spacing w:after="0" w:line="230" w:lineRule="exact"/>
              <w:rPr>
                <w:sz w:val="20"/>
                <w:szCs w:val="20"/>
                <w:color w:val="auto"/>
              </w:rPr>
            </w:pPr>
            <w:r>
              <w:rPr>
                <w:rFonts w:ascii="Arial" w:cs="Arial" w:eastAsia="Arial" w:hAnsi="Arial"/>
                <w:sz w:val="18"/>
                <w:szCs w:val="18"/>
                <w:color w:val="auto"/>
              </w:rPr>
              <w:t>(loss) per share, diluted</w:t>
            </w:r>
            <w:r>
              <w:rPr>
                <w:rFonts w:ascii="Arial" w:cs="Arial" w:eastAsia="Arial" w:hAnsi="Arial"/>
                <w:sz w:val="21"/>
                <w:szCs w:val="21"/>
                <w:color w:val="auto"/>
                <w:vertAlign w:val="superscript"/>
              </w:rPr>
              <w:t>(4)</w:t>
            </w:r>
          </w:p>
        </w:tc>
        <w:tc>
          <w:tcPr>
            <w:tcW w:w="200" w:type="dxa"/>
            <w:vAlign w:val="bottom"/>
          </w:tcPr>
          <w:p>
            <w:pPr>
              <w:spacing w:after="0"/>
              <w:rPr>
                <w:sz w:val="19"/>
                <w:szCs w:val="19"/>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108,587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95,820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99,532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94,785</w:t>
            </w:r>
          </w:p>
        </w:tc>
      </w:tr>
      <w:tr>
        <w:trPr>
          <w:trHeight w:val="130"/>
        </w:trPr>
        <w:tc>
          <w:tcPr>
            <w:tcW w:w="5460" w:type="dxa"/>
            <w:vAlign w:val="bottom"/>
          </w:tcPr>
          <w:p>
            <w:pPr>
              <w:spacing w:after="0"/>
              <w:rPr>
                <w:sz w:val="20"/>
                <w:szCs w:val="20"/>
                <w:color w:val="auto"/>
              </w:rPr>
            </w:pPr>
            <w:r>
              <w:rPr>
                <w:rFonts w:ascii="Arial" w:cs="Arial" w:eastAsia="Arial" w:hAnsi="Arial"/>
                <w:sz w:val="11"/>
                <w:szCs w:val="11"/>
                <w:color w:val="auto"/>
              </w:rPr>
              <w:t>________________</w:t>
            </w:r>
          </w:p>
        </w:tc>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r>
    </w:tbl>
    <w:p>
      <w:pPr>
        <w:spacing w:after="0" w:line="51" w:lineRule="exact"/>
        <w:rPr>
          <w:sz w:val="20"/>
          <w:szCs w:val="20"/>
          <w:color w:val="auto"/>
        </w:rPr>
      </w:pPr>
    </w:p>
    <w:p>
      <w:pPr>
        <w:ind w:left="380" w:hanging="372"/>
        <w:spacing w:after="0"/>
        <w:tabs>
          <w:tab w:leader="none" w:pos="3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tax impact of stock-based compensation is based on the tax treatment for the applicable tax jurisdictions.</w:t>
      </w:r>
    </w:p>
    <w:p>
      <w:pPr>
        <w:spacing w:after="0" w:line="59" w:lineRule="exact"/>
        <w:rPr>
          <w:rFonts w:ascii="Arial" w:cs="Arial" w:eastAsia="Arial" w:hAnsi="Arial"/>
          <w:sz w:val="16"/>
          <w:szCs w:val="16"/>
          <w:color w:val="auto"/>
        </w:rPr>
      </w:pPr>
    </w:p>
    <w:p>
      <w:pPr>
        <w:ind w:left="380" w:hanging="372"/>
        <w:spacing w:after="0"/>
        <w:tabs>
          <w:tab w:leader="none" w:pos="3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tax impact of amortization of acquired intangible assets is not material.</w:t>
      </w:r>
    </w:p>
    <w:p>
      <w:pPr>
        <w:spacing w:after="0" w:line="59" w:lineRule="exact"/>
        <w:rPr>
          <w:rFonts w:ascii="Arial" w:cs="Arial" w:eastAsia="Arial" w:hAnsi="Arial"/>
          <w:sz w:val="16"/>
          <w:szCs w:val="16"/>
          <w:color w:val="auto"/>
        </w:rPr>
      </w:pPr>
    </w:p>
    <w:p>
      <w:pPr>
        <w:ind w:right="240" w:firstLine="8"/>
        <w:spacing w:after="0" w:line="260" w:lineRule="auto"/>
        <w:tabs>
          <w:tab w:leader="none" w:pos="369" w:val="left"/>
        </w:tabs>
        <w:numPr>
          <w:ilvl w:val="0"/>
          <w:numId w:val="11"/>
        </w:numPr>
        <w:rPr>
          <w:rFonts w:ascii="Arial" w:cs="Arial" w:eastAsia="Arial" w:hAnsi="Arial"/>
          <w:sz w:val="16"/>
          <w:szCs w:val="16"/>
          <w:color w:val="auto"/>
        </w:rPr>
      </w:pPr>
      <w:r>
        <w:rPr>
          <w:rFonts w:ascii="Arial" w:cs="Arial" w:eastAsia="Arial" w:hAnsi="Arial"/>
          <w:sz w:val="16"/>
          <w:szCs w:val="16"/>
          <w:color w:val="auto"/>
        </w:rPr>
        <w:t>An adjustment may be necessary to reconcile GAAP net loss per share, which excludes potentially dilutive shares, to non-GAAP earnings per share, which includes potentially dilutive shares.</w:t>
      </w:r>
    </w:p>
    <w:p>
      <w:pPr>
        <w:spacing w:after="0" w:line="33" w:lineRule="exact"/>
        <w:rPr>
          <w:rFonts w:ascii="Arial" w:cs="Arial" w:eastAsia="Arial" w:hAnsi="Arial"/>
          <w:sz w:val="16"/>
          <w:szCs w:val="16"/>
          <w:color w:val="auto"/>
        </w:rPr>
      </w:pPr>
    </w:p>
    <w:p>
      <w:pPr>
        <w:ind w:right="220" w:firstLine="8"/>
        <w:spacing w:after="0" w:line="260" w:lineRule="auto"/>
        <w:tabs>
          <w:tab w:leader="none" w:pos="378"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 periods in which there is a non-GAAP net loss, basic and diluted weighted average shares outstanding are the same, as potentially dilutive shares would be antidilutive.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w:t>
      </w:r>
    </w:p>
    <w:p>
      <w:pPr>
        <w:spacing w:after="0" w:line="247" w:lineRule="exact"/>
        <w:rPr>
          <w:sz w:val="20"/>
          <w:szCs w:val="20"/>
          <w:color w:val="auto"/>
        </w:rPr>
      </w:pPr>
    </w:p>
    <w:p>
      <w:pPr>
        <w:ind w:right="480" w:firstLine="324"/>
        <w:spacing w:after="0" w:line="261" w:lineRule="auto"/>
        <w:rPr>
          <w:sz w:val="20"/>
          <w:szCs w:val="20"/>
          <w:color w:val="auto"/>
        </w:rPr>
      </w:pPr>
      <w:r>
        <w:rPr>
          <w:rFonts w:ascii="Arial" w:cs="Arial" w:eastAsia="Arial" w:hAnsi="Arial"/>
          <w:sz w:val="18"/>
          <w:szCs w:val="18"/>
          <w:color w:val="auto"/>
        </w:rPr>
        <w:t>We generate revenue from subscription arrangements for our software and cloud-based solutions, perpetual licenses, maintenance associated with perpetual licenses and professional services.</w:t>
      </w:r>
    </w:p>
    <w:p>
      <w:pPr>
        <w:spacing w:after="0" w:line="198"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Our subscription arrangements generally have annual or multi-year contractual terms to use our software or cloud-based solutions, including ongoing software updates during the contractual period. Revenue is recognized ratably over the subscription term given the critical utility provided by the ongoing updates that are released throughout the contract period.</w:t>
      </w:r>
    </w:p>
    <w:p>
      <w:pPr>
        <w:spacing w:after="0" w:line="202"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Our perpetual licenses are generally sold with one or more years of maintenance, which includes ongoing software updates. Given the critical utility provided by the ongoing software updates and updated ability to identify network vulnerabilities included in maintenance, we combine the perpetual license and the maintenance into a single performance obligation. Perpetual license arrangements generally contain a material right related to the customer’s ability to renew maintenance at a price that is less than the initial license fee. We apply a practical alternative to allocating a portion of the transaction price to the material right performance obligation and estimate a hypothetical transaction price which includes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40" w:right="339" w:bottom="1440" w:gutter="0" w:footer="0" w:header="0"/>
        </w:sectPr>
      </w:pPr>
    </w:p>
    <w:bookmarkStart w:id="23" w:name="page24"/>
    <w:bookmarkEnd w:id="23"/>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fees for expected maintenance renewals based on the estimated economic life of perpetual license contracts. We allocate the transaction price between the cybersecurity subscription provided in the initial contract and the material right related to expected contract renewals based on the hypothetical transaction price. We recognize the amount allocated to the combined license and maintenance performance obligation over the initial contractual period, which is generally one year. We recognize the amount allocated to the material right over the expected maintenance renewal period, which begins at the end of the initial contractual term and is generally four years. We have estimated the five-year economic life of perpetual license contracts based on historical contract attrition, expected renewal periods, the lifecycle of our technology and other factors. This estimate may change over time.</w:t>
      </w:r>
    </w:p>
    <w:p>
      <w:pPr>
        <w:spacing w:after="0" w:line="207" w:lineRule="exact"/>
        <w:rPr>
          <w:sz w:val="20"/>
          <w:szCs w:val="20"/>
          <w:color w:val="auto"/>
        </w:rPr>
      </w:pPr>
    </w:p>
    <w:p>
      <w:pPr>
        <w:ind w:right="580" w:firstLine="324"/>
        <w:spacing w:after="0" w:line="256" w:lineRule="auto"/>
        <w:rPr>
          <w:sz w:val="20"/>
          <w:szCs w:val="20"/>
          <w:color w:val="auto"/>
        </w:rPr>
      </w:pPr>
      <w:r>
        <w:rPr>
          <w:rFonts w:ascii="Arial" w:cs="Arial" w:eastAsia="Arial" w:hAnsi="Arial"/>
          <w:sz w:val="18"/>
          <w:szCs w:val="18"/>
          <w:color w:val="auto"/>
        </w:rPr>
        <w:t>Professional services and other revenue is primarily comprised of advisory services and training related to the deployment and optimization of our products. These services do not result in significant customization of our products. Professional services and other revenue is recognized as the services are performed.</w:t>
      </w:r>
    </w:p>
    <w:p>
      <w:pPr>
        <w:spacing w:after="0" w:line="202" w:lineRule="exact"/>
        <w:rPr>
          <w:sz w:val="20"/>
          <w:szCs w:val="20"/>
          <w:color w:val="auto"/>
        </w:rPr>
      </w:pPr>
    </w:p>
    <w:p>
      <w:pPr>
        <w:ind w:right="240" w:firstLine="324"/>
        <w:spacing w:after="0" w:line="252" w:lineRule="auto"/>
        <w:rPr>
          <w:sz w:val="20"/>
          <w:szCs w:val="20"/>
          <w:color w:val="auto"/>
        </w:rPr>
      </w:pPr>
      <w:r>
        <w:rPr>
          <w:rFonts w:ascii="Arial" w:cs="Arial" w:eastAsia="Arial" w:hAnsi="Arial"/>
          <w:sz w:val="18"/>
          <w:szCs w:val="18"/>
          <w:color w:val="auto"/>
        </w:rPr>
        <w:t>We have historically experienced, and expect in the future to experience, seasonality in entering into agreements with customers. We typically enter into a significantly higher percentage of agreements with new customers, as well as renewal agreements with existing customers, in the third and fourth quarters of the year. The increase in customer agreements in the third quarter is primarily attributable to U.S. government and related agencies, and the increase in the fourth quarter is primarily attributable to large enterprise account buying patterns typical in the software industry. The ratable nature of our subscription revenue makes this seasonality less apparent in our overall financial results.</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Cost of Revenue, Gross Profit and Gross Margin</w:t>
      </w:r>
    </w:p>
    <w:p>
      <w:pPr>
        <w:spacing w:after="0" w:line="247"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Cost of revenue includes personnel costs related to our technical support group that provides assistance to customers, including salaries, benefits, bonuses, payroll taxes, stock-based compensation and any severance. Cost of revenue also includes cloud infrastructure costs, the costs related to professional services and training, depreciation, amortization of acquired and developed technology and allocated overhead costs, which consist of information technology and facilities.</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intend to continue to invest additional resources in our cloud-based platform and customer support team as we grow our business.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level and timing of investment in these areas could affect our cost of revenue in the future.</w:t>
      </w:r>
    </w:p>
    <w:p>
      <w:pPr>
        <w:spacing w:after="0" w:line="225" w:lineRule="exact"/>
        <w:rPr>
          <w:sz w:val="20"/>
          <w:szCs w:val="20"/>
          <w:color w:val="auto"/>
        </w:rPr>
      </w:pPr>
    </w:p>
    <w:p>
      <w:pPr>
        <w:jc w:val="both"/>
        <w:ind w:right="60" w:firstLine="324"/>
        <w:spacing w:after="0" w:line="254" w:lineRule="auto"/>
        <w:rPr>
          <w:sz w:val="20"/>
          <w:szCs w:val="20"/>
          <w:color w:val="auto"/>
        </w:rPr>
      </w:pPr>
      <w:r>
        <w:rPr>
          <w:rFonts w:ascii="Arial" w:cs="Arial" w:eastAsia="Arial" w:hAnsi="Arial"/>
          <w:sz w:val="18"/>
          <w:szCs w:val="18"/>
          <w:color w:val="auto"/>
        </w:rPr>
        <w:t>Gross profit, or revenue less cost of revenue, and gross margin, or gross profit as a percentage of revenue, have been and will continue to be affected by various factors, including the timing of our acquisition of new customers and our renewals of and follow-on sales to existing customers, the costs associated with operating our cloud-based platform, the extent to which we expand our customer support team and the extent to which we can increase the efficiency of our technology and infrastructure through technological improvements.</w:t>
      </w:r>
    </w:p>
    <w:p>
      <w:pPr>
        <w:spacing w:after="0" w:line="204"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We expect our gross profit to increase in absolute dollars but our gross margin to decrease, as we expect revenue from our cloud-based subscriptions to increase as a percentage of revenue, although our gross margin could fluctuate from period to period depending on the interplay of all of these factors.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47"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Our operating expenses consist of sales and marketing, research and development and general and administrative expenses. Personnel costs are the most significant component of operating expenses and consist of salaries, benefits, bonuses, payroll taxes, stock-based compensation and any severance. Operating expenses also include depreciation and amortization as well as allocated overhead costs, including IT and facilities costs.</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Sales and Marketing</w:t>
      </w:r>
    </w:p>
    <w:p>
      <w:pPr>
        <w:spacing w:after="0" w:line="243"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Sales and marketing expense consists of personnel costs, sales commissions, marketing programs, travel and entertainment, expenses for conferences and events and allocated overhead costs. We capitalize sales commissions, including related incremental fringe benefit costs, and recognize the expense over an estimated period of benefit, which ranges between three and four years for subscription arrangements and five years for perpetual license arrangements. Sales commissions on contract renewals are capitalized and amortized ratably over the contract term, with the exception</w:t>
      </w: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00"/>
          </w:cols>
          <w:pgMar w:left="320" w:top="140" w:right="379" w:bottom="1440" w:gutter="0" w:footer="0" w:header="0"/>
        </w:sectPr>
      </w:pPr>
    </w:p>
    <w:bookmarkStart w:id="24" w:name="page25"/>
    <w:bookmarkEnd w:id="24"/>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ind w:right="660"/>
        <w:spacing w:after="0" w:line="256" w:lineRule="auto"/>
        <w:rPr>
          <w:sz w:val="20"/>
          <w:szCs w:val="20"/>
          <w:color w:val="auto"/>
        </w:rPr>
      </w:pPr>
      <w:r>
        <w:rPr>
          <w:rFonts w:ascii="Arial" w:cs="Arial" w:eastAsia="Arial" w:hAnsi="Arial"/>
          <w:sz w:val="18"/>
          <w:szCs w:val="18"/>
          <w:color w:val="auto"/>
        </w:rPr>
        <w:t>of contracts with renewal periods that are one year or less, in which case the incremental costs are expensed as incurred. Sales commissions on professional services arrangements are expensed as incurred as the contractual periods of these arrangements are generally less than one year.</w:t>
      </w:r>
    </w:p>
    <w:p>
      <w:pPr>
        <w:spacing w:after="0" w:line="202"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We intend to continue to make investments in our sales and marketing teams to grow revenue, further penetrate the market and expand our global customer base. We expect our sales and marketing expense to increase in absolute dollars annually and to be our largest operating expense category for the foreseeable future. However, as our revenue increases, we expect our sales and marketing expense to decrease as a percentage of our revenue over the long term. Our sales and marketing expense may fluctuate from period to period due to the timing and extent of these expenses, including sales commissions, which may fluctuate depending on the mix of sales and related expense recognition.</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and Development</w:t>
      </w:r>
    </w:p>
    <w:p>
      <w:pPr>
        <w:spacing w:after="0" w:line="243" w:lineRule="exact"/>
        <w:rPr>
          <w:sz w:val="20"/>
          <w:szCs w:val="20"/>
          <w:color w:val="auto"/>
        </w:rPr>
      </w:pPr>
    </w:p>
    <w:p>
      <w:pPr>
        <w:ind w:right="480" w:firstLine="324"/>
        <w:spacing w:after="0" w:line="254" w:lineRule="auto"/>
        <w:rPr>
          <w:sz w:val="20"/>
          <w:szCs w:val="20"/>
          <w:color w:val="auto"/>
        </w:rPr>
      </w:pPr>
      <w:r>
        <w:rPr>
          <w:rFonts w:ascii="Arial" w:cs="Arial" w:eastAsia="Arial" w:hAnsi="Arial"/>
          <w:sz w:val="18"/>
          <w:szCs w:val="18"/>
          <w:color w:val="auto"/>
        </w:rPr>
        <w:t>Research and development expense consists of personnel costs, software used to develop our products, travel and entertainment, consulting and professional fees for third-party development resources as well as allocated overhead. Our research and development expense supports our efforts to continue to add capabilities to our existing products and enable the continued detection of new network vulnerabilities.</w:t>
      </w:r>
    </w:p>
    <w:p>
      <w:pPr>
        <w:spacing w:after="0" w:line="204"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expect our research and development expense to continue to increase annually in absolute dollars for the foreseeable future as we continue to invest in research and development efforts to enhance the functionality of our cloud-based platform. However, we expect our research and development expense to decrease as a percentage of our revenue over the long term, although our research and development expense may fluctuate from period to period due to the timing and extent of these expenses.</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General and Administrative</w:t>
      </w:r>
    </w:p>
    <w:p>
      <w:pPr>
        <w:spacing w:after="0" w:line="243"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General and administrative expense consists of personnel costs for our executive, finance, legal, human resources and administrative departments. Additional expenses include travel and entertainment, professional fees, insurance, allocated overhead and acquisition-related costs.</w:t>
      </w:r>
    </w:p>
    <w:p>
      <w:pPr>
        <w:spacing w:after="0" w:line="202"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We expect our general and administrative expense to continue to increase annually in absolute dollars for the foreseeable future due to additional costs associated with accounting, compliance, insurance and investor relations as a public company. However, we expect our general and administrative expense to decrease as a percentage of our revenue over the long term, although our general and administrative expense may fluctuate from period to period due to the timing and extent of these expenses.</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Income, Net</w:t>
      </w:r>
    </w:p>
    <w:p>
      <w:pPr>
        <w:spacing w:after="0" w:line="247" w:lineRule="exact"/>
        <w:rPr>
          <w:sz w:val="20"/>
          <w:szCs w:val="20"/>
          <w:color w:val="auto"/>
        </w:rPr>
      </w:pPr>
    </w:p>
    <w:p>
      <w:pPr>
        <w:ind w:right="140" w:firstLine="324"/>
        <w:spacing w:after="0" w:line="261" w:lineRule="auto"/>
        <w:rPr>
          <w:sz w:val="20"/>
          <w:szCs w:val="20"/>
          <w:color w:val="auto"/>
        </w:rPr>
      </w:pPr>
      <w:r>
        <w:rPr>
          <w:rFonts w:ascii="Arial" w:cs="Arial" w:eastAsia="Arial" w:hAnsi="Arial"/>
          <w:sz w:val="18"/>
          <w:szCs w:val="18"/>
          <w:color w:val="auto"/>
        </w:rPr>
        <w:t>Interest income, net consists primarily of interest income earned on cash and cash equivalents and short-term investments and interest expense in connection with our credit facility, including unused and letter of credit fees.</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expense, net consists primarily of foreign currency remeasurement and transaction gains and losses.</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47"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Provision for income taxes consists of income taxes in certain foreign jurisdictions in which we conduct business and the related withholding taxes on sales with customers. We have recorded deferred tax assets for which a full valuation allowance has been provided, including net operating loss carryforwards and tax credits. We expect to maintain this full valuation allowance for the foreseeable future as it is more likely than not that some or all of those deferred tax assets may not be realized based on our history of losses.</w:t>
      </w:r>
    </w:p>
    <w:p>
      <w:pPr>
        <w:spacing w:after="0" w:line="200" w:lineRule="exact"/>
        <w:rPr>
          <w:sz w:val="20"/>
          <w:szCs w:val="20"/>
          <w:color w:val="auto"/>
        </w:rPr>
      </w:pP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00"/>
          </w:cols>
          <w:pgMar w:left="320" w:top="140" w:right="379" w:bottom="1440" w:gutter="0" w:footer="0" w:header="0"/>
        </w:sectPr>
      </w:pPr>
    </w:p>
    <w:bookmarkStart w:id="25" w:name="page26"/>
    <w:bookmarkEnd w:id="25"/>
    <w:p>
      <w:pPr>
        <w:jc w:val="center"/>
        <w:ind w:right="9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set forth our consolidated results of operations: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740" w:type="dxa"/>
            <w:vAlign w:val="bottom"/>
            <w:gridSpan w:val="5"/>
          </w:tcPr>
          <w:p>
            <w:pPr>
              <w:ind w:left="80"/>
              <w:spacing w:after="0"/>
              <w:rPr>
                <w:sz w:val="20"/>
                <w:szCs w:val="20"/>
                <w:color w:val="auto"/>
              </w:rPr>
            </w:pPr>
            <w:r>
              <w:rPr>
                <w:rFonts w:ascii="Arial" w:cs="Arial" w:eastAsia="Arial" w:hAnsi="Arial"/>
                <w:sz w:val="16"/>
                <w:szCs w:val="16"/>
                <w:b w:val="1"/>
                <w:bCs w:val="1"/>
                <w:color w:val="auto"/>
              </w:rPr>
              <w:t>Three Months Ended June 30,</w:t>
            </w:r>
          </w:p>
        </w:tc>
        <w:tc>
          <w:tcPr>
            <w:tcW w:w="260" w:type="dxa"/>
            <w:vAlign w:val="bottom"/>
          </w:tcPr>
          <w:p>
            <w:pPr>
              <w:spacing w:after="0"/>
              <w:rPr>
                <w:sz w:val="19"/>
                <w:szCs w:val="19"/>
                <w:color w:val="auto"/>
              </w:rPr>
            </w:pPr>
          </w:p>
        </w:tc>
        <w:tc>
          <w:tcPr>
            <w:tcW w:w="2580" w:type="dxa"/>
            <w:vAlign w:val="bottom"/>
            <w:gridSpan w:val="4"/>
          </w:tcPr>
          <w:p>
            <w:pPr>
              <w:jc w:val="right"/>
              <w:ind w:right="271"/>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263"/>
        </w:trPr>
        <w:tc>
          <w:tcPr>
            <w:tcW w:w="546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57"/>
        </w:trPr>
        <w:tc>
          <w:tcPr>
            <w:tcW w:w="5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107,209</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85,384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209,857</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165,685</w:t>
            </w:r>
          </w:p>
        </w:tc>
        <w:tc>
          <w:tcPr>
            <w:tcW w:w="0" w:type="dxa"/>
            <w:vAlign w:val="bottom"/>
          </w:tcPr>
          <w:p>
            <w:pPr>
              <w:spacing w:after="0"/>
              <w:rPr>
                <w:sz w:val="1"/>
                <w:szCs w:val="1"/>
                <w:color w:val="auto"/>
              </w:rPr>
            </w:pPr>
          </w:p>
        </w:tc>
      </w:tr>
      <w:tr>
        <w:trPr>
          <w:trHeight w:val="270"/>
        </w:trPr>
        <w:tc>
          <w:tcPr>
            <w:tcW w:w="54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Cost of revenue</w:t>
            </w:r>
            <w:r>
              <w:rPr>
                <w:rFonts w:ascii="Arial" w:cs="Arial" w:eastAsia="Arial" w:hAnsi="Arial"/>
                <w:sz w:val="21"/>
                <w:szCs w:val="21"/>
                <w:color w:val="auto"/>
                <w:vertAlign w:val="superscript"/>
              </w:rPr>
              <w:t>(1)</w:t>
            </w: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19,142</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13,918</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37,843</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27,144</w:t>
            </w:r>
          </w:p>
        </w:tc>
        <w:tc>
          <w:tcPr>
            <w:tcW w:w="0" w:type="dxa"/>
            <w:vAlign w:val="bottom"/>
          </w:tcPr>
          <w:p>
            <w:pPr>
              <w:spacing w:after="0"/>
              <w:rPr>
                <w:sz w:val="1"/>
                <w:szCs w:val="1"/>
                <w:color w:val="auto"/>
              </w:rPr>
            </w:pPr>
          </w:p>
        </w:tc>
      </w:tr>
      <w:tr>
        <w:trPr>
          <w:trHeight w:val="250"/>
        </w:trPr>
        <w:tc>
          <w:tcPr>
            <w:tcW w:w="5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88,067</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71,466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172,014</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138,541</w:t>
            </w:r>
          </w:p>
        </w:tc>
        <w:tc>
          <w:tcPr>
            <w:tcW w:w="0" w:type="dxa"/>
            <w:vAlign w:val="bottom"/>
          </w:tcPr>
          <w:p>
            <w:pPr>
              <w:spacing w:after="0"/>
              <w:rPr>
                <w:sz w:val="1"/>
                <w:szCs w:val="1"/>
                <w:color w:val="auto"/>
              </w:rPr>
            </w:pPr>
          </w:p>
        </w:tc>
      </w:tr>
      <w:tr>
        <w:trPr>
          <w:trHeight w:val="263"/>
        </w:trPr>
        <w:tc>
          <w:tcPr>
            <w:tcW w:w="54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54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Sales and marketing</w:t>
            </w:r>
            <w:r>
              <w:rPr>
                <w:rFonts w:ascii="Arial" w:cs="Arial" w:eastAsia="Arial" w:hAnsi="Arial"/>
                <w:sz w:val="21"/>
                <w:szCs w:val="21"/>
                <w:color w:val="auto"/>
                <w:vertAlign w:val="superscript"/>
              </w:rPr>
              <w:t>(1)</w:t>
            </w: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55,443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56,015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115,298</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108,704</w:t>
            </w:r>
          </w:p>
        </w:tc>
        <w:tc>
          <w:tcPr>
            <w:tcW w:w="0" w:type="dxa"/>
            <w:vAlign w:val="bottom"/>
          </w:tcPr>
          <w:p>
            <w:pPr>
              <w:spacing w:after="0"/>
              <w:rPr>
                <w:sz w:val="1"/>
                <w:szCs w:val="1"/>
                <w:color w:val="auto"/>
              </w:rPr>
            </w:pPr>
          </w:p>
        </w:tc>
      </w:tr>
      <w:tr>
        <w:trPr>
          <w:trHeight w:val="270"/>
        </w:trPr>
        <w:tc>
          <w:tcPr>
            <w:tcW w:w="5460" w:type="dxa"/>
            <w:vAlign w:val="bottom"/>
          </w:tcPr>
          <w:p>
            <w:pPr>
              <w:ind w:left="280"/>
              <w:spacing w:after="0"/>
              <w:rPr>
                <w:sz w:val="20"/>
                <w:szCs w:val="20"/>
                <w:color w:val="auto"/>
              </w:rPr>
            </w:pPr>
            <w:r>
              <w:rPr>
                <w:rFonts w:ascii="Arial" w:cs="Arial" w:eastAsia="Arial" w:hAnsi="Arial"/>
                <w:sz w:val="18"/>
                <w:szCs w:val="18"/>
                <w:color w:val="auto"/>
              </w:rPr>
              <w:t>Research and development</w:t>
            </w:r>
            <w:r>
              <w:rPr>
                <w:rFonts w:ascii="Arial" w:cs="Arial" w:eastAsia="Arial" w:hAnsi="Arial"/>
                <w:sz w:val="21"/>
                <w:szCs w:val="21"/>
                <w:color w:val="auto"/>
                <w:vertAlign w:val="superscript"/>
              </w:rPr>
              <w:t>(1)</w:t>
            </w:r>
          </w:p>
        </w:tc>
        <w:tc>
          <w:tcPr>
            <w:tcW w:w="200" w:type="dxa"/>
            <w:vAlign w:val="bottom"/>
          </w:tcPr>
          <w:p>
            <w:pPr>
              <w:spacing w:after="0"/>
              <w:rPr>
                <w:sz w:val="23"/>
                <w:szCs w:val="23"/>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25,310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21,698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52,141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43,633</w:t>
            </w:r>
          </w:p>
        </w:tc>
        <w:tc>
          <w:tcPr>
            <w:tcW w:w="0" w:type="dxa"/>
            <w:vAlign w:val="bottom"/>
          </w:tcPr>
          <w:p>
            <w:pPr>
              <w:spacing w:after="0"/>
              <w:rPr>
                <w:sz w:val="1"/>
                <w:szCs w:val="1"/>
                <w:color w:val="auto"/>
              </w:rPr>
            </w:pPr>
          </w:p>
        </w:tc>
      </w:tr>
      <w:tr>
        <w:trPr>
          <w:trHeight w:val="270"/>
        </w:trPr>
        <w:tc>
          <w:tcPr>
            <w:tcW w:w="54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r>
              <w:rPr>
                <w:rFonts w:ascii="Arial" w:cs="Arial" w:eastAsia="Arial" w:hAnsi="Arial"/>
                <w:sz w:val="21"/>
                <w:szCs w:val="21"/>
                <w:color w:val="auto"/>
                <w:vertAlign w:val="superscript"/>
              </w:rPr>
              <w:t>(1)</w:t>
            </w:r>
          </w:p>
        </w:tc>
        <w:tc>
          <w:tcPr>
            <w:tcW w:w="2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17,879</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15,987</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36,812</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31,123</w:t>
            </w:r>
          </w:p>
        </w:tc>
        <w:tc>
          <w:tcPr>
            <w:tcW w:w="0" w:type="dxa"/>
            <w:vAlign w:val="bottom"/>
          </w:tcPr>
          <w:p>
            <w:pPr>
              <w:spacing w:after="0"/>
              <w:rPr>
                <w:sz w:val="1"/>
                <w:szCs w:val="1"/>
                <w:color w:val="auto"/>
              </w:rPr>
            </w:pPr>
          </w:p>
        </w:tc>
      </w:tr>
      <w:tr>
        <w:trPr>
          <w:trHeight w:val="243"/>
        </w:trPr>
        <w:tc>
          <w:tcPr>
            <w:tcW w:w="54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98,632</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93,700</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204,251</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183,460</w:t>
            </w:r>
          </w:p>
        </w:tc>
        <w:tc>
          <w:tcPr>
            <w:tcW w:w="0" w:type="dxa"/>
            <w:vAlign w:val="bottom"/>
          </w:tcPr>
          <w:p>
            <w:pPr>
              <w:spacing w:after="0"/>
              <w:rPr>
                <w:sz w:val="1"/>
                <w:szCs w:val="1"/>
                <w:color w:val="auto"/>
              </w:rPr>
            </w:pPr>
          </w:p>
        </w:tc>
      </w:tr>
      <w:tr>
        <w:trPr>
          <w:trHeight w:val="257"/>
        </w:trPr>
        <w:tc>
          <w:tcPr>
            <w:tcW w:w="5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(10,565)</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(22,234)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(32,237)</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(44,919)</w:t>
            </w:r>
          </w:p>
        </w:tc>
        <w:tc>
          <w:tcPr>
            <w:tcW w:w="0" w:type="dxa"/>
            <w:vAlign w:val="bottom"/>
          </w:tcPr>
          <w:p>
            <w:pPr>
              <w:spacing w:after="0"/>
              <w:rPr>
                <w:sz w:val="1"/>
                <w:szCs w:val="1"/>
                <w:color w:val="auto"/>
              </w:rPr>
            </w:pPr>
          </w:p>
        </w:tc>
      </w:tr>
      <w:tr>
        <w:trPr>
          <w:trHeight w:val="263"/>
        </w:trPr>
        <w:tc>
          <w:tcPr>
            <w:tcW w:w="5460" w:type="dxa"/>
            <w:vAlign w:val="bottom"/>
          </w:tcPr>
          <w:p>
            <w:pPr>
              <w:ind w:left="280"/>
              <w:spacing w:after="0"/>
              <w:rPr>
                <w:sz w:val="20"/>
                <w:szCs w:val="20"/>
                <w:color w:val="auto"/>
              </w:rPr>
            </w:pPr>
            <w:r>
              <w:rPr>
                <w:rFonts w:ascii="Arial" w:cs="Arial" w:eastAsia="Arial" w:hAnsi="Arial"/>
                <w:sz w:val="18"/>
                <w:szCs w:val="18"/>
                <w:color w:val="auto"/>
              </w:rPr>
              <w:t>Interest income, net</w:t>
            </w:r>
          </w:p>
        </w:tc>
        <w:tc>
          <w:tcPr>
            <w:tcW w:w="200" w:type="dxa"/>
            <w:vAlign w:val="bottom"/>
          </w:tcPr>
          <w:p>
            <w:pPr>
              <w:spacing w:after="0"/>
              <w:rPr>
                <w:sz w:val="22"/>
                <w:szCs w:val="22"/>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455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1,594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1,189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3,150</w:t>
            </w:r>
          </w:p>
        </w:tc>
        <w:tc>
          <w:tcPr>
            <w:tcW w:w="0" w:type="dxa"/>
            <w:vAlign w:val="bottom"/>
          </w:tcPr>
          <w:p>
            <w:pPr>
              <w:spacing w:after="0"/>
              <w:rPr>
                <w:sz w:val="1"/>
                <w:szCs w:val="1"/>
                <w:color w:val="auto"/>
              </w:rPr>
            </w:pPr>
          </w:p>
        </w:tc>
      </w:tr>
      <w:tr>
        <w:trPr>
          <w:trHeight w:val="270"/>
        </w:trPr>
        <w:tc>
          <w:tcPr>
            <w:tcW w:w="54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 expense, net</w:t>
            </w:r>
          </w:p>
        </w:tc>
        <w:tc>
          <w:tcPr>
            <w:tcW w:w="2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(1,258)</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50"/>
        </w:trPr>
        <w:tc>
          <w:tcPr>
            <w:tcW w:w="546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(10,408)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(20,762)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(32,306)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(42,105)</w:t>
            </w:r>
          </w:p>
        </w:tc>
        <w:tc>
          <w:tcPr>
            <w:tcW w:w="0" w:type="dxa"/>
            <w:vAlign w:val="bottom"/>
          </w:tcPr>
          <w:p>
            <w:pPr>
              <w:spacing w:after="0"/>
              <w:rPr>
                <w:sz w:val="1"/>
                <w:szCs w:val="1"/>
                <w:color w:val="auto"/>
              </w:rPr>
            </w:pPr>
          </w:p>
        </w:tc>
      </w:tr>
      <w:tr>
        <w:trPr>
          <w:trHeight w:val="270"/>
        </w:trPr>
        <w:tc>
          <w:tcPr>
            <w:tcW w:w="5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1,552</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866</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2,631</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963</w:t>
            </w:r>
          </w:p>
        </w:tc>
        <w:tc>
          <w:tcPr>
            <w:tcW w:w="0" w:type="dxa"/>
            <w:vAlign w:val="bottom"/>
          </w:tcPr>
          <w:p>
            <w:pPr>
              <w:spacing w:after="0"/>
              <w:rPr>
                <w:sz w:val="1"/>
                <w:szCs w:val="1"/>
                <w:color w:val="auto"/>
              </w:rPr>
            </w:pPr>
          </w:p>
        </w:tc>
      </w:tr>
      <w:tr>
        <w:trPr>
          <w:trHeight w:val="257"/>
        </w:trPr>
        <w:tc>
          <w:tcPr>
            <w:tcW w:w="5460" w:type="dxa"/>
            <w:vAlign w:val="bottom"/>
          </w:tcPr>
          <w:p>
            <w:pPr>
              <w:ind w:left="40"/>
              <w:spacing w:after="0"/>
              <w:rPr>
                <w:sz w:val="20"/>
                <w:szCs w:val="20"/>
                <w:color w:val="auto"/>
              </w:rPr>
            </w:pPr>
            <w:r>
              <w:rPr>
                <w:rFonts w:ascii="Arial" w:cs="Arial" w:eastAsia="Arial" w:hAnsi="Arial"/>
                <w:sz w:val="18"/>
                <w:szCs w:val="18"/>
                <w:color w:val="auto"/>
              </w:rPr>
              <w:t>Net loss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(11,960)</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(21,628)</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(34,937)</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(43,068)</w:t>
            </w: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Arial" w:cs="Arial" w:eastAsia="Arial" w:hAnsi="Arial"/>
                <w:sz w:val="11"/>
                <w:szCs w:val="11"/>
                <w:color w:val="auto"/>
              </w:rPr>
              <w:t>_______________</w:t>
            </w: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54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stock-based compensation expense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20" w:type="dxa"/>
            <w:vAlign w:val="bottom"/>
            <w:gridSpan w:val="11"/>
          </w:tcPr>
          <w:p>
            <w:pPr>
              <w:jc w:val="right"/>
              <w:ind w:right="460"/>
              <w:spacing w:after="0"/>
              <w:rPr>
                <w:sz w:val="20"/>
                <w:szCs w:val="20"/>
                <w:color w:val="auto"/>
              </w:rPr>
            </w:pPr>
            <w:r>
              <w:rPr>
                <w:rFonts w:ascii="Arial" w:cs="Arial" w:eastAsia="Arial" w:hAnsi="Arial"/>
                <w:sz w:val="16"/>
                <w:szCs w:val="16"/>
                <w:b w:val="1"/>
                <w:bCs w:val="1"/>
                <w:color w:val="auto"/>
              </w:rPr>
              <w:t>Three Months Ended June 30,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520" w:type="dxa"/>
            <w:vAlign w:val="bottom"/>
            <w:gridSpan w:val="7"/>
          </w:tcPr>
          <w:p>
            <w:pPr>
              <w:jc w:val="right"/>
              <w:ind w:right="312"/>
              <w:spacing w:after="0"/>
              <w:rPr>
                <w:sz w:val="20"/>
                <w:szCs w:val="20"/>
                <w:color w:val="auto"/>
              </w:rPr>
            </w:pPr>
            <w:r>
              <w:rPr>
                <w:rFonts w:ascii="Arial" w:cs="Arial" w:eastAsia="Arial" w:hAnsi="Arial"/>
                <w:sz w:val="16"/>
                <w:szCs w:val="16"/>
                <w:b w:val="1"/>
                <w:bCs w:val="1"/>
                <w:color w:val="auto"/>
              </w:rPr>
              <w:t>Six Months Ended June 30,</w:t>
            </w:r>
          </w:p>
        </w:tc>
      </w:tr>
      <w:tr>
        <w:trPr>
          <w:trHeight w:val="264"/>
        </w:trPr>
        <w:tc>
          <w:tcPr>
            <w:tcW w:w="530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260" w:type="dxa"/>
            <w:vAlign w:val="bottom"/>
            <w:tcBorders>
              <w:top w:val="single" w:sz="8" w:color="auto"/>
              <w:bottom w:val="single" w:sz="8" w:color="auto"/>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2"/>
                <w:szCs w:val="22"/>
                <w:color w:val="auto"/>
              </w:rPr>
            </w:pP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20" w:type="dxa"/>
            <w:vAlign w:val="bottom"/>
            <w:tcBorders>
              <w:top w:val="single" w:sz="8" w:color="auto"/>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2019</w:t>
            </w:r>
          </w:p>
        </w:tc>
      </w:tr>
      <w:tr>
        <w:trPr>
          <w:trHeight w:val="256"/>
        </w:trPr>
        <w:tc>
          <w:tcPr>
            <w:tcW w:w="5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830</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742</w:t>
            </w: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w:t>
            </w:r>
          </w:p>
        </w:tc>
        <w:tc>
          <w:tcPr>
            <w:tcW w:w="660" w:type="dxa"/>
            <w:vAlign w:val="bottom"/>
            <w:gridSpan w:val="5"/>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1,394</w:t>
            </w:r>
          </w:p>
        </w:tc>
      </w:tr>
      <w:tr>
        <w:trPr>
          <w:trHeight w:val="263"/>
        </w:trPr>
        <w:tc>
          <w:tcPr>
            <w:tcW w:w="530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5,375</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4,215</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9,871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7,581</w:t>
            </w:r>
          </w:p>
        </w:tc>
      </w:tr>
      <w:tr>
        <w:trPr>
          <w:trHeight w:val="277"/>
        </w:trPr>
        <w:tc>
          <w:tcPr>
            <w:tcW w:w="5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3,893</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2,441</w:t>
            </w: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6,841</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4,471</w:t>
            </w:r>
          </w:p>
        </w:tc>
      </w:tr>
      <w:tr>
        <w:trPr>
          <w:trHeight w:val="264"/>
        </w:trPr>
        <w:tc>
          <w:tcPr>
            <w:tcW w:w="53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5,568</w:t>
            </w: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3,975</w:t>
            </w:r>
          </w:p>
        </w:tc>
        <w:tc>
          <w:tcPr>
            <w:tcW w:w="10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10,412</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7,246</w:t>
            </w:r>
          </w:p>
        </w:tc>
      </w:tr>
      <w:tr>
        <w:trPr>
          <w:trHeight w:val="256"/>
        </w:trPr>
        <w:tc>
          <w:tcPr>
            <w:tcW w:w="5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stock-based compensation expense</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15,666</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11,373</w:t>
            </w:r>
          </w:p>
        </w:tc>
        <w:tc>
          <w:tcPr>
            <w:tcW w:w="1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28,701</w:t>
            </w: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gridSpan w:val="2"/>
            <w:shd w:val="clear" w:color="auto" w:fill="CCEEFF"/>
          </w:tcPr>
          <w:p>
            <w:pPr>
              <w:spacing w:after="0"/>
              <w:rPr>
                <w:sz w:val="22"/>
                <w:szCs w:val="22"/>
                <w:color w:val="auto"/>
              </w:rPr>
            </w:pPr>
          </w:p>
        </w:tc>
        <w:tc>
          <w:tcPr>
            <w:tcW w:w="440" w:type="dxa"/>
            <w:vAlign w:val="bottom"/>
            <w:tcBorders>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20,692</w:t>
            </w:r>
          </w:p>
        </w:tc>
      </w:tr>
      <w:tr>
        <w:trPr>
          <w:trHeight w:val="20"/>
        </w:trPr>
        <w:tc>
          <w:tcPr>
            <w:tcW w:w="5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413"/>
        </w:trPr>
        <w:tc>
          <w:tcPr>
            <w:tcW w:w="5560" w:type="dxa"/>
            <w:vAlign w:val="bottom"/>
            <w:gridSpan w:val="2"/>
          </w:tcPr>
          <w:p>
            <w:pPr>
              <w:spacing w:after="0"/>
              <w:rPr>
                <w:sz w:val="20"/>
                <w:szCs w:val="20"/>
                <w:color w:val="auto"/>
              </w:rPr>
            </w:pPr>
            <w:r>
              <w:rPr>
                <w:rFonts w:ascii="Arial" w:cs="Arial" w:eastAsia="Arial" w:hAnsi="Arial"/>
                <w:sz w:val="18"/>
                <w:szCs w:val="18"/>
                <w:b w:val="1"/>
                <w:bCs w:val="1"/>
                <w:color w:val="auto"/>
              </w:rPr>
              <w:t>Comparison of the Three Months Ended June 30, 2020 and 2019</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32"/>
        </w:trPr>
        <w:tc>
          <w:tcPr>
            <w:tcW w:w="5300" w:type="dxa"/>
            <w:vAlign w:val="bottom"/>
          </w:tcPr>
          <w:p>
            <w:pPr>
              <w:ind w:left="340"/>
              <w:spacing w:after="0"/>
              <w:rPr>
                <w:sz w:val="20"/>
                <w:szCs w:val="20"/>
                <w:color w:val="auto"/>
              </w:rPr>
            </w:pPr>
            <w:r>
              <w:rPr>
                <w:rFonts w:ascii="Arial" w:cs="Arial" w:eastAsia="Arial" w:hAnsi="Arial"/>
                <w:sz w:val="18"/>
                <w:szCs w:val="18"/>
                <w:b w:val="1"/>
                <w:bCs w:val="1"/>
                <w:i w:val="1"/>
                <w:iCs w:val="1"/>
                <w:color w:val="auto"/>
              </w:rPr>
              <w:t>Revenue</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53"/>
        </w:trPr>
        <w:tc>
          <w:tcPr>
            <w:tcW w:w="5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9"/>
          </w:tcPr>
          <w:p>
            <w:pPr>
              <w:jc w:val="right"/>
              <w:ind w:right="160"/>
              <w:spacing w:after="0"/>
              <w:rPr>
                <w:sz w:val="20"/>
                <w:szCs w:val="20"/>
                <w:color w:val="auto"/>
              </w:rPr>
            </w:pPr>
            <w:r>
              <w:rPr>
                <w:rFonts w:ascii="Arial" w:cs="Arial" w:eastAsia="Arial" w:hAnsi="Arial"/>
                <w:sz w:val="16"/>
                <w:szCs w:val="16"/>
                <w:b w:val="1"/>
                <w:bCs w:val="1"/>
                <w:color w:val="auto"/>
              </w:rPr>
              <w:t>Three Months Ended June 30,</w:t>
            </w:r>
          </w:p>
        </w:tc>
        <w:tc>
          <w:tcPr>
            <w:tcW w:w="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6"/>
                <w:szCs w:val="16"/>
                <w:b w:val="1"/>
                <w:bCs w:val="1"/>
                <w:color w:val="auto"/>
                <w:w w:val="98"/>
              </w:rPr>
              <w:t>Change</w:t>
            </w:r>
          </w:p>
        </w:tc>
        <w:tc>
          <w:tcPr>
            <w:tcW w:w="960" w:type="dxa"/>
            <w:vAlign w:val="bottom"/>
            <w:tcBorders>
              <w:bottom w:val="single" w:sz="8" w:color="auto"/>
            </w:tcBorders>
          </w:tcPr>
          <w:p>
            <w:pPr>
              <w:spacing w:after="0"/>
              <w:rPr>
                <w:sz w:val="24"/>
                <w:szCs w:val="24"/>
                <w:color w:val="auto"/>
              </w:rPr>
            </w:pPr>
          </w:p>
        </w:tc>
      </w:tr>
      <w:tr>
        <w:trPr>
          <w:trHeight w:val="263"/>
        </w:trPr>
        <w:tc>
          <w:tcPr>
            <w:tcW w:w="530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26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13"/>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52"/>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33"/>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w:t>
            </w:r>
          </w:p>
        </w:tc>
      </w:tr>
      <w:tr>
        <w:trPr>
          <w:trHeight w:val="257"/>
        </w:trPr>
        <w:tc>
          <w:tcPr>
            <w:tcW w:w="5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107,209</w:t>
            </w:r>
          </w:p>
        </w:tc>
        <w:tc>
          <w:tcPr>
            <w:tcW w:w="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85,384</w:t>
            </w:r>
          </w:p>
        </w:tc>
        <w:tc>
          <w:tcPr>
            <w:tcW w:w="3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21,825</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bl>
    <w:p>
      <w:pPr>
        <w:spacing w:after="0" w:line="215" w:lineRule="exact"/>
        <w:rPr>
          <w:sz w:val="20"/>
          <w:szCs w:val="20"/>
          <w:color w:val="auto"/>
        </w:rPr>
      </w:pPr>
    </w:p>
    <w:p>
      <w:pPr>
        <w:ind w:right="200" w:firstLine="324"/>
        <w:spacing w:after="0" w:line="254" w:lineRule="auto"/>
        <w:rPr>
          <w:sz w:val="20"/>
          <w:szCs w:val="20"/>
          <w:color w:val="auto"/>
        </w:rPr>
      </w:pPr>
      <w:r>
        <w:rPr>
          <w:rFonts w:ascii="Arial" w:cs="Arial" w:eastAsia="Arial" w:hAnsi="Arial"/>
          <w:sz w:val="18"/>
          <w:szCs w:val="18"/>
          <w:color w:val="auto"/>
        </w:rPr>
        <w:t>The increase in revenue of $21.8 million was comprised of increases in subscription revenue of $22.6 million and professional services and other revenue of $0.6 million, net of a decrease in perpetual license and maintenance revenue of $1.4 million. Revenue from existing customers comprised 31% of the increase, while the remaining increase was due to revenue from new customers since July 1, 2019. International revenue increased $10.6 million, or 34%.</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40" w:right="339" w:bottom="1440" w:gutter="0" w:footer="0" w:header="0"/>
        </w:sectPr>
      </w:pPr>
    </w:p>
    <w:bookmarkStart w:id="26" w:name="page27"/>
    <w:bookmarkEnd w:id="26"/>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Cost of Revenue, Gross Profit and Gross Margin</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4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 June 30,</w:t>
            </w:r>
          </w:p>
        </w:tc>
        <w:tc>
          <w:tcPr>
            <w:tcW w:w="320" w:type="dxa"/>
            <w:vAlign w:val="bottom"/>
          </w:tcPr>
          <w:p>
            <w:pPr>
              <w:spacing w:after="0"/>
              <w:rPr>
                <w:sz w:val="19"/>
                <w:szCs w:val="19"/>
                <w:color w:val="auto"/>
              </w:rPr>
            </w:pPr>
          </w:p>
        </w:tc>
        <w:tc>
          <w:tcPr>
            <w:tcW w:w="1420" w:type="dxa"/>
            <w:vAlign w:val="bottom"/>
            <w:gridSpan w:val="3"/>
          </w:tcPr>
          <w:p>
            <w:pPr>
              <w:ind w:left="700"/>
              <w:spacing w:after="0"/>
              <w:rPr>
                <w:sz w:val="20"/>
                <w:szCs w:val="20"/>
                <w:color w:val="auto"/>
              </w:rPr>
            </w:pPr>
            <w:r>
              <w:rPr>
                <w:rFonts w:ascii="Arial" w:cs="Arial" w:eastAsia="Arial" w:hAnsi="Arial"/>
                <w:sz w:val="16"/>
                <w:szCs w:val="16"/>
                <w:b w:val="1"/>
                <w:bCs w:val="1"/>
                <w:color w:val="auto"/>
              </w:rPr>
              <w:t>Change</w:t>
            </w:r>
          </w:p>
        </w:tc>
        <w:tc>
          <w:tcPr>
            <w:tcW w:w="880" w:type="dxa"/>
            <w:vAlign w:val="bottom"/>
          </w:tcPr>
          <w:p>
            <w:pPr>
              <w:spacing w:after="0"/>
              <w:rPr>
                <w:sz w:val="19"/>
                <w:szCs w:val="19"/>
                <w:color w:val="auto"/>
              </w:rPr>
            </w:pPr>
          </w:p>
        </w:tc>
      </w:tr>
      <w:tr>
        <w:trPr>
          <w:trHeight w:val="264"/>
        </w:trPr>
        <w:tc>
          <w:tcPr>
            <w:tcW w:w="554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24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w:t>
            </w:r>
          </w:p>
        </w:tc>
      </w:tr>
      <w:tr>
        <w:trPr>
          <w:trHeight w:val="256"/>
        </w:trPr>
        <w:tc>
          <w:tcPr>
            <w:tcW w:w="5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19,142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13,918</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5,224</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63"/>
        </w:trPr>
        <w:tc>
          <w:tcPr>
            <w:tcW w:w="554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22"/>
                <w:szCs w:val="22"/>
                <w:color w:val="auto"/>
              </w:rPr>
            </w:pPr>
          </w:p>
        </w:tc>
        <w:tc>
          <w:tcPr>
            <w:tcW w:w="1200" w:type="dxa"/>
            <w:vAlign w:val="bottom"/>
          </w:tcPr>
          <w:p>
            <w:pPr>
              <w:jc w:val="right"/>
              <w:ind w:right="114"/>
              <w:spacing w:after="0"/>
              <w:rPr>
                <w:sz w:val="20"/>
                <w:szCs w:val="20"/>
                <w:color w:val="auto"/>
              </w:rPr>
            </w:pPr>
            <w:r>
              <w:rPr>
                <w:rFonts w:ascii="Arial" w:cs="Arial" w:eastAsia="Arial" w:hAnsi="Arial"/>
                <w:sz w:val="18"/>
                <w:szCs w:val="18"/>
                <w:color w:val="auto"/>
              </w:rPr>
              <w:t>88,067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ind w:right="112"/>
              <w:spacing w:after="0"/>
              <w:rPr>
                <w:sz w:val="20"/>
                <w:szCs w:val="20"/>
                <w:color w:val="auto"/>
              </w:rPr>
            </w:pPr>
            <w:r>
              <w:rPr>
                <w:rFonts w:ascii="Arial" w:cs="Arial" w:eastAsia="Arial" w:hAnsi="Arial"/>
                <w:sz w:val="18"/>
                <w:szCs w:val="18"/>
                <w:color w:val="auto"/>
              </w:rPr>
              <w:t>71,466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16,601</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7"/>
        </w:trPr>
        <w:tc>
          <w:tcPr>
            <w:tcW w:w="5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bl>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in cost of revenue of $5.2 million was primarily due to:</w:t>
      </w:r>
    </w:p>
    <w:p>
      <w:pPr>
        <w:spacing w:after="0" w:line="117"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$2.4 million increase in personnel costs primarily due to increased headcount;</w:t>
      </w:r>
    </w:p>
    <w:p>
      <w:pPr>
        <w:spacing w:after="0" w:line="63" w:lineRule="exact"/>
        <w:rPr>
          <w:rFonts w:ascii="Arial" w:cs="Arial" w:eastAsia="Arial" w:hAnsi="Arial"/>
          <w:sz w:val="18"/>
          <w:szCs w:val="18"/>
          <w:color w:val="auto"/>
        </w:rPr>
      </w:pPr>
    </w:p>
    <w:p>
      <w:pPr>
        <w:ind w:left="660" w:right="540" w:hanging="328"/>
        <w:spacing w:after="0" w:line="261"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$1.8 million increase in third-party cloud infrastructure costs largely associated with the increased adoption of Tenable.io and Tenable Lumin;</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$0.4 million increase in the amortization of internal use software;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$0.4 million increase in the amortization of acquired intangible assets; and</w:t>
      </w:r>
    </w:p>
    <w:p>
      <w:pPr>
        <w:spacing w:after="0" w:line="63" w:lineRule="exact"/>
        <w:rPr>
          <w:rFonts w:ascii="Arial" w:cs="Arial" w:eastAsia="Arial" w:hAnsi="Arial"/>
          <w:sz w:val="18"/>
          <w:szCs w:val="18"/>
          <w:color w:val="auto"/>
        </w:rPr>
      </w:pPr>
    </w:p>
    <w:p>
      <w:pPr>
        <w:ind w:left="660" w:right="220" w:hanging="328"/>
        <w:spacing w:after="0" w:line="261"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$0.2 million increase in allocated overhead costs driven by both the increase in headcount and the overall increase in such costs on a year-over-year basis.</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Sales and Marketing</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720" w:type="dxa"/>
            <w:vAlign w:val="bottom"/>
            <w:gridSpan w:val="5"/>
          </w:tcPr>
          <w:p>
            <w:pPr>
              <w:ind w:left="60"/>
              <w:spacing w:after="0"/>
              <w:rPr>
                <w:sz w:val="20"/>
                <w:szCs w:val="20"/>
                <w:color w:val="auto"/>
              </w:rPr>
            </w:pPr>
            <w:r>
              <w:rPr>
                <w:rFonts w:ascii="Arial" w:cs="Arial" w:eastAsia="Arial" w:hAnsi="Arial"/>
                <w:sz w:val="16"/>
                <w:szCs w:val="16"/>
                <w:b w:val="1"/>
                <w:bCs w:val="1"/>
                <w:color w:val="auto"/>
              </w:rPr>
              <w:t>Three Months Ended June 30,</w:t>
            </w:r>
          </w:p>
        </w:tc>
        <w:tc>
          <w:tcPr>
            <w:tcW w:w="740" w:type="dxa"/>
            <w:vAlign w:val="bottom"/>
          </w:tcPr>
          <w:p>
            <w:pPr>
              <w:spacing w:after="0"/>
              <w:rPr>
                <w:sz w:val="19"/>
                <w:szCs w:val="19"/>
                <w:color w:val="auto"/>
              </w:rPr>
            </w:pPr>
          </w:p>
        </w:tc>
        <w:tc>
          <w:tcPr>
            <w:tcW w:w="1040" w:type="dxa"/>
            <w:vAlign w:val="bottom"/>
            <w:gridSpan w:val="3"/>
          </w:tcPr>
          <w:p>
            <w:pPr>
              <w:ind w:left="320"/>
              <w:spacing w:after="0"/>
              <w:rPr>
                <w:sz w:val="20"/>
                <w:szCs w:val="20"/>
                <w:color w:val="auto"/>
              </w:rPr>
            </w:pPr>
            <w:r>
              <w:rPr>
                <w:rFonts w:ascii="Arial" w:cs="Arial" w:eastAsia="Arial" w:hAnsi="Arial"/>
                <w:sz w:val="16"/>
                <w:szCs w:val="16"/>
                <w:b w:val="1"/>
                <w:bCs w:val="1"/>
                <w:color w:val="auto"/>
              </w:rPr>
              <w:t>Change</w:t>
            </w:r>
          </w:p>
        </w:tc>
        <w:tc>
          <w:tcPr>
            <w:tcW w:w="920" w:type="dxa"/>
            <w:vAlign w:val="bottom"/>
          </w:tcPr>
          <w:p>
            <w:pPr>
              <w:spacing w:after="0"/>
              <w:rPr>
                <w:sz w:val="19"/>
                <w:szCs w:val="19"/>
                <w:color w:val="auto"/>
              </w:rPr>
            </w:pP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20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2"/>
                <w:szCs w:val="22"/>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48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6"/>
                <w:szCs w:val="16"/>
                <w:b w:val="1"/>
                <w:bCs w:val="1"/>
                <w:color w:val="auto"/>
              </w:rPr>
              <w:t>(%)</w:t>
            </w:r>
          </w:p>
        </w:tc>
      </w:tr>
      <w:tr>
        <w:trPr>
          <w:trHeight w:val="256"/>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Sales and marketing</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55,443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56,015</w:t>
            </w: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535"/>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(572)</w:t>
            </w: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bl>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decrease in sales and marketing expense of $0.6 million was primarily due to:</w:t>
      </w:r>
    </w:p>
    <w:p>
      <w:pPr>
        <w:spacing w:after="0" w:line="117" w:lineRule="exact"/>
        <w:rPr>
          <w:sz w:val="20"/>
          <w:szCs w:val="20"/>
          <w:color w:val="auto"/>
        </w:rPr>
      </w:pPr>
    </w:p>
    <w:p>
      <w:pPr>
        <w:ind w:left="660" w:right="380" w:hanging="328"/>
        <w:spacing w:after="0" w:line="261"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$3.5 million decrease in expenses for demand generation programs, including advertising, sponsorships and brand awareness efforts aimed at acquiring new customers; and</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$3.1 million decrease in selling expenses, including a $2.8 million decrease in travel and meeting costs; partially offset by</w:t>
      </w:r>
    </w:p>
    <w:p>
      <w:pPr>
        <w:spacing w:after="0" w:line="63"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$4.1 million increase in personnel costs largely associated with an increase in headcount, including a $1.2 million increase in stock-based compensation;</w:t>
      </w:r>
    </w:p>
    <w:p>
      <w:pPr>
        <w:spacing w:after="0" w:line="35" w:lineRule="exact"/>
        <w:rPr>
          <w:rFonts w:ascii="Arial" w:cs="Arial" w:eastAsia="Arial" w:hAnsi="Arial"/>
          <w:sz w:val="18"/>
          <w:szCs w:val="18"/>
          <w:color w:val="auto"/>
        </w:rPr>
      </w:pPr>
    </w:p>
    <w:p>
      <w:pPr>
        <w:ind w:left="660" w:right="460" w:hanging="328"/>
        <w:spacing w:after="0" w:line="261"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$1.1 million increase in sales commissions, including sales commission draws, due to increased sales and the amortization of deferred commissions; and</w:t>
      </w:r>
    </w:p>
    <w:p>
      <w:pPr>
        <w:spacing w:after="0" w:line="35" w:lineRule="exact"/>
        <w:rPr>
          <w:rFonts w:ascii="Arial" w:cs="Arial" w:eastAsia="Arial" w:hAnsi="Arial"/>
          <w:sz w:val="18"/>
          <w:szCs w:val="18"/>
          <w:color w:val="auto"/>
        </w:rPr>
      </w:pPr>
    </w:p>
    <w:p>
      <w:pPr>
        <w:ind w:left="660" w:right="180" w:hanging="328"/>
        <w:spacing w:after="0" w:line="261"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$0.7 million increase in allocated overhead costs, driven by both the increase in headcount and the overall increase in such costs on a year-over-year basis.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and Development</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740" w:type="dxa"/>
            <w:vAlign w:val="bottom"/>
            <w:gridSpan w:val="5"/>
          </w:tcPr>
          <w:p>
            <w:pPr>
              <w:ind w:left="80"/>
              <w:spacing w:after="0"/>
              <w:rPr>
                <w:sz w:val="20"/>
                <w:szCs w:val="20"/>
                <w:color w:val="auto"/>
              </w:rPr>
            </w:pPr>
            <w:r>
              <w:rPr>
                <w:rFonts w:ascii="Arial" w:cs="Arial" w:eastAsia="Arial" w:hAnsi="Arial"/>
                <w:sz w:val="16"/>
                <w:szCs w:val="16"/>
                <w:b w:val="1"/>
                <w:bCs w:val="1"/>
                <w:color w:val="auto"/>
              </w:rPr>
              <w:t>Three Months Ended June 30,</w:t>
            </w:r>
          </w:p>
        </w:tc>
        <w:tc>
          <w:tcPr>
            <w:tcW w:w="320" w:type="dxa"/>
            <w:vAlign w:val="bottom"/>
          </w:tcPr>
          <w:p>
            <w:pPr>
              <w:spacing w:after="0"/>
              <w:rPr>
                <w:sz w:val="19"/>
                <w:szCs w:val="19"/>
                <w:color w:val="auto"/>
              </w:rPr>
            </w:pPr>
          </w:p>
        </w:tc>
        <w:tc>
          <w:tcPr>
            <w:tcW w:w="1440" w:type="dxa"/>
            <w:vAlign w:val="bottom"/>
            <w:gridSpan w:val="3"/>
          </w:tcPr>
          <w:p>
            <w:pPr>
              <w:ind w:left="720"/>
              <w:spacing w:after="0"/>
              <w:rPr>
                <w:sz w:val="20"/>
                <w:szCs w:val="20"/>
                <w:color w:val="auto"/>
              </w:rPr>
            </w:pPr>
            <w:r>
              <w:rPr>
                <w:rFonts w:ascii="Arial" w:cs="Arial" w:eastAsia="Arial" w:hAnsi="Arial"/>
                <w:sz w:val="16"/>
                <w:szCs w:val="16"/>
                <w:b w:val="1"/>
                <w:bCs w:val="1"/>
                <w:color w:val="auto"/>
              </w:rPr>
              <w:t>Change</w:t>
            </w:r>
          </w:p>
        </w:tc>
        <w:tc>
          <w:tcPr>
            <w:tcW w:w="900" w:type="dxa"/>
            <w:vAlign w:val="bottom"/>
          </w:tcPr>
          <w:p>
            <w:pPr>
              <w:spacing w:after="0"/>
              <w:rPr>
                <w:sz w:val="19"/>
                <w:szCs w:val="19"/>
                <w:color w:val="auto"/>
              </w:rPr>
            </w:pPr>
          </w:p>
        </w:tc>
      </w:tr>
      <w:tr>
        <w:trPr>
          <w:trHeight w:val="263"/>
        </w:trPr>
        <w:tc>
          <w:tcPr>
            <w:tcW w:w="564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20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6"/>
                <w:szCs w:val="16"/>
                <w:b w:val="1"/>
                <w:bCs w:val="1"/>
                <w:color w:val="auto"/>
              </w:rPr>
              <w:t>(%)</w:t>
            </w:r>
          </w:p>
        </w:tc>
      </w:tr>
      <w:tr>
        <w:trPr>
          <w:trHeight w:val="257"/>
        </w:trPr>
        <w:tc>
          <w:tcPr>
            <w:tcW w:w="5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25,310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21,698</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3,612</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bl>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in research and development expense of $3.6 million was primarily due to:</w:t>
      </w:r>
    </w:p>
    <w:p>
      <w:pPr>
        <w:spacing w:after="0" w:line="117" w:lineRule="exact"/>
        <w:rPr>
          <w:sz w:val="20"/>
          <w:szCs w:val="20"/>
          <w:color w:val="auto"/>
        </w:rPr>
      </w:pPr>
    </w:p>
    <w:p>
      <w:pPr>
        <w:ind w:left="660" w:right="20" w:hanging="328"/>
        <w:spacing w:after="0" w:line="261"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$4.3 million increase in personnel costs, including a $1.5 million increase in stock-based compensation and a $0.8 million decrease in development costs that were capitalized for internal use software; and</w:t>
      </w:r>
    </w:p>
    <w:p>
      <w:pPr>
        <w:spacing w:after="0" w:line="35" w:lineRule="exact"/>
        <w:rPr>
          <w:rFonts w:ascii="Arial" w:cs="Arial" w:eastAsia="Arial" w:hAnsi="Arial"/>
          <w:sz w:val="18"/>
          <w:szCs w:val="18"/>
          <w:color w:val="auto"/>
        </w:rPr>
      </w:pPr>
    </w:p>
    <w:p>
      <w:pPr>
        <w:ind w:left="660" w:right="180" w:hanging="328"/>
        <w:spacing w:after="0" w:line="261"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$0.6 million increase in allocated overhead costs, driven by both the increase in headcount and the overall increase in such costs on a year-over-year basis; partially offset by</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40" w:right="339" w:bottom="1440" w:gutter="0" w:footer="0" w:header="0"/>
        </w:sectPr>
      </w:pPr>
    </w:p>
    <w:bookmarkStart w:id="27" w:name="page28"/>
    <w:bookmarkEnd w:id="27"/>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$0.9 million decrease in travel and meeting costs;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$0.5 million decrease in third-party cloud infrastructure costs related to the development of new and future product offerings.</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General and Administrative</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740" w:type="dxa"/>
            <w:vAlign w:val="bottom"/>
            <w:gridSpan w:val="5"/>
          </w:tcPr>
          <w:p>
            <w:pPr>
              <w:ind w:left="80"/>
              <w:spacing w:after="0"/>
              <w:rPr>
                <w:sz w:val="20"/>
                <w:szCs w:val="20"/>
                <w:color w:val="auto"/>
              </w:rPr>
            </w:pPr>
            <w:r>
              <w:rPr>
                <w:rFonts w:ascii="Arial" w:cs="Arial" w:eastAsia="Arial" w:hAnsi="Arial"/>
                <w:sz w:val="16"/>
                <w:szCs w:val="16"/>
                <w:b w:val="1"/>
                <w:bCs w:val="1"/>
                <w:color w:val="auto"/>
              </w:rPr>
              <w:t>Three Months Ended June 30,</w:t>
            </w:r>
          </w:p>
        </w:tc>
        <w:tc>
          <w:tcPr>
            <w:tcW w:w="320" w:type="dxa"/>
            <w:vAlign w:val="bottom"/>
          </w:tcPr>
          <w:p>
            <w:pPr>
              <w:spacing w:after="0"/>
              <w:rPr>
                <w:sz w:val="19"/>
                <w:szCs w:val="19"/>
                <w:color w:val="auto"/>
              </w:rPr>
            </w:pPr>
          </w:p>
        </w:tc>
        <w:tc>
          <w:tcPr>
            <w:tcW w:w="1440" w:type="dxa"/>
            <w:vAlign w:val="bottom"/>
            <w:gridSpan w:val="3"/>
          </w:tcPr>
          <w:p>
            <w:pPr>
              <w:ind w:left="720"/>
              <w:spacing w:after="0"/>
              <w:rPr>
                <w:sz w:val="20"/>
                <w:szCs w:val="20"/>
                <w:color w:val="auto"/>
              </w:rPr>
            </w:pPr>
            <w:r>
              <w:rPr>
                <w:rFonts w:ascii="Arial" w:cs="Arial" w:eastAsia="Arial" w:hAnsi="Arial"/>
                <w:sz w:val="16"/>
                <w:szCs w:val="16"/>
                <w:b w:val="1"/>
                <w:bCs w:val="1"/>
                <w:color w:val="auto"/>
              </w:rPr>
              <w:t>Change</w:t>
            </w:r>
          </w:p>
        </w:tc>
        <w:tc>
          <w:tcPr>
            <w:tcW w:w="900" w:type="dxa"/>
            <w:vAlign w:val="bottom"/>
          </w:tcPr>
          <w:p>
            <w:pPr>
              <w:spacing w:after="0"/>
              <w:rPr>
                <w:sz w:val="19"/>
                <w:szCs w:val="19"/>
                <w:color w:val="auto"/>
              </w:rPr>
            </w:pPr>
          </w:p>
        </w:tc>
      </w:tr>
      <w:tr>
        <w:trPr>
          <w:trHeight w:val="263"/>
        </w:trPr>
        <w:tc>
          <w:tcPr>
            <w:tcW w:w="564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20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6"/>
                <w:szCs w:val="16"/>
                <w:b w:val="1"/>
                <w:bCs w:val="1"/>
                <w:color w:val="auto"/>
              </w:rPr>
              <w:t>(%)</w:t>
            </w:r>
          </w:p>
        </w:tc>
      </w:tr>
      <w:tr>
        <w:trPr>
          <w:trHeight w:val="257"/>
        </w:trPr>
        <w:tc>
          <w:tcPr>
            <w:tcW w:w="5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17,879</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15,987</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1,892</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bl>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in general and administrative expense of $1.9 million was primarily due to:</w:t>
      </w:r>
    </w:p>
    <w:p>
      <w:pPr>
        <w:spacing w:after="0" w:line="117" w:lineRule="exact"/>
        <w:rPr>
          <w:sz w:val="20"/>
          <w:szCs w:val="20"/>
          <w:color w:val="auto"/>
        </w:rPr>
      </w:pPr>
    </w:p>
    <w:p>
      <w:pPr>
        <w:ind w:left="660" w:hanging="328"/>
        <w:spacing w:after="0" w:line="261"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$2.4 million increase in personnel costs largely associated with an increase in headcount, including a $1.5 million increase in stock-based compensation; and</w:t>
      </w:r>
    </w:p>
    <w:p>
      <w:pPr>
        <w:spacing w:after="0" w:line="35" w:lineRule="exact"/>
        <w:rPr>
          <w:rFonts w:ascii="Arial" w:cs="Arial" w:eastAsia="Arial" w:hAnsi="Arial"/>
          <w:sz w:val="18"/>
          <w:szCs w:val="18"/>
          <w:color w:val="auto"/>
        </w:rPr>
      </w:pPr>
    </w:p>
    <w:p>
      <w:pPr>
        <w:ind w:left="660" w:right="180" w:hanging="328"/>
        <w:spacing w:after="0" w:line="261"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$0.2 million increase in allocated overhead costs, driven by both the increase in headcount and the overall increase in such costs on a year-over-year basis; partially offset by</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$0.6 million decrease in travel and meeting costs;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$0.4 million decrease in professional fees.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Six Months Ended June 30, 2020 and 2019</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80" w:type="dxa"/>
            <w:vAlign w:val="bottom"/>
            <w:gridSpan w:val="5"/>
          </w:tcPr>
          <w:p>
            <w:pPr>
              <w:ind w:left="120"/>
              <w:spacing w:after="0"/>
              <w:rPr>
                <w:sz w:val="20"/>
                <w:szCs w:val="20"/>
                <w:color w:val="auto"/>
              </w:rPr>
            </w:pPr>
            <w:r>
              <w:rPr>
                <w:rFonts w:ascii="Arial" w:cs="Arial" w:eastAsia="Arial" w:hAnsi="Arial"/>
                <w:sz w:val="16"/>
                <w:szCs w:val="16"/>
                <w:b w:val="1"/>
                <w:bCs w:val="1"/>
                <w:color w:val="auto"/>
              </w:rPr>
              <w:t>Six Months Ended June 30,</w:t>
            </w:r>
          </w:p>
        </w:tc>
        <w:tc>
          <w:tcPr>
            <w:tcW w:w="320" w:type="dxa"/>
            <w:vAlign w:val="bottom"/>
          </w:tcPr>
          <w:p>
            <w:pPr>
              <w:spacing w:after="0"/>
              <w:rPr>
                <w:sz w:val="19"/>
                <w:szCs w:val="19"/>
                <w:color w:val="auto"/>
              </w:rPr>
            </w:pPr>
          </w:p>
        </w:tc>
        <w:tc>
          <w:tcPr>
            <w:tcW w:w="1440" w:type="dxa"/>
            <w:vAlign w:val="bottom"/>
            <w:gridSpan w:val="3"/>
          </w:tcPr>
          <w:p>
            <w:pPr>
              <w:ind w:left="720"/>
              <w:spacing w:after="0"/>
              <w:rPr>
                <w:sz w:val="20"/>
                <w:szCs w:val="20"/>
                <w:color w:val="auto"/>
              </w:rPr>
            </w:pPr>
            <w:r>
              <w:rPr>
                <w:rFonts w:ascii="Arial" w:cs="Arial" w:eastAsia="Arial" w:hAnsi="Arial"/>
                <w:sz w:val="16"/>
                <w:szCs w:val="16"/>
                <w:b w:val="1"/>
                <w:bCs w:val="1"/>
                <w:color w:val="auto"/>
              </w:rPr>
              <w:t>Change</w:t>
            </w:r>
          </w:p>
        </w:tc>
        <w:tc>
          <w:tcPr>
            <w:tcW w:w="900" w:type="dxa"/>
            <w:vAlign w:val="bottom"/>
          </w:tcPr>
          <w:p>
            <w:pPr>
              <w:spacing w:after="0"/>
              <w:rPr>
                <w:sz w:val="19"/>
                <w:szCs w:val="19"/>
                <w:color w:val="auto"/>
              </w:rPr>
            </w:pPr>
          </w:p>
        </w:tc>
      </w:tr>
      <w:tr>
        <w:trPr>
          <w:trHeight w:val="263"/>
        </w:trPr>
        <w:tc>
          <w:tcPr>
            <w:tcW w:w="564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2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6"/>
                <w:szCs w:val="16"/>
                <w:b w:val="1"/>
                <w:bCs w:val="1"/>
                <w:color w:val="auto"/>
              </w:rPr>
              <w:t>(%)</w:t>
            </w:r>
          </w:p>
        </w:tc>
      </w:tr>
      <w:tr>
        <w:trPr>
          <w:trHeight w:val="257"/>
        </w:trPr>
        <w:tc>
          <w:tcPr>
            <w:tcW w:w="5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209,857</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165,685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44,172</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bl>
    <w:p>
      <w:pPr>
        <w:spacing w:after="0" w:line="215"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The increase in revenue of $44.2 million was comprised of increases in subscription revenue of $44.3 million and professional services and other revenue of $1.4 million, partially offset by a decrease in perpetual license and maintenance revenue of $1.5 million. Revenue from existing customers comprised 42% of the increase, while the remaining increase was due to revenue from new customers since July 1, 2019. International revenue increased $21.2 million, or 36%.</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Cost of Revenue, Gross Profit and Gross Margin</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780" w:type="dxa"/>
            <w:vAlign w:val="bottom"/>
            <w:gridSpan w:val="5"/>
          </w:tcPr>
          <w:p>
            <w:pPr>
              <w:ind w:left="160"/>
              <w:spacing w:after="0"/>
              <w:rPr>
                <w:sz w:val="20"/>
                <w:szCs w:val="20"/>
                <w:color w:val="auto"/>
              </w:rPr>
            </w:pPr>
            <w:r>
              <w:rPr>
                <w:rFonts w:ascii="Arial" w:cs="Arial" w:eastAsia="Arial" w:hAnsi="Arial"/>
                <w:sz w:val="16"/>
                <w:szCs w:val="16"/>
                <w:b w:val="1"/>
                <w:bCs w:val="1"/>
                <w:color w:val="auto"/>
              </w:rPr>
              <w:t>Six Months Ended June 30,</w:t>
            </w:r>
          </w:p>
        </w:tc>
        <w:tc>
          <w:tcPr>
            <w:tcW w:w="320" w:type="dxa"/>
            <w:vAlign w:val="bottom"/>
          </w:tcPr>
          <w:p>
            <w:pPr>
              <w:spacing w:after="0"/>
              <w:rPr>
                <w:sz w:val="19"/>
                <w:szCs w:val="19"/>
                <w:color w:val="auto"/>
              </w:rPr>
            </w:pPr>
          </w:p>
        </w:tc>
        <w:tc>
          <w:tcPr>
            <w:tcW w:w="1420" w:type="dxa"/>
            <w:vAlign w:val="bottom"/>
            <w:gridSpan w:val="3"/>
          </w:tcPr>
          <w:p>
            <w:pPr>
              <w:ind w:left="700"/>
              <w:spacing w:after="0"/>
              <w:rPr>
                <w:sz w:val="20"/>
                <w:szCs w:val="20"/>
                <w:color w:val="auto"/>
              </w:rPr>
            </w:pPr>
            <w:r>
              <w:rPr>
                <w:rFonts w:ascii="Arial" w:cs="Arial" w:eastAsia="Arial" w:hAnsi="Arial"/>
                <w:sz w:val="16"/>
                <w:szCs w:val="16"/>
                <w:b w:val="1"/>
                <w:bCs w:val="1"/>
                <w:color w:val="auto"/>
              </w:rPr>
              <w:t>Change</w:t>
            </w:r>
          </w:p>
        </w:tc>
        <w:tc>
          <w:tcPr>
            <w:tcW w:w="880" w:type="dxa"/>
            <w:vAlign w:val="bottom"/>
          </w:tcPr>
          <w:p>
            <w:pPr>
              <w:spacing w:after="0"/>
              <w:rPr>
                <w:sz w:val="19"/>
                <w:szCs w:val="19"/>
                <w:color w:val="auto"/>
              </w:rPr>
            </w:pPr>
          </w:p>
        </w:tc>
      </w:tr>
      <w:tr>
        <w:trPr>
          <w:trHeight w:val="263"/>
        </w:trPr>
        <w:tc>
          <w:tcPr>
            <w:tcW w:w="554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30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w:t>
            </w:r>
          </w:p>
        </w:tc>
      </w:tr>
      <w:tr>
        <w:trPr>
          <w:trHeight w:val="257"/>
        </w:trPr>
        <w:tc>
          <w:tcPr>
            <w:tcW w:w="5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37,843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27,144</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10,699</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63"/>
        </w:trPr>
        <w:tc>
          <w:tcPr>
            <w:tcW w:w="554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00" w:type="dxa"/>
            <w:vAlign w:val="bottom"/>
          </w:tcPr>
          <w:p>
            <w:pPr>
              <w:spacing w:after="0"/>
              <w:rPr>
                <w:sz w:val="22"/>
                <w:szCs w:val="22"/>
                <w:color w:val="auto"/>
              </w:rPr>
            </w:pPr>
          </w:p>
        </w:tc>
        <w:tc>
          <w:tcPr>
            <w:tcW w:w="1140" w:type="dxa"/>
            <w:vAlign w:val="bottom"/>
          </w:tcPr>
          <w:p>
            <w:pPr>
              <w:jc w:val="right"/>
              <w:ind w:right="114"/>
              <w:spacing w:after="0"/>
              <w:rPr>
                <w:sz w:val="20"/>
                <w:szCs w:val="20"/>
                <w:color w:val="auto"/>
              </w:rPr>
            </w:pPr>
            <w:r>
              <w:rPr>
                <w:rFonts w:ascii="Arial" w:cs="Arial" w:eastAsia="Arial" w:hAnsi="Arial"/>
                <w:sz w:val="18"/>
                <w:szCs w:val="18"/>
                <w:color w:val="auto"/>
              </w:rPr>
              <w:t>172,014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ind w:right="112"/>
              <w:spacing w:after="0"/>
              <w:rPr>
                <w:sz w:val="20"/>
                <w:szCs w:val="20"/>
                <w:color w:val="auto"/>
              </w:rPr>
            </w:pPr>
            <w:r>
              <w:rPr>
                <w:rFonts w:ascii="Arial" w:cs="Arial" w:eastAsia="Arial" w:hAnsi="Arial"/>
                <w:sz w:val="18"/>
                <w:szCs w:val="18"/>
                <w:color w:val="auto"/>
              </w:rPr>
              <w:t>138,541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33,473</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7"/>
        </w:trPr>
        <w:tc>
          <w:tcPr>
            <w:tcW w:w="5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bl>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in cost of revenue of $10.7 million was primarily due to:</w:t>
      </w:r>
    </w:p>
    <w:p>
      <w:pPr>
        <w:spacing w:after="0" w:line="117" w:lineRule="exact"/>
        <w:rPr>
          <w:sz w:val="20"/>
          <w:szCs w:val="20"/>
          <w:color w:val="auto"/>
        </w:rPr>
      </w:pPr>
    </w:p>
    <w:p>
      <w:pPr>
        <w:ind w:left="660" w:hanging="328"/>
        <w:spacing w:after="0" w:line="261"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$4.5 million increase in third-party cloud infrastructure costs largely associated with the increased adoption of Tenable.io, as well as the launch of Tenable Lumin;</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$4.0 million increase in personnel costs primarily due to increased headcount;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$0.9 million increase in the amortization of acquired intangible assets;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$0.8 million increase in the amortization of internal use software; and</w:t>
      </w:r>
    </w:p>
    <w:p>
      <w:pPr>
        <w:spacing w:after="0" w:line="63" w:lineRule="exact"/>
        <w:rPr>
          <w:rFonts w:ascii="Arial" w:cs="Arial" w:eastAsia="Arial" w:hAnsi="Arial"/>
          <w:sz w:val="18"/>
          <w:szCs w:val="18"/>
          <w:color w:val="auto"/>
        </w:rPr>
      </w:pPr>
    </w:p>
    <w:p>
      <w:pPr>
        <w:ind w:left="660" w:right="220" w:hanging="328"/>
        <w:spacing w:after="0" w:line="261"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$0.5 million increase in allocated overhead costs driven by both the increase in headcount and the overall increase in such costs on a year-over-year basis.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40" w:right="339" w:bottom="1440" w:gutter="0" w:footer="0" w:header="0"/>
        </w:sectPr>
      </w:pPr>
    </w:p>
    <w:bookmarkStart w:id="28" w:name="page29"/>
    <w:bookmarkEnd w:id="28"/>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Sales and Marketing</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80" w:type="dxa"/>
            <w:vAlign w:val="bottom"/>
            <w:gridSpan w:val="5"/>
          </w:tcPr>
          <w:p>
            <w:pPr>
              <w:ind w:left="120"/>
              <w:spacing w:after="0"/>
              <w:rPr>
                <w:sz w:val="20"/>
                <w:szCs w:val="20"/>
                <w:color w:val="auto"/>
              </w:rPr>
            </w:pPr>
            <w:r>
              <w:rPr>
                <w:rFonts w:ascii="Arial" w:cs="Arial" w:eastAsia="Arial" w:hAnsi="Arial"/>
                <w:sz w:val="16"/>
                <w:szCs w:val="16"/>
                <w:b w:val="1"/>
                <w:bCs w:val="1"/>
                <w:color w:val="auto"/>
              </w:rPr>
              <w:t>Six Months Ended June 30,</w:t>
            </w:r>
          </w:p>
        </w:tc>
        <w:tc>
          <w:tcPr>
            <w:tcW w:w="320" w:type="dxa"/>
            <w:vAlign w:val="bottom"/>
          </w:tcPr>
          <w:p>
            <w:pPr>
              <w:spacing w:after="0"/>
              <w:rPr>
                <w:sz w:val="19"/>
                <w:szCs w:val="19"/>
                <w:color w:val="auto"/>
              </w:rPr>
            </w:pPr>
          </w:p>
        </w:tc>
        <w:tc>
          <w:tcPr>
            <w:tcW w:w="1440" w:type="dxa"/>
            <w:vAlign w:val="bottom"/>
            <w:gridSpan w:val="3"/>
          </w:tcPr>
          <w:p>
            <w:pPr>
              <w:ind w:left="720"/>
              <w:spacing w:after="0"/>
              <w:rPr>
                <w:sz w:val="20"/>
                <w:szCs w:val="20"/>
                <w:color w:val="auto"/>
              </w:rPr>
            </w:pPr>
            <w:r>
              <w:rPr>
                <w:rFonts w:ascii="Arial" w:cs="Arial" w:eastAsia="Arial" w:hAnsi="Arial"/>
                <w:sz w:val="16"/>
                <w:szCs w:val="16"/>
                <w:b w:val="1"/>
                <w:bCs w:val="1"/>
                <w:color w:val="auto"/>
              </w:rPr>
              <w:t>Change</w:t>
            </w:r>
          </w:p>
        </w:tc>
        <w:tc>
          <w:tcPr>
            <w:tcW w:w="900" w:type="dxa"/>
            <w:vAlign w:val="bottom"/>
          </w:tcPr>
          <w:p>
            <w:pPr>
              <w:spacing w:after="0"/>
              <w:rPr>
                <w:sz w:val="19"/>
                <w:szCs w:val="19"/>
                <w:color w:val="auto"/>
              </w:rPr>
            </w:pPr>
          </w:p>
        </w:tc>
      </w:tr>
      <w:tr>
        <w:trPr>
          <w:trHeight w:val="263"/>
        </w:trPr>
        <w:tc>
          <w:tcPr>
            <w:tcW w:w="564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2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6"/>
                <w:szCs w:val="16"/>
                <w:b w:val="1"/>
                <w:bCs w:val="1"/>
                <w:color w:val="auto"/>
              </w:rPr>
              <w:t>(%)</w:t>
            </w:r>
          </w:p>
        </w:tc>
      </w:tr>
      <w:tr>
        <w:trPr>
          <w:trHeight w:val="257"/>
        </w:trPr>
        <w:tc>
          <w:tcPr>
            <w:tcW w:w="5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Sales and marketing</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115,298</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108,704</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6,594</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bl>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in sales and marketing expense of $6.6 million was primarily due to:</w:t>
      </w:r>
    </w:p>
    <w:p>
      <w:pPr>
        <w:spacing w:after="0" w:line="117" w:lineRule="exact"/>
        <w:rPr>
          <w:sz w:val="20"/>
          <w:szCs w:val="20"/>
          <w:color w:val="auto"/>
        </w:rPr>
      </w:pPr>
    </w:p>
    <w:p>
      <w:pPr>
        <w:ind w:left="660" w:hanging="328"/>
        <w:spacing w:after="0" w:line="261"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$8.8 million increase in personnel costs largely associated with an increase in headcount, including a $2.3 million increase in stock-based compensation;</w:t>
      </w:r>
    </w:p>
    <w:p>
      <w:pPr>
        <w:spacing w:after="0" w:line="35" w:lineRule="exact"/>
        <w:rPr>
          <w:rFonts w:ascii="Arial" w:cs="Arial" w:eastAsia="Arial" w:hAnsi="Arial"/>
          <w:sz w:val="18"/>
          <w:szCs w:val="18"/>
          <w:color w:val="auto"/>
        </w:rPr>
      </w:pPr>
    </w:p>
    <w:p>
      <w:pPr>
        <w:ind w:left="660" w:right="460" w:hanging="328"/>
        <w:spacing w:after="0" w:line="261"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$2.1 million increase in sales commissions, including sales commission draws, due to increased sales and the amortization of deferred commissions; and</w:t>
      </w:r>
    </w:p>
    <w:p>
      <w:pPr>
        <w:spacing w:after="0" w:line="35" w:lineRule="exact"/>
        <w:rPr>
          <w:rFonts w:ascii="Arial" w:cs="Arial" w:eastAsia="Arial" w:hAnsi="Arial"/>
          <w:sz w:val="18"/>
          <w:szCs w:val="18"/>
          <w:color w:val="auto"/>
        </w:rPr>
      </w:pPr>
    </w:p>
    <w:p>
      <w:pPr>
        <w:ind w:left="660" w:right="60" w:hanging="328"/>
        <w:spacing w:after="0" w:line="261"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$1.6 million increase in allocated overhead costs, primarily facilities costs, driven by both the increase in headcount and the overall increase in such costs on a year-over-year basis; partially offset by</w:t>
      </w:r>
    </w:p>
    <w:p>
      <w:pPr>
        <w:spacing w:after="0" w:line="35" w:lineRule="exact"/>
        <w:rPr>
          <w:rFonts w:ascii="Arial" w:cs="Arial" w:eastAsia="Arial" w:hAnsi="Arial"/>
          <w:sz w:val="18"/>
          <w:szCs w:val="18"/>
          <w:color w:val="auto"/>
        </w:rPr>
      </w:pPr>
    </w:p>
    <w:p>
      <w:pPr>
        <w:ind w:left="660" w:right="380" w:hanging="328"/>
        <w:spacing w:after="0" w:line="261"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$3.4 million decrease in expenses for demand generation programs, including advertising, sponsorships and brand awareness efforts aimed at acquiring new customers; and</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$2.8 million decrease in selling expenses, including a $2.4 million decrease in travel and meeting costs.</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and Development</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80" w:type="dxa"/>
            <w:vAlign w:val="bottom"/>
            <w:gridSpan w:val="5"/>
          </w:tcPr>
          <w:p>
            <w:pPr>
              <w:ind w:left="120"/>
              <w:spacing w:after="0"/>
              <w:rPr>
                <w:sz w:val="20"/>
                <w:szCs w:val="20"/>
                <w:color w:val="auto"/>
              </w:rPr>
            </w:pPr>
            <w:r>
              <w:rPr>
                <w:rFonts w:ascii="Arial" w:cs="Arial" w:eastAsia="Arial" w:hAnsi="Arial"/>
                <w:sz w:val="16"/>
                <w:szCs w:val="16"/>
                <w:b w:val="1"/>
                <w:bCs w:val="1"/>
                <w:color w:val="auto"/>
              </w:rPr>
              <w:t>Six Months Ended June 30,</w:t>
            </w:r>
          </w:p>
        </w:tc>
        <w:tc>
          <w:tcPr>
            <w:tcW w:w="320" w:type="dxa"/>
            <w:vAlign w:val="bottom"/>
          </w:tcPr>
          <w:p>
            <w:pPr>
              <w:spacing w:after="0"/>
              <w:rPr>
                <w:sz w:val="19"/>
                <w:szCs w:val="19"/>
                <w:color w:val="auto"/>
              </w:rPr>
            </w:pPr>
          </w:p>
        </w:tc>
        <w:tc>
          <w:tcPr>
            <w:tcW w:w="1440" w:type="dxa"/>
            <w:vAlign w:val="bottom"/>
            <w:gridSpan w:val="3"/>
          </w:tcPr>
          <w:p>
            <w:pPr>
              <w:ind w:left="720"/>
              <w:spacing w:after="0"/>
              <w:rPr>
                <w:sz w:val="20"/>
                <w:szCs w:val="20"/>
                <w:color w:val="auto"/>
              </w:rPr>
            </w:pPr>
            <w:r>
              <w:rPr>
                <w:rFonts w:ascii="Arial" w:cs="Arial" w:eastAsia="Arial" w:hAnsi="Arial"/>
                <w:sz w:val="16"/>
                <w:szCs w:val="16"/>
                <w:b w:val="1"/>
                <w:bCs w:val="1"/>
                <w:color w:val="auto"/>
              </w:rPr>
              <w:t>Change</w:t>
            </w:r>
          </w:p>
        </w:tc>
        <w:tc>
          <w:tcPr>
            <w:tcW w:w="900" w:type="dxa"/>
            <w:vAlign w:val="bottom"/>
          </w:tcPr>
          <w:p>
            <w:pPr>
              <w:spacing w:after="0"/>
              <w:rPr>
                <w:sz w:val="19"/>
                <w:szCs w:val="19"/>
                <w:color w:val="auto"/>
              </w:rPr>
            </w:pPr>
          </w:p>
        </w:tc>
      </w:tr>
      <w:tr>
        <w:trPr>
          <w:trHeight w:val="263"/>
        </w:trPr>
        <w:tc>
          <w:tcPr>
            <w:tcW w:w="564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2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6"/>
                <w:szCs w:val="16"/>
                <w:b w:val="1"/>
                <w:bCs w:val="1"/>
                <w:color w:val="auto"/>
              </w:rPr>
              <w:t>(%)</w:t>
            </w:r>
          </w:p>
        </w:tc>
      </w:tr>
      <w:tr>
        <w:trPr>
          <w:trHeight w:val="257"/>
        </w:trPr>
        <w:tc>
          <w:tcPr>
            <w:tcW w:w="5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52,141</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43,633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8,508</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bl>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in research and development expense of $8.5 million was primarily due to:</w:t>
      </w:r>
    </w:p>
    <w:p>
      <w:pPr>
        <w:spacing w:after="0" w:line="117" w:lineRule="exact"/>
        <w:rPr>
          <w:sz w:val="20"/>
          <w:szCs w:val="20"/>
          <w:color w:val="auto"/>
        </w:rPr>
      </w:pPr>
    </w:p>
    <w:p>
      <w:pPr>
        <w:ind w:left="660" w:hanging="328"/>
        <w:spacing w:after="0" w:line="261"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$7.5 million increase in personnel costs largely associated with an increase in headcount, including a $2.3 million increase in stock-based compensation and a $2.0 million decrease in development costs that were capitalized for internal use software;</w:t>
      </w:r>
    </w:p>
    <w:p>
      <w:pPr>
        <w:spacing w:after="0" w:line="35" w:lineRule="exact"/>
        <w:rPr>
          <w:rFonts w:ascii="Arial" w:cs="Arial" w:eastAsia="Arial" w:hAnsi="Arial"/>
          <w:sz w:val="18"/>
          <w:szCs w:val="18"/>
          <w:color w:val="auto"/>
        </w:rPr>
      </w:pPr>
    </w:p>
    <w:p>
      <w:pPr>
        <w:ind w:left="660" w:right="60" w:hanging="328"/>
        <w:spacing w:after="0" w:line="261"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$1.3 million increase in allocated overhead costs, primarily facilities costs, driven by both the increase in headcount and the overall increase in such costs on a year-over-year basis; and</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$0.4 million increase in software costs; partially offset by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$0.8 million decrease in third-party cloud infrastructure costs related to the development of new and future product offerings.</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General and Administrative</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80" w:type="dxa"/>
            <w:vAlign w:val="bottom"/>
            <w:gridSpan w:val="5"/>
          </w:tcPr>
          <w:p>
            <w:pPr>
              <w:ind w:left="120"/>
              <w:spacing w:after="0"/>
              <w:rPr>
                <w:sz w:val="20"/>
                <w:szCs w:val="20"/>
                <w:color w:val="auto"/>
              </w:rPr>
            </w:pPr>
            <w:r>
              <w:rPr>
                <w:rFonts w:ascii="Arial" w:cs="Arial" w:eastAsia="Arial" w:hAnsi="Arial"/>
                <w:sz w:val="16"/>
                <w:szCs w:val="16"/>
                <w:b w:val="1"/>
                <w:bCs w:val="1"/>
                <w:color w:val="auto"/>
              </w:rPr>
              <w:t>Six Months Ended June 30,</w:t>
            </w:r>
          </w:p>
        </w:tc>
        <w:tc>
          <w:tcPr>
            <w:tcW w:w="320" w:type="dxa"/>
            <w:vAlign w:val="bottom"/>
          </w:tcPr>
          <w:p>
            <w:pPr>
              <w:spacing w:after="0"/>
              <w:rPr>
                <w:sz w:val="19"/>
                <w:szCs w:val="19"/>
                <w:color w:val="auto"/>
              </w:rPr>
            </w:pPr>
          </w:p>
        </w:tc>
        <w:tc>
          <w:tcPr>
            <w:tcW w:w="1440" w:type="dxa"/>
            <w:vAlign w:val="bottom"/>
            <w:gridSpan w:val="3"/>
          </w:tcPr>
          <w:p>
            <w:pPr>
              <w:ind w:left="720"/>
              <w:spacing w:after="0"/>
              <w:rPr>
                <w:sz w:val="20"/>
                <w:szCs w:val="20"/>
                <w:color w:val="auto"/>
              </w:rPr>
            </w:pPr>
            <w:r>
              <w:rPr>
                <w:rFonts w:ascii="Arial" w:cs="Arial" w:eastAsia="Arial" w:hAnsi="Arial"/>
                <w:sz w:val="16"/>
                <w:szCs w:val="16"/>
                <w:b w:val="1"/>
                <w:bCs w:val="1"/>
                <w:color w:val="auto"/>
              </w:rPr>
              <w:t>Change</w:t>
            </w:r>
          </w:p>
        </w:tc>
        <w:tc>
          <w:tcPr>
            <w:tcW w:w="900" w:type="dxa"/>
            <w:vAlign w:val="bottom"/>
          </w:tcPr>
          <w:p>
            <w:pPr>
              <w:spacing w:after="0"/>
              <w:rPr>
                <w:sz w:val="19"/>
                <w:szCs w:val="19"/>
                <w:color w:val="auto"/>
              </w:rPr>
            </w:pPr>
          </w:p>
        </w:tc>
      </w:tr>
      <w:tr>
        <w:trPr>
          <w:trHeight w:val="263"/>
        </w:trPr>
        <w:tc>
          <w:tcPr>
            <w:tcW w:w="564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2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6"/>
                <w:szCs w:val="16"/>
                <w:b w:val="1"/>
                <w:bCs w:val="1"/>
                <w:color w:val="auto"/>
              </w:rPr>
              <w:t>(%)</w:t>
            </w:r>
          </w:p>
        </w:tc>
      </w:tr>
      <w:tr>
        <w:trPr>
          <w:trHeight w:val="257"/>
        </w:trPr>
        <w:tc>
          <w:tcPr>
            <w:tcW w:w="5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36,812</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31,123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5,689</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bl>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in general and administrative expense of $5.7 million was primarily due to:</w:t>
      </w:r>
    </w:p>
    <w:p>
      <w:pPr>
        <w:spacing w:after="0" w:line="63" w:lineRule="exact"/>
        <w:rPr>
          <w:sz w:val="20"/>
          <w:szCs w:val="20"/>
          <w:color w:val="auto"/>
        </w:rPr>
      </w:pPr>
    </w:p>
    <w:p>
      <w:pPr>
        <w:ind w:left="660" w:hanging="328"/>
        <w:spacing w:after="0" w:line="261"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$5.0 million increase in personnel costs largely associated with an increase in headcount, including a $3.1 million increase in stock-based compensation;</w:t>
      </w:r>
    </w:p>
    <w:p>
      <w:pPr>
        <w:spacing w:after="0" w:line="35" w:lineRule="exact"/>
        <w:rPr>
          <w:rFonts w:ascii="Arial" w:cs="Arial" w:eastAsia="Arial" w:hAnsi="Arial"/>
          <w:sz w:val="18"/>
          <w:szCs w:val="18"/>
          <w:color w:val="auto"/>
        </w:rPr>
      </w:pPr>
    </w:p>
    <w:p>
      <w:pPr>
        <w:ind w:left="660" w:right="60" w:hanging="328"/>
        <w:spacing w:after="0" w:line="261"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$0.7 million increase in allocated overhead costs, primarily facilities costs, driven by both the increase in headcount and the overall increase in such costs on a year-over-year basis; and</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$0.3 million increase in acquisition-related expenses; partially offset by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$0.7 million decrease in travel and meeting costs.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40" w:right="339" w:bottom="1440" w:gutter="0" w:footer="0" w:header="0"/>
        </w:sectPr>
      </w:pPr>
    </w:p>
    <w:bookmarkStart w:id="29" w:name="page30"/>
    <w:bookmarkEnd w:id="29"/>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47" w:lineRule="exact"/>
        <w:rPr>
          <w:sz w:val="20"/>
          <w:szCs w:val="20"/>
          <w:color w:val="auto"/>
        </w:rPr>
      </w:pPr>
    </w:p>
    <w:p>
      <w:pPr>
        <w:ind w:right="100" w:firstLine="324"/>
        <w:spacing w:after="0" w:line="291" w:lineRule="auto"/>
        <w:rPr>
          <w:sz w:val="20"/>
          <w:szCs w:val="20"/>
          <w:color w:val="auto"/>
        </w:rPr>
      </w:pPr>
      <w:r>
        <w:rPr>
          <w:rFonts w:ascii="Arial" w:cs="Arial" w:eastAsia="Arial" w:hAnsi="Arial"/>
          <w:sz w:val="17"/>
          <w:szCs w:val="17"/>
          <w:color w:val="auto"/>
        </w:rPr>
        <w:t>At June 30, 2020, we had cash and cash equivalents, which consisted of bank deposits and money market funds, of $136.5 million and short-term investments, which consisted of commercial paper, U.S. Treasury and agency obligations and corporate bonds, of $105.6 million.</w:t>
      </w:r>
    </w:p>
    <w:p>
      <w:pPr>
        <w:spacing w:after="0" w:line="174"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Since our inception and prior to our IPO, we financed our operations through cash provided by operations, including payments received from customers using our software products and services, and we did not raise any primary institutional capital. The proceeds of our Series A and Series B redeemable convertible preferred stock financings were used to repurchase shares of capital stock from former stockholders. We have generated significant operating losses from our operations as reflected by our accumulated deficit of $600.1 million at June 30, 2020.</w:t>
      </w:r>
    </w:p>
    <w:p>
      <w:pPr>
        <w:spacing w:after="0" w:line="205"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We typically invoice our customers annually in advance and, to a lesser extent, multi-year in advance. Therefore, a substantial source of our cash is from such prepayments, which are included on our consolidated balance sheets as deferred revenue. Deferred revenue consists primarily of the unearned portion of billed fees for our subscriptions and perpetual licenses, which is subsequently recognized as revenue in accordance with our revenue recognition policy. At June 30, 2020, we had deferred revenue of $365.3 million, of which $275.0 million was recorded as a current liability and is expected to be recorded as revenue in the next 12 months, provided all other revenue recognition criteria are met.</w:t>
      </w:r>
    </w:p>
    <w:p>
      <w:pPr>
        <w:spacing w:after="0" w:line="208" w:lineRule="exact"/>
        <w:rPr>
          <w:sz w:val="20"/>
          <w:szCs w:val="20"/>
          <w:color w:val="auto"/>
        </w:rPr>
      </w:pPr>
    </w:p>
    <w:p>
      <w:pPr>
        <w:ind w:right="120" w:firstLine="324"/>
        <w:spacing w:after="0" w:line="251" w:lineRule="auto"/>
        <w:rPr>
          <w:sz w:val="20"/>
          <w:szCs w:val="20"/>
          <w:color w:val="auto"/>
        </w:rPr>
      </w:pPr>
      <w:r>
        <w:rPr>
          <w:rFonts w:ascii="Arial" w:cs="Arial" w:eastAsia="Arial" w:hAnsi="Arial"/>
          <w:sz w:val="18"/>
          <w:szCs w:val="18"/>
          <w:color w:val="auto"/>
        </w:rPr>
        <w:t>Our principal uses of cash in recent periods have been funding our operations, expansion of our sales and marketing and research and development activities, investments in infrastructure, including the build-out of our new headquarters, and acquiring complementary businesses and technology. We expect to continue incurring operating losses in the near term. Even though we generated positive cash flows from operations and free cash flow in the six months ended June 30, 2020, we may not be able to sustain these cash flows in the near term. We believe that our existing cash and cash equivalents and short-term investments will be sufficient to fund our operating and capital needs for at least the next 12 months. Our future capital requirements will depend on many factors, including our revenue growth rate, subscription renewal activity, the timing and extent of spending to support further infrastructure and research and development efforts, the timing and extent of additional capital expenditures to invest in new and existing office spaces, the expansion of sales and marketing and international operating activities, the timing of our introduction of new product capabilities and enhancements of our platform and the continuing market acceptance of our platform. In the second half of 2020, we expect capital expenditures related to our new corporate headquarters to be approximately $8 million and we expect to receive approximately $6 million in tenant improvement reimbursements, resulting in a net outflow of approximately $2 million related to the project.</w:t>
      </w:r>
    </w:p>
    <w:p>
      <w:pPr>
        <w:spacing w:after="0" w:line="210" w:lineRule="exact"/>
        <w:rPr>
          <w:sz w:val="20"/>
          <w:szCs w:val="20"/>
          <w:color w:val="auto"/>
        </w:rPr>
      </w:pPr>
    </w:p>
    <w:p>
      <w:pPr>
        <w:jc w:val="both"/>
        <w:ind w:right="40" w:firstLine="324"/>
        <w:spacing w:after="0" w:line="252" w:lineRule="auto"/>
        <w:rPr>
          <w:sz w:val="20"/>
          <w:szCs w:val="20"/>
          <w:color w:val="auto"/>
        </w:rPr>
      </w:pPr>
      <w:r>
        <w:rPr>
          <w:rFonts w:ascii="Arial" w:cs="Arial" w:eastAsia="Arial" w:hAnsi="Arial"/>
          <w:sz w:val="18"/>
          <w:szCs w:val="18"/>
          <w:color w:val="auto"/>
        </w:rPr>
        <w:t>The extent to which the COVID-19 pandemic will impact our business and operations will depend on future developments that are highly uncertain and cannot be predicted with confidence, such as the ultimate geographic spread of the disease, the duration of the outbreak, the duration and effect of business disruptions and the short-term effects and ultimate effectiveness of the travel restrictions, quarantines, social distancing requirements and business closures in the United States and other countries to contain and treat the disease. We also do not yet know the full effects of COVID-19 pandemic may have on our partners, customers and service providers. Accordingly, the current results and financial conditions discussed herein may not be indicative of our future operating results and trends. See the section titled “Risk Factors” in Part II, Item 1A of this Form 10-Q.</w:t>
      </w:r>
    </w:p>
    <w:p>
      <w:pPr>
        <w:spacing w:after="0" w:line="207"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We may in the future enter into arrangements to acquire or invest in complementary businesses, services and technologies, including intellectual property rights. We may be required to seek equity or debt financing. In the event that financing is required from outside sources, we may not be able to raise it on terms acceptable to us or at all. If we are unable to raise additional capital when desired, or if we cannot expand our operations or otherwise capitalize on our business opportunities because we lack sufficient capital, our business, operating results and financial condition would be adversely affected.</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Credit Facility</w:t>
      </w:r>
    </w:p>
    <w:p>
      <w:pPr>
        <w:spacing w:after="0" w:line="247"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In May 2017, we entered into a $25.0 million revolving credit facility ("2017 Credit Facility") with Silicon Valley Bank ("SVB"). To date, we have not had any amounts outstanding under the 2017 Credit Facility. In July 2020, the maturity date of the 2017 Credit Facility was extended to August 3, 2020. In April 2020, the 2017 Credit Facility was amended to</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40" w:right="339" w:bottom="1440" w:gutter="0" w:footer="0" w:header="0"/>
        </w:sectPr>
      </w:pPr>
    </w:p>
    <w:bookmarkStart w:id="30" w:name="page31"/>
    <w:bookmarkEnd w:id="30"/>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increase the maximum amount of letters of credit that may be issued from $5.0 million to $6.5 million. At June 30, 2020, our borrowing capacity was reduced by $5.5 million related to standby letters of credit.</w:t>
      </w:r>
    </w:p>
    <w:p>
      <w:pPr>
        <w:spacing w:after="0" w:line="198"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The 2017 Credit Facility contains customary conditions to borrowing, events of default and covenants, including restrictions on indebtedness, liens, acquisitions and investments, restricted payments and dispositions. If, as of the last day of any quarter, the outstanding balance exceeds $5.0 million, there are financial covenants that require us to maintain a minimum level of earnings before income taxes, interest, depreciation and amortization adjusted to add changes in deferred revenue in the period and a minimum current ratio level. We were in compliance with all covenants at June 30, 2020.</w:t>
      </w:r>
    </w:p>
    <w:p>
      <w:pPr>
        <w:spacing w:after="0" w:line="205"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In July 2020, we entered into a new $45.0 million senior secured facility (“2020 Credit Facility”) with SVB in connection with the expiration of the 2017 Credit Facility. The 2020 Credit Facility bears interest at either LIBOR plus 2%, with a 1% LIBOR floor, or the ABR plus 1%, and terminates on July 24, 2022. A commitment fee of 0.35% per annum is payable quarterly in arrears based on the unused portion. The 2020 Credit Facility includes a $ 45.0 million uncommitted expansion and has a financial covenant requiring a minimum consolidated quick ratio of at least 1.5:1.0 on the last day of any quarter. We do not currently intend to draw on the 2020 Credit Facility.</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9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4"/>
          </w:tcPr>
          <w:p>
            <w:pPr>
              <w:jc w:val="right"/>
              <w:ind w:right="492"/>
              <w:spacing w:after="0"/>
              <w:rPr>
                <w:sz w:val="20"/>
                <w:szCs w:val="20"/>
                <w:color w:val="auto"/>
              </w:rPr>
            </w:pPr>
            <w:r>
              <w:rPr>
                <w:rFonts w:ascii="Arial" w:cs="Arial" w:eastAsia="Arial" w:hAnsi="Arial"/>
                <w:sz w:val="16"/>
                <w:szCs w:val="16"/>
                <w:b w:val="1"/>
                <w:bCs w:val="1"/>
                <w:color w:val="auto"/>
              </w:rPr>
              <w:t>Six Months Ended June 30,</w:t>
            </w:r>
          </w:p>
        </w:tc>
      </w:tr>
      <w:tr>
        <w:trPr>
          <w:trHeight w:val="263"/>
        </w:trPr>
        <w:tc>
          <w:tcPr>
            <w:tcW w:w="798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2019</w:t>
            </w:r>
          </w:p>
        </w:tc>
      </w:tr>
      <w:tr>
        <w:trPr>
          <w:trHeight w:val="257"/>
        </w:trPr>
        <w:tc>
          <w:tcPr>
            <w:tcW w:w="7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(used in) operating activities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21,491</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(2,997)</w:t>
            </w:r>
          </w:p>
        </w:tc>
      </w:tr>
      <w:tr>
        <w:trPr>
          <w:trHeight w:val="263"/>
        </w:trPr>
        <w:tc>
          <w:tcPr>
            <w:tcW w:w="7980" w:type="dxa"/>
            <w:vAlign w:val="bottom"/>
          </w:tcPr>
          <w:p>
            <w:pPr>
              <w:ind w:left="40"/>
              <w:spacing w:after="0"/>
              <w:rPr>
                <w:sz w:val="20"/>
                <w:szCs w:val="20"/>
                <w:color w:val="auto"/>
              </w:rPr>
            </w:pPr>
            <w:r>
              <w:rPr>
                <w:rFonts w:ascii="Arial" w:cs="Arial" w:eastAsia="Arial" w:hAnsi="Arial"/>
                <w:sz w:val="18"/>
                <w:szCs w:val="18"/>
                <w:color w:val="auto"/>
              </w:rPr>
              <w:t>Net cash provided by investing activities</w:t>
            </w:r>
          </w:p>
        </w:tc>
        <w:tc>
          <w:tcPr>
            <w:tcW w:w="360" w:type="dxa"/>
            <w:vAlign w:val="bottom"/>
          </w:tcPr>
          <w:p>
            <w:pPr>
              <w:spacing w:after="0"/>
              <w:rPr>
                <w:sz w:val="22"/>
                <w:szCs w:val="22"/>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21,763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2,962</w:t>
            </w:r>
          </w:p>
        </w:tc>
      </w:tr>
      <w:tr>
        <w:trPr>
          <w:trHeight w:val="277"/>
        </w:trPr>
        <w:tc>
          <w:tcPr>
            <w:tcW w:w="7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20,273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21,298</w:t>
            </w:r>
          </w:p>
        </w:tc>
      </w:tr>
      <w:tr>
        <w:trPr>
          <w:trHeight w:val="263"/>
        </w:trPr>
        <w:tc>
          <w:tcPr>
            <w:tcW w:w="79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Effect of exchange rate changes on cash and cash equivalents and restricted cash</w:t>
            </w: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w:t>
            </w:r>
          </w:p>
        </w:tc>
      </w:tr>
      <w:tr>
        <w:trPr>
          <w:trHeight w:val="257"/>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in cash and cash equivalents and restricted cash</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62,064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20,547</w:t>
            </w:r>
          </w:p>
        </w:tc>
      </w:tr>
      <w:tr>
        <w:trPr>
          <w:trHeight w:val="20"/>
        </w:trPr>
        <w:tc>
          <w:tcPr>
            <w:tcW w:w="7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Operating Activities</w:t>
      </w:r>
    </w:p>
    <w:p>
      <w:pPr>
        <w:spacing w:after="0" w:line="243"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In the six months ended June 30, 2020, net cash provided by operating activities was $21.5 million, which primarily consisted of our $34.9 million loss, adjusted for stock-based compensation expense of $28.7 million and depreciation and amortization of $5.3 million, as well as a net cash inflow of $21.9 million from changes in operating assets and liabilities. The net inflow from changes in operating assets and liabilities was primarily due to a $13.5 million decrease in accounts receivable due to collections from customers, $8.6 million in proceeds from lease incentives, partially offset by a $5.3 million decrease in accrued compensation, which included quarterly bonuses and commissions earned in the fourth quarter of 2019 that were paid in the first quarter of 2020.</w:t>
      </w:r>
    </w:p>
    <w:p>
      <w:pPr>
        <w:spacing w:after="0" w:line="208"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In the six months ended June 30, 2019, net cash used in operating activities was $3.0 million, which primarily consisted of our $43.1 million loss, adjusted for stock-based compensation expense of $ 20.7 million and depreciation and amortization of $3.1 million, as well as a net cash inflow of $17.3 million from changes in operating assets and liabilities. The net inflow from changes in operating assets and liabilities was primarily due to a $17.4 million increase in deferred revenue from increased subscription sales, as a majority of our customers are invoiced in advance.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Investing Activities</w:t>
      </w:r>
    </w:p>
    <w:p>
      <w:pPr>
        <w:spacing w:after="0" w:line="243"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Net cash provided by investing activities increased by $18.8 million, primarily due to a $24.5 million increase in sales and maturities, net of purchases, of short-term investments in commercial paper, U.S. Treasury and agency obligations and corporate bonds, partially offset by a $5.7 million increase in purchases of property and equipment.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40" w:right="339" w:bottom="1440" w:gutter="0" w:footer="0" w:header="0"/>
        </w:sectPr>
      </w:pPr>
    </w:p>
    <w:bookmarkStart w:id="31" w:name="page32"/>
    <w:bookmarkEnd w:id="31"/>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Financing Activities</w:t>
      </w:r>
    </w:p>
    <w:p>
      <w:pPr>
        <w:spacing w:after="0" w:line="243"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Net cash provided by financing activities decreased by $1.0 million, primarily due to $1.8 million and $1.3 million of decreases in proceeds from stock issued in connection with the exercise of stock options and the employee stock purchase plan, respectively, which were partially offset by the $2.0 million of loan proceeds that we received from the state of Maryland in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June 30, 2020, there were no material changes in our contractual obligations and commitments from those disclosed in our 10-K.</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47"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At June 30, 2020, we did not have any relationships with unconsolidated organizations or financial partnerships, such as structured finance or special purpose entities, which would have been established for the purpose of facilitating off-balance sheet arrangements or other contractually narrow or limited purposes.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47"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Our financial statements are prepared in accordance with U.S. GAAP. The preparation of these financial statements requires us to make estimates and assumptions that affect the reported amounts of assets, liabilities, revenue and expenses, as well as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have been no material changes to our critical accounting policies and estimates as described in our 10-K.</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Refer to Note 1 to our consolidated financial statements for more information regarding recently issued accounting pronouncements.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320" w:top="140" w:right="359" w:bottom="1440" w:gutter="0" w:footer="0" w:header="0"/>
        </w:sectPr>
      </w:pPr>
    </w:p>
    <w:bookmarkStart w:id="32" w:name="page33"/>
    <w:bookmarkEnd w:id="32"/>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47" w:lineRule="exact"/>
        <w:rPr>
          <w:sz w:val="20"/>
          <w:szCs w:val="20"/>
          <w:color w:val="auto"/>
        </w:rPr>
      </w:pPr>
    </w:p>
    <w:p>
      <w:pPr>
        <w:ind w:right="240" w:firstLine="324"/>
        <w:spacing w:after="0" w:line="261" w:lineRule="auto"/>
        <w:rPr>
          <w:sz w:val="20"/>
          <w:szCs w:val="20"/>
          <w:color w:val="auto"/>
        </w:rPr>
      </w:pPr>
      <w:r>
        <w:rPr>
          <w:rFonts w:ascii="Arial" w:cs="Arial" w:eastAsia="Arial" w:hAnsi="Arial"/>
          <w:sz w:val="18"/>
          <w:szCs w:val="18"/>
          <w:color w:val="auto"/>
        </w:rPr>
        <w:t>We are exposed to market risks in the ordinary course of our business, including interest rate, foreign currency exchange and inflation risks.</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47"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At June 30, 2020, we had cash and cash equivalents, which consisted of cash deposits and money market funds, of $136.5 million. We also had short-term investments, which consisted of commercial paper, U.S. treasury and agency securities and corporate bonds, of $105.6 million. Our investments are carried at their fair market values with cumulative unrealized gains or losses recorded as a component of accumulated other comprehensive income (loss) within stockholders' equity. The primary objectives of our investment activities are the preservation of capital, the fulfillment of liquidity needs and the fiduciary control of cash and investments. We do not enter into investments for trading or speculative purposes. Interest-earning instruments carry a degree of interest rate risk; however, a hypothetical 10% change in interest rates during any of the periods presented would not have had a material impact on our financial statements.</w:t>
      </w:r>
    </w:p>
    <w:p>
      <w:pPr>
        <w:spacing w:after="0" w:line="20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have not had any amounts outstanding under the revolving credit facility since it was established in May 2017. Any borrowings under the revolving credit facility would bear interest at a variable rate tied to the prime rate or the LIBOR rate. We do not have any other long-term debt or financial liabilities with floating interest rates that would subject us to interest rate fluctuations.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47" w:lineRule="exact"/>
        <w:rPr>
          <w:sz w:val="20"/>
          <w:szCs w:val="20"/>
          <w:color w:val="auto"/>
        </w:rPr>
      </w:pPr>
    </w:p>
    <w:p>
      <w:pPr>
        <w:ind w:right="120" w:firstLine="324"/>
        <w:spacing w:after="0" w:line="252" w:lineRule="auto"/>
        <w:rPr>
          <w:sz w:val="20"/>
          <w:szCs w:val="20"/>
          <w:color w:val="auto"/>
        </w:rPr>
      </w:pPr>
      <w:r>
        <w:rPr>
          <w:rFonts w:ascii="Arial" w:cs="Arial" w:eastAsia="Arial" w:hAnsi="Arial"/>
          <w:sz w:val="18"/>
          <w:szCs w:val="18"/>
          <w:color w:val="auto"/>
        </w:rPr>
        <w:t>Substantially all of our sales contracts are denominated in U.S. dollars, with a limited number of contracts denominated in foreign currencies, including foreign denominated leases. A portion of our operating expenses are incurred outside the United States, denominated in foreign currencies and subject to fluctuations due to changes in foreign currency exchange rates, particularly changes in the Euro, British Pound and Australian dollar. Additionally, fluctuations in foreign currency exchange rates may cause us to recognize remeasurement and transaction gains (losses) in our consolidated statements of operations. As the impact of foreign currency exchange rates has not been material to our historical operating results, we have not entered into derivative or hedging transactions, but we may do so in the future if our exposure to foreign currency becomes more significant.</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Inflation Risk</w:t>
      </w:r>
    </w:p>
    <w:p>
      <w:pPr>
        <w:spacing w:after="0" w:line="247"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We do not believe that inflation has had a material effect on our business, results of operations, or financial condition. Nonetheless, if our costs were to become subject to significant inflationary pressures, we may not be able to fully offset such higher costs. Our inability or failure to do so could harm our business, results of operations, or financial condition.</w:t>
      </w:r>
    </w:p>
    <w:p>
      <w:pPr>
        <w:spacing w:after="0" w:line="18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47"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We maintain “disclosure controls and procedures,” as defined in Rule 13a-15(e) and Rule 15d-15(e) under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spacing w:after="0" w:line="208"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Our management, with the participation of our Chief Executive Officer and Chief Financial Officer, has evaluated the effectiveness of our disclosure controls and procedures (as defined in Rules 13a-15(e) and 15d-15(e) under the Exchange Act ), as of the end of the period covered by this Form 10-Q. Based on such evaluation, our Chief Executive Officer and Chief Financial Officer have concluded that as of June 30, 2020, our disclosure controls and procedures were effective to</w:t>
      </w:r>
    </w:p>
    <w:p>
      <w:pPr>
        <w:spacing w:after="0" w:line="200" w:lineRule="exact"/>
        <w:rPr>
          <w:sz w:val="20"/>
          <w:szCs w:val="20"/>
          <w:color w:val="auto"/>
        </w:rPr>
      </w:pP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00"/>
          </w:cols>
          <w:pgMar w:left="320" w:top="140" w:right="379" w:bottom="1440" w:gutter="0" w:footer="0" w:header="0"/>
        </w:sectPr>
      </w:pPr>
    </w:p>
    <w:bookmarkStart w:id="33" w:name="page34"/>
    <w:bookmarkEnd w:id="33"/>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provide reasonable assurance that the information required to be disclosed by us in this Form 10-Q was (a) reported within the time periods specified by SEC rules and regulations, and (b) communicated to our management, including our Chief Executive Officer and Chief Financial Officer, to allow timely decisions regarding any required disclosure.</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4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There were no changes in our internal control over financial reporting identified in management’s evaluation pursuant to Rules 13a-15(d) or 15d-15(d) of the Exchange Act during the period covered by this Quarterly Report on Form 10-Q that materially affected, or are reasonably likely to materially affect, our internal control over financial reporting.</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Inherent Limitations on Effectiveness of Internal Controls</w:t>
      </w:r>
    </w:p>
    <w:p>
      <w:pPr>
        <w:spacing w:after="0" w:line="247"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In designing and evaluating the disclosure controls and procedures, management recognizes that any controls and procedures, no matter how well designed and operated, can provide only reasonable, not absolute,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 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20"/>
          </w:cols>
          <w:pgMar w:left="320" w:top="140" w:right="359" w:bottom="1440" w:gutter="0" w:footer="0" w:header="0"/>
        </w:sectPr>
      </w:pPr>
    </w:p>
    <w:bookmarkStart w:id="34" w:name="page35"/>
    <w:bookmarkEnd w:id="34"/>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47"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From time to time, we may be subject to legal proceedings and claims in the ordinary course of business. We are not presently a party to any legal proceedings that, if determined adversely to us, would individually or taken together have a material adverse effect on our business, results of operations, financial condition or cash flows. We have received, and may in the future continue to receive, claims from third parties asserting, among other things, infringement of their intellectual property rights. Future litigation may be necessary to defend ourselves, our partners and our customers by determining the scope, enforceability and validity of third-party proprietary rights, or to establish our proprietary rights.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18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i w:val="1"/>
          <w:iCs w:val="1"/>
          <w:color w:val="auto"/>
        </w:rPr>
        <w:t>Our operations and financial results are subject to significant risks and uncertainties including those described below. You should carefully consider the risks and uncertainties described below, in addition to other information contained in this Quarterly Report on Form 10-Q, including our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or others not specified below materialize, our business, financial condition and results of operations could be materially and adversely affected.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5" w:lineRule="exact"/>
        <w:rPr>
          <w:sz w:val="20"/>
          <w:szCs w:val="20"/>
          <w:color w:val="auto"/>
        </w:rPr>
      </w:pPr>
    </w:p>
    <w:p>
      <w:pPr>
        <w:ind w:right="100" w:firstLine="324"/>
        <w:spacing w:after="0" w:line="287" w:lineRule="auto"/>
        <w:rPr>
          <w:sz w:val="20"/>
          <w:szCs w:val="20"/>
          <w:color w:val="auto"/>
        </w:rPr>
      </w:pPr>
      <w:r>
        <w:rPr>
          <w:rFonts w:ascii="Arial" w:cs="Arial" w:eastAsia="Arial" w:hAnsi="Arial"/>
          <w:sz w:val="18"/>
          <w:szCs w:val="18"/>
          <w:b w:val="1"/>
          <w:bCs w:val="1"/>
          <w:i w:val="1"/>
          <w:iCs w:val="1"/>
          <w:color w:val="auto"/>
        </w:rPr>
        <w:t>Our business, operations and financial performance may be materially adversely affected by the evolving and ongoing COVID-19 pandemic.</w:t>
      </w:r>
    </w:p>
    <w:p>
      <w:pPr>
        <w:spacing w:after="0" w:line="175"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Our business, operations and financial performance could be adversely affected by the effects of the recent and evolving COVID-19 virus, which was declared by the World Health Organization as a pandemic, and such affect could be material. The COVID-19 pandemic has resulted in travel and other restrictions in order to reduce the spread of the disease, including state and local orders across the United States and in countries in which we operate that, among other things, direct individuals to shelter at their places of residence, direct businesses and governmental agencies to cease non-essential operations at physical locations, prohibit certain non-essential gatherings and events and order cessation of non-essential travel. In response to public health directives and orders, we have implemented work-from-home policies for our global workforce, including at our headquarters in Columbia, Maryland, and we have suspended work-related travel and in-person customer and sales interactions.</w:t>
      </w:r>
    </w:p>
    <w:p>
      <w:pPr>
        <w:spacing w:after="0" w:line="205"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Remote work policies, quarantines, shelter-in-place and similar government orders, shutdowns or other restrictions on the conduct of business operations related to the COVID-19 pandemic may adversely affect our business and our ability to generate sales of, and revenues from, our enterprise platform offerings. For example, substantially all of our field sales and other professional services are now being conducted remotely, and while we do not yet know if such remote operations will affect our ability to attract, retain or upsell customers, we anticipate that our revenue growth could be adversely impacted by the COVID-19 pandemic and weak global economic conditions.</w:t>
      </w:r>
    </w:p>
    <w:p>
      <w:pPr>
        <w:spacing w:after="0" w:line="205"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We also do not yet know the full effects of COVID-19 pandemic on our partners, customers and service providers. Health concerns and political or governmental developments in response to COVID-19 could create or contribute to economic, social or labor instability or prolonged contractions in the industries in which our customers or partners operate. As a result, existing and potential customers have and may continue to choose to reduce or delay technology spending in response to the COVID-19 pandemic, or attempt to renegotiate contracts and obtain concessions, which could materially and negatively impact our operating results, financial condition and prospects. Because our enterprise platform offerings are primarily sold on a subscription basis, any such adverse effects may not be fully reflected in our operating results until future periods, and such effects may be offset by temporary decreases in our expenses related to restrictions on the conduct of our business.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40" w:right="339" w:bottom="1440" w:gutter="0" w:footer="0" w:header="0"/>
        </w:sectPr>
      </w:pPr>
    </w:p>
    <w:bookmarkStart w:id="35" w:name="page36"/>
    <w:bookmarkEnd w:id="35"/>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The global pandemic of COVID-19 continues to rapidly evolve. The extent to which the COVID-19 pandemic impacts our business and operations will depend on future developments that are highly uncertain and cannot be predicted with confidence at the time of this Form 10-Q, such as the ultimate geographic spread of the disease, the duration of the outbreak, the duration and effect of business disruptions and the short-term effects and ultimate effectiveness of the travel restrictions, quarantines, social distancing requirements and business closures in the United States and other countries to contain and treat the disease. Accordingly, we do not yet know the full extent of potential impacts on our business and operations, or those of our partners and customers, or the global economy as a whole. The pandemic could adversely affect our revenue growth and financial results, and such affect could be material. Weak global economic conditions also may exacerbate the ongoing impact of the pandemic.</w:t>
      </w:r>
    </w:p>
    <w:p>
      <w:pPr>
        <w:spacing w:after="0" w:line="205" w:lineRule="exact"/>
        <w:rPr>
          <w:sz w:val="20"/>
          <w:szCs w:val="20"/>
          <w:color w:val="auto"/>
        </w:rPr>
      </w:pPr>
    </w:p>
    <w:p>
      <w:pPr>
        <w:ind w:right="80" w:firstLine="324"/>
        <w:spacing w:after="0" w:line="261" w:lineRule="auto"/>
        <w:rPr>
          <w:sz w:val="20"/>
          <w:szCs w:val="20"/>
          <w:color w:val="auto"/>
        </w:rPr>
      </w:pPr>
      <w:r>
        <w:rPr>
          <w:rFonts w:ascii="Arial" w:cs="Arial" w:eastAsia="Arial" w:hAnsi="Arial"/>
          <w:sz w:val="18"/>
          <w:szCs w:val="18"/>
          <w:color w:val="auto"/>
        </w:rPr>
        <w:t>In addition, to the extent the ongoing COVID-19 pandemic adversely affects our business and results of operations, it may also have the effect of heightening many of the other risks and uncertainties described in this “Risk Factors” section.</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have a history of losses and may not achieve or maintain profitability in the future.</w:t>
      </w:r>
    </w:p>
    <w:p>
      <w:pPr>
        <w:spacing w:after="0" w:line="247"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We have historically incurred net losses, including net losses of $ 34.9 million and $43.1 million in the six months ended June 30, 2020 and 2019, respectively. As of June 30, 2020, we had an accumulated deficit of $600.1 million. Because the market for our offerings is highly competitive and rapidly evolving and these solutions have not yet reached widespread adoption, it is difficult for us to predict our future results of operations. Further, we do not yet know the full effects of the COVID-19 pandemic, which increases the difficulty in predicting future results of operations.</w:t>
      </w:r>
    </w:p>
    <w:p>
      <w:pPr>
        <w:spacing w:after="0" w:line="97"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While we have experienced significant revenue growth in recent periods, we are not certain whether or when we will obtain a high enough volume of sales of our offerings to sustain or increase our growth or achieve or maintain profitability in the future. We also expect our costs to increase in future periods, which could negatively affect our future operating results if our revenue does not increase at a greater rate. In particular, we expect to continue to expend substantial financial and other resources on:</w:t>
      </w:r>
    </w:p>
    <w:p>
      <w:pPr>
        <w:spacing w:after="0" w:line="96"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public cloud infrastructure and computing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research and development related to our offerings, including investments in our research and development team;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sales and marketing, including a significant expansion of our sales organization, both domestically and internationally;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continued international expansion of our business;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general and administrative expense, including legal and accounting expenses related to being a public company.</w:t>
      </w:r>
    </w:p>
    <w:p>
      <w:pPr>
        <w:spacing w:after="0" w:line="225"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These investments may not result in increased revenue or growth in our business. If we are unable to increase our revenue at a rate sufficient to offset the expected increase in our costs, our business, financial position and results of operations will be harmed and we may not be able to achieve or maintain profitability over the long term. Additionally, we may encounter unforeseen operating expenses, difficulties, complications, delays and other unknown factors that may result in losses in future periods. If our revenue growth does not meet our expectations in future periods, our financial performance may be harmed, and we may not achieve or maintain profitability in the future.</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not be able to sustain our revenue growth rate in the future.</w:t>
      </w:r>
    </w:p>
    <w:p>
      <w:pPr>
        <w:spacing w:after="0" w:line="200" w:lineRule="exact"/>
        <w:rPr>
          <w:sz w:val="20"/>
          <w:szCs w:val="20"/>
          <w:color w:val="auto"/>
        </w:rPr>
      </w:pPr>
    </w:p>
    <w:p>
      <w:pPr>
        <w:spacing w:after="0" w:line="263"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From the six months ended June 30, 2019 to the six months ended June 30, 2020, our revenue grew from $165.7 million to $ 209.9 million, representing year over year growth of 27%. This growth was primarily from an increase in subscription revenue. Although we have experienced rapid growth historically and currently have high customer renewal rates, we may not continue to grow as rapidly in the future due to a decline in our renewal rates, failure to attract new customers or other factors. Any success that we may experience in the future will depend in large part on our ability to, among other things:</w:t>
      </w:r>
    </w:p>
    <w:p>
      <w:pPr>
        <w:spacing w:after="0" w:line="97"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maintain and expand our customer base;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 revenue from existing customers through increased or broader use of our offerings within their organizations;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improve the performance and capabilities of our offerings through research and development;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continue to develop and expand our enterprise platform;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maintain the rate at which customers purchase and renew subscriptions to our enterprise platform offerings;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continue to successfully expand our business domestically and internationally; and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320" w:top="140" w:right="359" w:bottom="1440" w:gutter="0" w:footer="0" w:header="0"/>
        </w:sectPr>
      </w:pPr>
    </w:p>
    <w:bookmarkStart w:id="36" w:name="page37"/>
    <w:bookmarkEnd w:id="36"/>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successfully compete with other companies.</w:t>
      </w:r>
    </w:p>
    <w:p>
      <w:pPr>
        <w:spacing w:after="0" w:line="225"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If we are unable to maintain consistent revenue or revenue growth, our stock price could be volatile, and it may be difficult to achieve and maintain profitability. You should not rely on our revenue for any prior quarterly or annual periods as any indication of our future revenue or revenue growth.</w:t>
      </w:r>
    </w:p>
    <w:p>
      <w:pPr>
        <w:spacing w:after="0" w:line="202" w:lineRule="exact"/>
        <w:rPr>
          <w:sz w:val="20"/>
          <w:szCs w:val="20"/>
          <w:color w:val="auto"/>
        </w:rPr>
      </w:pPr>
    </w:p>
    <w:p>
      <w:pPr>
        <w:ind w:right="200" w:firstLine="324"/>
        <w:spacing w:after="0" w:line="261" w:lineRule="auto"/>
        <w:rPr>
          <w:sz w:val="20"/>
          <w:szCs w:val="20"/>
          <w:color w:val="auto"/>
        </w:rPr>
      </w:pPr>
      <w:r>
        <w:rPr>
          <w:rFonts w:ascii="Arial" w:cs="Arial" w:eastAsia="Arial" w:hAnsi="Arial"/>
          <w:sz w:val="18"/>
          <w:szCs w:val="18"/>
          <w:color w:val="auto"/>
        </w:rPr>
        <w:t>We may be unable to rapidly and efficiently adjust our cost structure in response to significant revenue declines, which could adversely affect our operating results.</w:t>
      </w:r>
    </w:p>
    <w:p>
      <w:pPr>
        <w:spacing w:after="0" w:line="176" w:lineRule="exact"/>
        <w:rPr>
          <w:sz w:val="20"/>
          <w:szCs w:val="20"/>
          <w:color w:val="auto"/>
        </w:rPr>
      </w:pPr>
    </w:p>
    <w:p>
      <w:pPr>
        <w:ind w:right="360" w:firstLine="324"/>
        <w:spacing w:after="0" w:line="268" w:lineRule="auto"/>
        <w:rPr>
          <w:sz w:val="20"/>
          <w:szCs w:val="20"/>
          <w:color w:val="auto"/>
        </w:rPr>
      </w:pPr>
      <w:r>
        <w:rPr>
          <w:rFonts w:ascii="Arial" w:cs="Arial" w:eastAsia="Arial" w:hAnsi="Arial"/>
          <w:sz w:val="18"/>
          <w:szCs w:val="18"/>
          <w:b w:val="1"/>
          <w:bCs w:val="1"/>
          <w:i w:val="1"/>
          <w:iCs w:val="1"/>
          <w:color w:val="auto"/>
        </w:rPr>
        <w:t>We recognize substantially all of our revenue ratably over the term of our subscriptions and, to a lesser extent, perpetual licenses ratably over an expected period of benefit and, as a result, downturns in sales may not be immediately reflected in our operating results.</w:t>
      </w:r>
    </w:p>
    <w:p>
      <w:pPr>
        <w:spacing w:after="0" w:line="193"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We recognize substantially all of our revenue ratably over the terms of our subscriptions with customers, which generally occurs over a one-year period and, for our perpetual licenses, over a five-year expected period of benefit. As a result, a substantial portion of the revenue that we report in each period will be derived from the recognition of deferred revenue relating to agreements entered into during previous periods. Consequently, a decline in new sales or renewals in any one period, including as a result of the COVID-19 pandemic, may not be immediately reflected in our revenue results for that period. This decline, however, will negatively affect our revenue in future periods. Accordingly, the effect of significant downturns in sales and market acceptance of our solutions and potential changes in our rate of renewals may not be fully reflected in our results of operations until future periods. This also makes it difficult for us to rapidly increase our revenue growth through additional sales in any period, as revenue from new customers generally will be recognized over the term of the applicable agreement.</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not be able to scale our business quickly enough to meet our customers’ growing needs.</w:t>
      </w:r>
    </w:p>
    <w:p>
      <w:pPr>
        <w:spacing w:after="0" w:line="247"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As usage of our enterprise platform grows, and as customers expand in size or expand the number of IT assets or IP addresses under their subscriptions, we may need to devote additional resources to improving our technology architecture, integrating with third-party systems and maintaining infrastructure performance. In addition, we will need to appropriately scale our sales and marketing headcount, as well as grow our third-party channel partner network, to serve our growing customer base. If we are unable to scale our business appropriately, it could reduce the attractiveness of our solutions to customers, resulting in decreased sales to new customers, lower renewal rates by existing customers or the issuance of service credits or requested refunds, each of which could hurt our revenue growth and our reputation. Even if we are able to upgrade our systems and expand our personnel, any such expansion will be expensive and complex, requiring management time and attention. We could also face inefficiencies or operational failures as a result of our efforts to scale our infrastructure. Moreover, there are inherent risks associated with upgrading, improving and expanding our information technology systems. We cannot be sure that the expansion and improvements to our infrastructure and systems will be fully or effectively implemented on a timely basis, if at all. These efforts may reduce revenue and our margins and adversely impact our financial results.</w:t>
      </w:r>
    </w:p>
    <w:p>
      <w:pPr>
        <w:spacing w:after="0" w:line="189" w:lineRule="exact"/>
        <w:rPr>
          <w:sz w:val="20"/>
          <w:szCs w:val="20"/>
          <w:color w:val="auto"/>
        </w:rPr>
      </w:pPr>
    </w:p>
    <w:p>
      <w:pPr>
        <w:ind w:right="260" w:firstLine="324"/>
        <w:spacing w:after="0" w:line="287" w:lineRule="auto"/>
        <w:rPr>
          <w:sz w:val="20"/>
          <w:szCs w:val="20"/>
          <w:color w:val="auto"/>
        </w:rPr>
      </w:pPr>
      <w:r>
        <w:rPr>
          <w:rFonts w:ascii="Arial" w:cs="Arial" w:eastAsia="Arial" w:hAnsi="Arial"/>
          <w:sz w:val="18"/>
          <w:szCs w:val="18"/>
          <w:b w:val="1"/>
          <w:bCs w:val="1"/>
          <w:i w:val="1"/>
          <w:iCs w:val="1"/>
          <w:color w:val="auto"/>
        </w:rPr>
        <w:t>If our enterprise platform offerings do not interoperate with our customers’ network and security infrastructure or with third-party products, websites or services, our results of operations may be harmed.</w:t>
      </w:r>
    </w:p>
    <w:p>
      <w:pPr>
        <w:spacing w:after="0" w:line="175" w:lineRule="exact"/>
        <w:rPr>
          <w:sz w:val="20"/>
          <w:szCs w:val="20"/>
          <w:color w:val="auto"/>
        </w:rPr>
      </w:pPr>
    </w:p>
    <w:p>
      <w:pPr>
        <w:ind w:right="160" w:firstLine="324"/>
        <w:spacing w:after="0" w:line="251" w:lineRule="auto"/>
        <w:rPr>
          <w:sz w:val="20"/>
          <w:szCs w:val="20"/>
          <w:color w:val="auto"/>
        </w:rPr>
      </w:pPr>
      <w:r>
        <w:rPr>
          <w:rFonts w:ascii="Arial" w:cs="Arial" w:eastAsia="Arial" w:hAnsi="Arial"/>
          <w:sz w:val="18"/>
          <w:szCs w:val="18"/>
          <w:color w:val="auto"/>
        </w:rPr>
        <w:t>Our enterprise platform offerings, Tenable.io and Tenable.sc, must interoperate with our customers’ existing network and security infrastructure. These complex systems are developed, delivered and maintained by the customer and a myriad of vendors and service providers. As a result, the components of our customers’ infrastructure have different specifications, rapidly evolve, utilize multiple protocol standards, include multiple versions and generations of products and may be highly customized. We must be able to interoperate and provide our security offerings to customers with highly complex and customized networks, which requires careful planning and execution between our customers, our customer support teams and our channel partners. Further, when new or updated elements of our customers’ infrastructure or new industry standards or protocols are introduced, we may have to update or enhance our cloud platform and our other solutions to allow us to continue to provide service to customers. Our competitors or other vendors may refuse to work with us to allow their products to interoperate with our solutions, which could make it difficult for our cloud platform to function properly in customer networks that include these third-party products.</w:t>
      </w:r>
    </w:p>
    <w:p>
      <w:pPr>
        <w:spacing w:after="0" w:line="211" w:lineRule="exact"/>
        <w:rPr>
          <w:sz w:val="20"/>
          <w:szCs w:val="20"/>
          <w:color w:val="auto"/>
        </w:rPr>
      </w:pPr>
    </w:p>
    <w:p>
      <w:pPr>
        <w:ind w:right="500" w:firstLine="324"/>
        <w:spacing w:after="0" w:line="256" w:lineRule="auto"/>
        <w:rPr>
          <w:sz w:val="20"/>
          <w:szCs w:val="20"/>
          <w:color w:val="auto"/>
        </w:rPr>
      </w:pPr>
      <w:r>
        <w:rPr>
          <w:rFonts w:ascii="Arial" w:cs="Arial" w:eastAsia="Arial" w:hAnsi="Arial"/>
          <w:sz w:val="18"/>
          <w:szCs w:val="18"/>
          <w:color w:val="auto"/>
        </w:rPr>
        <w:t>We may not deliver or maintain interoperability quickly or cost-effectively, or at all. These efforts require capital investment and engineering resources. If we fail to maintain compatibility of our cloud platform and our other solutions with our customers’ network and security infrastructures, our customers may not be able to fully utilize our solutions,</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20"/>
          </w:cols>
          <w:pgMar w:left="320" w:top="140" w:right="359" w:bottom="1440" w:gutter="0" w:footer="0" w:header="0"/>
        </w:sectPr>
      </w:pPr>
    </w:p>
    <w:bookmarkStart w:id="37" w:name="page38"/>
    <w:bookmarkEnd w:id="37"/>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and we may, among other consequences, lose or fail to increase our market share and experience reduced demand for our services, which would materially harm our business, operating results and financial condition.</w:t>
      </w:r>
    </w:p>
    <w:p>
      <w:pPr>
        <w:spacing w:after="0" w:line="176" w:lineRule="exact"/>
        <w:rPr>
          <w:sz w:val="20"/>
          <w:szCs w:val="20"/>
          <w:color w:val="auto"/>
        </w:rPr>
      </w:pPr>
    </w:p>
    <w:p>
      <w:pPr>
        <w:ind w:right="100" w:firstLine="324"/>
        <w:spacing w:after="0" w:line="287" w:lineRule="auto"/>
        <w:rPr>
          <w:sz w:val="20"/>
          <w:szCs w:val="20"/>
          <w:color w:val="auto"/>
        </w:rPr>
      </w:pPr>
      <w:r>
        <w:rPr>
          <w:rFonts w:ascii="Arial" w:cs="Arial" w:eastAsia="Arial" w:hAnsi="Arial"/>
          <w:sz w:val="18"/>
          <w:szCs w:val="18"/>
          <w:b w:val="1"/>
          <w:bCs w:val="1"/>
          <w:i w:val="1"/>
          <w:iCs w:val="1"/>
          <w:color w:val="auto"/>
        </w:rPr>
        <w:t>If our solutions fail to detect vulnerabilities or incorrectly detect vulnerabilities, or if they contain undetected errors or defects, our brand and reputation could be harmed.</w:t>
      </w:r>
    </w:p>
    <w:p>
      <w:pPr>
        <w:spacing w:after="0" w:line="175"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If our solutions fail to detect vulnerabilities in our customers’ cybersecurity infrastructure, or if our solutions fail to identify new and increasingly complex methods of cyberattacks, our business and reputation may suffer. There is no guarantee that our solutions will detect all vulnerabilities, especially in light of the rapidly changing security landscape to which we must respond. Additionally, our solutions may falsely detect vulnerabilities or threats that do not actually exist. For example, our solutions rely on information provided by an active community of users who contribute new exploits, attacks and vulnerabilities. If the information from these third parties is inaccurate, the potential for false indications of security vulnerabilities increases. These false positives, while typical in the industry, may impair the perceived reliability of our offerings and may therefore adversely impact market acceptance of our products and could result in negative publicity, loss of customers and sales and increased costs to remedy any problem.</w:t>
      </w:r>
    </w:p>
    <w:p>
      <w:pPr>
        <w:spacing w:after="0" w:line="205"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Our solutions may also contain undetected errors or defects when first introduced or as new versions are released. We have experienced these errors or defects in the past in connection with new solutions and product upgrades and we expect that these errors or defects will be found from time to time in the future in new or enhanced solutions after commercial release. Defects may cause our solutions to be vulnerable to attacks, cause them to fail to detect vulnerabilities, or temporarily interrupt customers’ networking traffic or operational technology environments. Any errors, defects, disruptions in service or other performance problems with our solutions may damage our customers’ business and could hurt our reputation. If our solutions fail to detect vulnerabilities for any reason, we may incur significant costs, the attention of our key personnel could be diverted, our customers may delay or withhold payment to us or elect not to renew or other significant customer relations problems may arise. We may also be subject to liability claims for damages related to errors or defects in our solutions. A material liability claim or other occurrence that harms our reputation or decreases market acceptance of our solutions may harm our business and operating results.</w:t>
      </w:r>
    </w:p>
    <w:p>
      <w:pPr>
        <w:spacing w:after="0" w:line="211"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An actual or perceived security breach or theft of the sensitive data of one of our customers, regardless of whether the breach is attributable to the failure of our solutions, could adversely affect the market’s perception of our brand and our offerings and subject us to legal claims.</w:t>
      </w:r>
    </w:p>
    <w:p>
      <w:pPr>
        <w:spacing w:after="0" w:line="180" w:lineRule="exact"/>
        <w:rPr>
          <w:sz w:val="20"/>
          <w:szCs w:val="20"/>
          <w:color w:val="auto"/>
        </w:rPr>
      </w:pPr>
    </w:p>
    <w:p>
      <w:pPr>
        <w:ind w:right="280" w:firstLine="324"/>
        <w:spacing w:after="0" w:line="287" w:lineRule="auto"/>
        <w:rPr>
          <w:sz w:val="20"/>
          <w:szCs w:val="20"/>
          <w:color w:val="auto"/>
        </w:rPr>
      </w:pPr>
      <w:r>
        <w:rPr>
          <w:rFonts w:ascii="Arial" w:cs="Arial" w:eastAsia="Arial" w:hAnsi="Arial"/>
          <w:sz w:val="18"/>
          <w:szCs w:val="18"/>
          <w:b w:val="1"/>
          <w:bCs w:val="1"/>
          <w:i w:val="1"/>
          <w:iCs w:val="1"/>
          <w:color w:val="auto"/>
        </w:rPr>
        <w:t>Our future quarterly results of operations are likely to fluctuate significantly due to a wide range of factors, which makes our future results difficult to predict.</w:t>
      </w:r>
    </w:p>
    <w:p>
      <w:pPr>
        <w:spacing w:after="0" w:line="175" w:lineRule="exact"/>
        <w:rPr>
          <w:sz w:val="20"/>
          <w:szCs w:val="20"/>
          <w:color w:val="auto"/>
        </w:rPr>
      </w:pPr>
    </w:p>
    <w:p>
      <w:pPr>
        <w:ind w:right="200" w:firstLine="324"/>
        <w:spacing w:after="0" w:line="261" w:lineRule="auto"/>
        <w:rPr>
          <w:sz w:val="20"/>
          <w:szCs w:val="20"/>
          <w:color w:val="auto"/>
        </w:rPr>
      </w:pPr>
      <w:r>
        <w:rPr>
          <w:rFonts w:ascii="Arial" w:cs="Arial" w:eastAsia="Arial" w:hAnsi="Arial"/>
          <w:sz w:val="18"/>
          <w:szCs w:val="18"/>
          <w:color w:val="auto"/>
        </w:rPr>
        <w:t>Our revenue and results of operations have historically varied from period to period, and we expect that they will continue to do so as a result of a number of factors, many of which are outside of our control, including:</w:t>
      </w:r>
    </w:p>
    <w:p>
      <w:pPr>
        <w:spacing w:after="0" w:line="90"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potential impact of the COVID-19 pandemic on our business and that of our partners and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level of demand for our enterprise platform;</w:t>
      </w:r>
    </w:p>
    <w:p>
      <w:pPr>
        <w:spacing w:after="0" w:line="9" w:lineRule="exact"/>
        <w:rPr>
          <w:rFonts w:ascii="Arial" w:cs="Arial" w:eastAsia="Arial" w:hAnsi="Arial"/>
          <w:sz w:val="18"/>
          <w:szCs w:val="18"/>
          <w:color w:val="auto"/>
        </w:rPr>
      </w:pPr>
    </w:p>
    <w:p>
      <w:pPr>
        <w:ind w:left="660" w:right="60" w:hanging="328"/>
        <w:spacing w:after="0" w:line="250"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introduction of new products and product enhancements by existing competitors or new entrants into our market, and changes in pricing for solutions offered by us or our competitors;</w:t>
      </w: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rate of renewal of subscriptions, and extent of expansion of assets under such subscriptions, with existing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mix of customers licensing our products on a subscription basis as compared to a perpetual license;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large customers failing to renew their subscriptions;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size, timing and terms of our subscription agreements with new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interoperate our solutions with our customers’ network and security infrastructure;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timing and growth of our business, in particular through our hiring of new employees and international expansion;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network outages, security breaches, technical difficulties or interruptions with our solutions;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the growth rate of the markets in which we compete;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length of the license term, amount prepaid and other material terms of subscriptions to our solutions sold during a period;</w:t>
      </w:r>
    </w:p>
    <w:p>
      <w:pPr>
        <w:spacing w:after="0" w:line="9" w:lineRule="exact"/>
        <w:rPr>
          <w:rFonts w:ascii="Arial" w:cs="Arial" w:eastAsia="Arial" w:hAnsi="Arial"/>
          <w:sz w:val="18"/>
          <w:szCs w:val="18"/>
          <w:color w:val="auto"/>
        </w:rPr>
      </w:pPr>
    </w:p>
    <w:p>
      <w:pPr>
        <w:ind w:left="660" w:right="780" w:hanging="328"/>
        <w:spacing w:after="0" w:line="250"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customers delaying purchasing decisions in anticipation of new developments or enhancements by us or our competitors or otherwise;</w:t>
      </w: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customers’ budgets;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seasonal variations related to sales and marketing and other activities, such as expenses related to our customers;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140" w:right="339" w:bottom="1440" w:gutter="0" w:footer="0" w:header="0"/>
        </w:sectPr>
      </w:pPr>
    </w:p>
    <w:bookmarkStart w:id="38" w:name="page39"/>
    <w:bookmarkEnd w:id="38"/>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increase, retain and incentivize the channel partners that market and sell our solutions;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integrate our solutions with our ecosystem partners’ technology;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integrate any future acquisitions of businesses;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brand and reputation;</w:t>
      </w:r>
    </w:p>
    <w:p>
      <w:pPr>
        <w:spacing w:after="0" w:line="9" w:lineRule="exact"/>
        <w:rPr>
          <w:rFonts w:ascii="Arial" w:cs="Arial" w:eastAsia="Arial" w:hAnsi="Arial"/>
          <w:sz w:val="18"/>
          <w:szCs w:val="18"/>
          <w:color w:val="auto"/>
        </w:rPr>
      </w:pPr>
    </w:p>
    <w:p>
      <w:pPr>
        <w:ind w:left="660" w:right="540" w:hanging="328"/>
        <w:spacing w:after="0" w:line="250"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timing of our adoption of new or revised accounting pronouncements applicable to public companies and the impact on our results of operations;</w:t>
      </w: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control costs, including our operating expenses, such as third-party cloud infrastructure costs and facilities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hire, train and maintain our direct sales force;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unforeseen litigation and intellectual property infringement;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fluctuations in our effective tax rate;</w:t>
      </w:r>
    </w:p>
    <w:p>
      <w:pPr>
        <w:spacing w:after="0" w:line="9" w:lineRule="exact"/>
        <w:rPr>
          <w:rFonts w:ascii="Arial" w:cs="Arial" w:eastAsia="Arial" w:hAnsi="Arial"/>
          <w:sz w:val="18"/>
          <w:szCs w:val="18"/>
          <w:color w:val="auto"/>
        </w:rPr>
      </w:pPr>
    </w:p>
    <w:p>
      <w:pPr>
        <w:ind w:left="660" w:right="100" w:hanging="328"/>
        <w:spacing w:after="0" w:line="250"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general economic and political conditions, both domestically and internationally, as well as economic conditions specifically affecting industries in which our customers operate; and</w:t>
      </w: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pandemics, war, incidents of terrorism or responses to these events.</w:t>
      </w:r>
    </w:p>
    <w:p>
      <w:pPr>
        <w:spacing w:after="0" w:line="225" w:lineRule="exact"/>
        <w:rPr>
          <w:sz w:val="20"/>
          <w:szCs w:val="20"/>
          <w:color w:val="auto"/>
        </w:rPr>
      </w:pPr>
    </w:p>
    <w:p>
      <w:pPr>
        <w:ind w:right="180" w:firstLine="324"/>
        <w:spacing w:after="0" w:line="254" w:lineRule="auto"/>
        <w:rPr>
          <w:sz w:val="20"/>
          <w:szCs w:val="20"/>
          <w:color w:val="auto"/>
        </w:rPr>
      </w:pPr>
      <w:r>
        <w:rPr>
          <w:rFonts w:ascii="Arial" w:cs="Arial" w:eastAsia="Arial" w:hAnsi="Arial"/>
          <w:sz w:val="18"/>
          <w:szCs w:val="18"/>
          <w:color w:val="auto"/>
        </w:rPr>
        <w:t>Any one of these or other factors discussed elsewhere in this Quarterly Report on Form 10-Q, or the cumulative effect of some of these factors, may result in fluctuations in our revenue and operating results, meaning that quarter-to-quarter comparisons of our revenue, results of operations and cash flows may not necessarily be indicative of our future performance and may cause us to miss our guidance and analyst expectations and may cause our stock price to decline.</w:t>
      </w:r>
    </w:p>
    <w:p>
      <w:pPr>
        <w:spacing w:after="0" w:line="204" w:lineRule="exact"/>
        <w:rPr>
          <w:sz w:val="20"/>
          <w:szCs w:val="20"/>
          <w:color w:val="auto"/>
        </w:rPr>
      </w:pPr>
    </w:p>
    <w:p>
      <w:pPr>
        <w:ind w:right="160" w:firstLine="324"/>
        <w:spacing w:after="0" w:line="252" w:lineRule="auto"/>
        <w:rPr>
          <w:sz w:val="20"/>
          <w:szCs w:val="20"/>
          <w:color w:val="auto"/>
        </w:rPr>
      </w:pPr>
      <w:r>
        <w:rPr>
          <w:rFonts w:ascii="Arial" w:cs="Arial" w:eastAsia="Arial" w:hAnsi="Arial"/>
          <w:sz w:val="18"/>
          <w:szCs w:val="18"/>
          <w:color w:val="auto"/>
        </w:rPr>
        <w:t>In addition, we have historically experienced seasonality in entering into agreements with customers. We typically enter into a significantly higher percentage of agreements with new customers, as well as renewal agreements with existing customers, in the third and fourth quarters. The increase in customer agreements in the third quarter is primarily attributable to U.S. government and related agencies, and the increase in the fourth quarter is primarily attributable to large enterprise account buying patterns typical in the software industry. We expect that seasonality will continue to affect our operating results in the future and may reduce our ability to predict cash flow and optimize the timing of our operating expenses.</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face intense competition.</w:t>
      </w:r>
    </w:p>
    <w:p>
      <w:pPr>
        <w:spacing w:after="0" w:line="247" w:lineRule="exact"/>
        <w:rPr>
          <w:sz w:val="20"/>
          <w:szCs w:val="20"/>
          <w:color w:val="auto"/>
        </w:rPr>
      </w:pPr>
    </w:p>
    <w:p>
      <w:pPr>
        <w:ind w:right="260" w:firstLine="324"/>
        <w:spacing w:after="0" w:line="252" w:lineRule="auto"/>
        <w:rPr>
          <w:sz w:val="20"/>
          <w:szCs w:val="20"/>
          <w:color w:val="auto"/>
        </w:rPr>
      </w:pPr>
      <w:r>
        <w:rPr>
          <w:rFonts w:ascii="Arial" w:cs="Arial" w:eastAsia="Arial" w:hAnsi="Arial"/>
          <w:sz w:val="18"/>
          <w:szCs w:val="18"/>
          <w:color w:val="auto"/>
        </w:rPr>
        <w:t>The market for cybersecurity solutions is fragmented, intensely competitive and constantly evolving. We compete with a range of established and emerging cybersecurity software and services vendors, as well as homegrown solutions. With the introduction of new technologies and market entrants, we expect the competitive environment to remain intense going forward. Our competitors include: vulnerability management and assessment vendors, including Qualys and Rapid7; diversified security software and services vendors, including IBM; endpoint security vendors with nascent vulnerability assessment capabilities, including Tanium and CrowdStrike; and providers of point solutions that compete with some of the features present in our solutions. We also compete against internally-developed efforts that often use open source solutions.</w:t>
      </w:r>
    </w:p>
    <w:p>
      <w:pPr>
        <w:spacing w:after="0" w:line="207"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Some of our actual and potential competitors have significant advantages over us, such as longer operating histories, significantly greater financial, technical, marketing or other resources, stronger brand and business user recognition, larger intellectual property portfolios, government certifications and broader global distribution and presence. In addition, our industry is evolving rapidly and is becoming increasingly competitive. Companies that are larger and more established than us are focusing on cybersecurity and could directly compete with us. For example, in 2019 Microsoft introduced a vulnerability management offering as part of their existing endpoint security platform. Smaller companies could also launch new products and services that we do not offer and that could gain market acceptance quickly.</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Our competitors may be able to respond more quickly and effectively than we can to new or changing opportunities, technologies, standards or customer requirements or new or evolving attacks by, or indicators of compromise that identify, cyber bad actors. With the introduction of new technologies, the evolution of our offerings and new market entrants, we expect competition to intensify in the future. In addition, some of our larger competitors have substantially broader product offerings and can bundle competing products and services with other software offerings. As a result, customers may choose a bundled product offering from our competitors, even if individual products have more limited functionality than our solutions. These competitors may also offer their products at a lower price as part of this larger sale, which could increase pricing pressure on our offerings and cause the average sales price for our offerings to decline. These larger competitors are also often in a better position to withstand any significant reduction in</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140" w:right="339" w:bottom="1440" w:gutter="0" w:footer="0" w:header="0"/>
        </w:sectPr>
      </w:pPr>
    </w:p>
    <w:bookmarkStart w:id="39" w:name="page40"/>
    <w:bookmarkEnd w:id="39"/>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capital spending, and will therefore not be as susceptible to economic downturns. One component of our enterprise platform involves assessing cyber exposure in a public cloud environment. We are dependent upon the providers to allow our solutions to access their cloud offerings. If one or more cloud providers elected to offer exclusively their own cloud security product or otherwise eliminate the ability of our solutions to access their cloud on behalf of our customers, our business and financial results could be harmed.</w:t>
      </w:r>
    </w:p>
    <w:p>
      <w:pPr>
        <w:spacing w:after="0" w:line="204" w:lineRule="exact"/>
        <w:rPr>
          <w:sz w:val="20"/>
          <w:szCs w:val="20"/>
          <w:color w:val="auto"/>
        </w:rPr>
      </w:pPr>
    </w:p>
    <w:p>
      <w:pPr>
        <w:ind w:right="140" w:firstLine="324"/>
        <w:spacing w:after="0" w:line="252" w:lineRule="auto"/>
        <w:rPr>
          <w:sz w:val="20"/>
          <w:szCs w:val="20"/>
          <w:color w:val="auto"/>
        </w:rPr>
      </w:pPr>
      <w:r>
        <w:rPr>
          <w:rFonts w:ascii="Arial" w:cs="Arial" w:eastAsia="Arial" w:hAnsi="Arial"/>
          <w:sz w:val="18"/>
          <w:szCs w:val="18"/>
          <w:color w:val="auto"/>
        </w:rPr>
        <w:t>Furthermore, our current and potential competitors may establish cooperative relationships among themselves or with third parties that may further enhance their resources and products and services offerings in the markets we address. In addition, current or potential competitors may be acquired by third parties with greater available resources. As a result of such relationships and acquisitions, our current or potential competitors might be able to adapt more quickly to new technologies and customer needs, devote greater resources to the promotion or sale of their products and services, initiate or withstand substantial price competition, take advantage of other opportunities more readily or develop and expand their product and service offerings more quickly than we do. For all of these reasons, we may not be able to compete successfully against our current or future competitors.</w:t>
      </w:r>
    </w:p>
    <w:p>
      <w:pPr>
        <w:spacing w:after="0" w:line="185" w:lineRule="exact"/>
        <w:rPr>
          <w:sz w:val="20"/>
          <w:szCs w:val="20"/>
          <w:color w:val="auto"/>
        </w:rPr>
      </w:pPr>
    </w:p>
    <w:p>
      <w:pPr>
        <w:ind w:right="320" w:firstLine="324"/>
        <w:spacing w:after="0" w:line="287" w:lineRule="auto"/>
        <w:rPr>
          <w:sz w:val="20"/>
          <w:szCs w:val="20"/>
          <w:color w:val="auto"/>
        </w:rPr>
      </w:pPr>
      <w:r>
        <w:rPr>
          <w:rFonts w:ascii="Arial" w:cs="Arial" w:eastAsia="Arial" w:hAnsi="Arial"/>
          <w:sz w:val="18"/>
          <w:szCs w:val="18"/>
          <w:b w:val="1"/>
          <w:bCs w:val="1"/>
          <w:i w:val="1"/>
          <w:iCs w:val="1"/>
          <w:color w:val="auto"/>
        </w:rPr>
        <w:t>If we do not continue to innovate and offer solutions that address the dynamic cybersecurity landscape, we may not remain competitive.</w:t>
      </w:r>
    </w:p>
    <w:p>
      <w:pPr>
        <w:spacing w:after="0" w:line="175"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The cybersecurity market is characterized by very rapid technological advances, changes in customer requirements, frequent new product introductions and enhancements and evolving industry standards. Our success also depends on continued innovation to provide features that make our solutions responsive to the cybersecurity landscape. While we continue to invest significant resources in research and development in order to ensure that our solutions continue to address the cyber security risks that our customers face, the introduction of solutions and services embodying new technologies could render our existing solutions or services obsolete or less attractive to customers. In addition, developing new solutions and product enhancements is expensive and time-consuming, we may face delays or uncertainty in our release timing, and there is no assurance that such activities will result in significant cost savings, revenue or other expected benefits. If we spend significant time and effort on research and development and are unable to generate an adequate return on our investment, our business and results of operations may be materially and adversely affected. Further, we may not be able to successfully anticipate or adapt to changing technology or customer requirements or the dynamic threat landscape on a timely basis, or at all, which would impair our ability to execute on our business strategy.</w:t>
      </w:r>
    </w:p>
    <w:p>
      <w:pPr>
        <w:spacing w:after="0" w:line="189" w:lineRule="exact"/>
        <w:rPr>
          <w:sz w:val="20"/>
          <w:szCs w:val="20"/>
          <w:color w:val="auto"/>
        </w:rPr>
      </w:pPr>
    </w:p>
    <w:p>
      <w:pPr>
        <w:ind w:right="60" w:firstLine="324"/>
        <w:spacing w:after="0" w:line="262" w:lineRule="auto"/>
        <w:rPr>
          <w:sz w:val="20"/>
          <w:szCs w:val="20"/>
          <w:color w:val="auto"/>
        </w:rPr>
      </w:pPr>
      <w:r>
        <w:rPr>
          <w:rFonts w:ascii="Arial" w:cs="Arial" w:eastAsia="Arial" w:hAnsi="Arial"/>
          <w:sz w:val="18"/>
          <w:szCs w:val="18"/>
          <w:b w:val="1"/>
          <w:bCs w:val="1"/>
          <w:i w:val="1"/>
          <w:iCs w:val="1"/>
          <w:color w:val="auto"/>
        </w:rPr>
        <w:t>Our business and results of operations depend substantially on our customers renewing their subscriptions with us and expanding the number of IT assets or IP addresses under their subscriptions. Any decline in our customer renewals, terminations or failure to convince our customers to expand their use of subscription offerings would harm our business, results of operations, and financial condition.</w:t>
      </w:r>
    </w:p>
    <w:p>
      <w:pPr>
        <w:spacing w:after="0" w:line="198"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Our subscription offerings are term-based and a majority of our subscription contracts are for one year in duration. In order for us to maintain or improve our results of operations, it is important that a high percentage of our customers renew their subscriptions with us when the existing subscription term expires, and renew on the same or more favorable terms. Our customers have no obligation to renew their subscriptions, and we may not be able to accurately predict customer renewal rates. In addition, the growth of our business depends in part on our customers expanding their use of subscription offerings and related services. Historically, some of our customers have elected not to renew their subscriptions with us for a variety of reasons, including as a result of changes in their strategic IT priorities, budgets, costs and, in some instances, due to competing solutions. Our retention rate may also decline or fluctuate as a result of a number of other factors, including our customers’ satisfaction or dissatisfaction with our software, the increase in the contract value of subscription and support contracts from new customers, the effectiveness of our customer support services, our pricing, the prices of competing products or services, mergers and acquisitions affecting our customer base, global economic conditions, including the economic impacts of the ongoing COVID-19 pandemic, and the other risk factors described in this Quarterly Report on Form 10-Q. Additionally, many of our customers, including certain top customers, have the right to terminate their agreements with us for convenience and for other reasons. We cannot assure you that customers will maintain their agreements with us, renew subscriptions or increase their usage of our software. If our customers do not maintain or renew their subscriptions or renew on less favorable terms, or if we are unable to expand our customers’ use of our software, our business, results of operations, and financial condition may be harmed.</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20"/>
          </w:cols>
          <w:pgMar w:left="320" w:top="140" w:right="359" w:bottom="1440" w:gutter="0" w:footer="0" w:header="0"/>
        </w:sectPr>
      </w:pPr>
    </w:p>
    <w:bookmarkStart w:id="40" w:name="page41"/>
    <w:bookmarkEnd w:id="40"/>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b w:val="1"/>
          <w:bCs w:val="1"/>
          <w:i w:val="1"/>
          <w:iCs w:val="1"/>
          <w:color w:val="auto"/>
        </w:rPr>
        <w:t>Our brand, reputation and ability to attract, retain and serve our customers are dependent in part upon the reliable performance of our solutions and network infrastructure.</w:t>
      </w:r>
    </w:p>
    <w:p>
      <w:pPr>
        <w:spacing w:after="0" w:line="175" w:lineRule="exact"/>
        <w:rPr>
          <w:sz w:val="20"/>
          <w:szCs w:val="20"/>
          <w:color w:val="auto"/>
        </w:rPr>
      </w:pPr>
    </w:p>
    <w:p>
      <w:pPr>
        <w:ind w:right="600" w:firstLine="324"/>
        <w:spacing w:after="0" w:line="256" w:lineRule="auto"/>
        <w:rPr>
          <w:sz w:val="20"/>
          <w:szCs w:val="20"/>
          <w:color w:val="auto"/>
        </w:rPr>
      </w:pPr>
      <w:r>
        <w:rPr>
          <w:rFonts w:ascii="Arial" w:cs="Arial" w:eastAsia="Arial" w:hAnsi="Arial"/>
          <w:sz w:val="18"/>
          <w:szCs w:val="18"/>
          <w:color w:val="auto"/>
        </w:rPr>
        <w:t>We have experienced, and may in the future experience, disruptions, outages and other performance problems due to a variety of factors, including infrastructure changes, human or software errors, capacity constraints and fraud or cybersecurity attacks. In some instances, we may not be able to identify the cause or causes of these performance problems within an acceptable period of time.</w:t>
      </w:r>
    </w:p>
    <w:p>
      <w:pPr>
        <w:spacing w:after="0" w:line="202"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Prolonged delays or unforeseen difficulties in connection with adding capacity or upgrading our network architecture when required may cause our service quality to suffer. Problems with the reliability or security of our systems could harm our reputation. Damage to our reputation and the cost of remedying these problems could negatively affect our business, financial condition, and operating results.</w:t>
      </w:r>
    </w:p>
    <w:p>
      <w:pPr>
        <w:spacing w:after="0" w:line="202"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Any disruptions or other performance problems with our solutions could harm our reputation and business and may damage our customers’ businesses, including by interrupting their networking traffic or operational technology environments. Interruptions in our service delivery might reduce our revenue, cause us to issue credits to customers, subject us to potential liability and cause customers to not renew their purchases of our solutions.</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must maintain and enhance our brand.</w:t>
      </w:r>
    </w:p>
    <w:p>
      <w:pPr>
        <w:spacing w:after="0" w:line="247"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We believe that developing and maintaining widespread awareness of our brand in a cost-effective manner is critical to achieving widespread acceptance of our enterprise platform and attracting new customers. Brand promotion activities may not generate customer awareness or increase revenue and, even if they do, any increase in revenue may not offset the expenses we incur in building our brand. If we fail to successfully promote and maintain our brand, or incur substantial expenses, we may fail to attract or retain customers necessary to realize a sufficient return on our brand-building efforts, or to achieve the widespread brand awareness that is critical for broad customer adoption of our solutions.</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rely on third parties to maintain and operate certain elements of our network infrastructure.</w:t>
      </w:r>
    </w:p>
    <w:p>
      <w:pPr>
        <w:spacing w:after="0" w:line="247"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We utilize data centers located in North America, Europe and Asia to operate and maintain certain elements of our own network infrastructure. Some elements of this complex system are operated by third parties that we do not control and that could require significant time to replace. We expect this dependence on third parties to continue. For example, Tenable.io is hosted on Amazon Web Services, or AWS, which provides us with computing and storage capacity. Interruptions in our systems or the third-party systems on which we rely, particularly AWS, whether due to system failures, computer viruses, physical or electronic break-ins or other factors, could affect the security or availability of our solutions, network infrastructure and website.</w:t>
      </w:r>
    </w:p>
    <w:p>
      <w:pPr>
        <w:spacing w:after="0" w:line="208"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Our existing data center facilities and third-party hosting providers have no obligations to renew their agreements with us on commercially reasonable terms or at all, and certain of the agreements governing these relationships may be terminated by either party with notice or access to hosting services may be restricted by the provider at any time, with no or limited notice. For example, our agreement with AWS allows AWS to terminate the agreement with two years' written notice and allows AWS, under certain circumstances, to temporarily restrict access to hosting services provided by AWS without prior notice. Although we expect that we could receive similar services from other third parties, if any of our arrangements with third parties, including AWS, are terminated, we could experience interruptions on our platform and in our ability to make our platform available to customers, as well as downtime, delays and additional expenses in arranging alternative cloud infrastructure services.</w:t>
      </w:r>
    </w:p>
    <w:p>
      <w:pPr>
        <w:spacing w:after="0" w:line="205"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It is possible that our customers and potential customers would hold us accountable for any breach of security affecting third parties’ infrastructure. We may incur significant liability from those customers and from third parties with respect to any such breach. Because our agreement with AWS limits their liability for damages, we may not be able to recover a material portion of our liabilities to our customers and third parties from AWS in the event of any breach affecting AWS systems.</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If we continue to grow, we may not be able to manage our growth effectively.</w:t>
      </w:r>
    </w:p>
    <w:p>
      <w:pPr>
        <w:spacing w:after="0" w:line="247"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We have recently experienced a period of rapid growth in our headcount and operations. In particular, we grew from 984 employees as of December 31, 2017 to 1,397 employees as of June 30, 2020. We have also significantly increased the size of our customer base over the last several years. We anticipate that we will continue to significantly</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140" w:right="339" w:bottom="1440" w:gutter="0" w:footer="0" w:header="0"/>
        </w:sectPr>
      </w:pPr>
    </w:p>
    <w:bookmarkStart w:id="41" w:name="page42"/>
    <w:bookmarkEnd w:id="41"/>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expand our operations and headcount in the near term. Our growth has placed, and future growth will place, a significant strain on our management, administrative, operational and financial infrastructure. Our success will depend in part on our ability to manage this growth effectively. To manage the expected growth of our operations and personnel, we will need to continue to improve our operational, financial and management controls and our reporting systems and procedures. Failure to effectively manage our growth could result in difficulty or delays in deploying our solutions and services to customers, declines in quality or customer satisfaction, increases in costs, difficulties in introducing new features or other operational difficulties. We could also face inefficiencies or service disruptions as a result of our efforts to maintain and scale our domestic and international facilities, and additional facilities may not be available to us on commercially reasonable terms, or at all. Any of these difficulties could adversely impact our business performance and results of operations.</w:t>
      </w:r>
    </w:p>
    <w:p>
      <w:pPr>
        <w:spacing w:after="0" w:line="205" w:lineRule="exact"/>
        <w:rPr>
          <w:sz w:val="20"/>
          <w:szCs w:val="20"/>
          <w:color w:val="auto"/>
        </w:rPr>
      </w:pPr>
    </w:p>
    <w:p>
      <w:pPr>
        <w:jc w:val="both"/>
        <w:ind w:right="20" w:firstLine="324"/>
        <w:spacing w:after="0" w:line="253" w:lineRule="auto"/>
        <w:rPr>
          <w:sz w:val="20"/>
          <w:szCs w:val="20"/>
          <w:color w:val="auto"/>
        </w:rPr>
      </w:pPr>
      <w:r>
        <w:rPr>
          <w:rFonts w:ascii="Arial" w:cs="Arial" w:eastAsia="Arial" w:hAnsi="Arial"/>
          <w:sz w:val="18"/>
          <w:szCs w:val="18"/>
          <w:color w:val="auto"/>
        </w:rPr>
        <w:t>Our rapid growth also makes it difficult to evaluate our future prospects. Our ability to forecast our future operating results is subject to a number of uncertainties, including our ability to plan for and model future growth. If our assumptions regarding these uncertainties, which we use to plan our business, are incorrect or change in reaction to changes in our markets, or if we do not address these risks successfully, our operating and financial results could differ materially from our expectations, our business could suffer and the trading price of our stock may decline.</w:t>
      </w:r>
    </w:p>
    <w:p>
      <w:pPr>
        <w:spacing w:after="0" w:line="183" w:lineRule="exact"/>
        <w:rPr>
          <w:sz w:val="20"/>
          <w:szCs w:val="20"/>
          <w:color w:val="auto"/>
        </w:rPr>
      </w:pPr>
    </w:p>
    <w:p>
      <w:pPr>
        <w:ind w:right="720" w:firstLine="324"/>
        <w:spacing w:after="0" w:line="287" w:lineRule="auto"/>
        <w:rPr>
          <w:sz w:val="20"/>
          <w:szCs w:val="20"/>
          <w:color w:val="auto"/>
        </w:rPr>
      </w:pPr>
      <w:r>
        <w:rPr>
          <w:rFonts w:ascii="Arial" w:cs="Arial" w:eastAsia="Arial" w:hAnsi="Arial"/>
          <w:sz w:val="18"/>
          <w:szCs w:val="18"/>
          <w:b w:val="1"/>
          <w:bCs w:val="1"/>
          <w:i w:val="1"/>
          <w:iCs w:val="1"/>
          <w:color w:val="auto"/>
        </w:rPr>
        <w:t>Organizations may be reluctant to purchase our enterprise platform offerings that are cloud-based due to the actual or perceived vulnerability of cloud solutions.</w:t>
      </w:r>
    </w:p>
    <w:p>
      <w:pPr>
        <w:spacing w:after="0" w:line="175"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Some organizations, including those in the defense industry and highly regulated industries such as healthcare and financial services, have historically been reluctant to use cloud-based solutions for cybersecurity because they have concerns regarding the risks associated with the reliability or security of the technology delivery model associated with these solutions. If we or other software companies with cloud-based offerings experience security incidents, breaches of customer data, disruptions in service delivery or other problems, the market for cloud-based solutions as a whole may be negatively impacted, which in turn would negatively impact our revenue and our growth prospects.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sales cycle is long and unpredictable.</w:t>
      </w:r>
    </w:p>
    <w:p>
      <w:pPr>
        <w:spacing w:after="0" w:line="247"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The timing of sales of our offerings is difficult to forecast because of the length and unpredictability of our sales cycle, particularly with large enterprises and with respect to certain of our solutions. We sell our solutions primarily to IT departments that are managing a growing set of user and compliance demands, which has increased the complexity of customer requirements to be met and confirmed during the sales cycle and prolonged our sales cycle. Our average sales cycle with an enterprise customer is approximately four months, and to the extent we continue to enter into larger deals, our average sales cycle is likely to increase. Further, the length of time that potential customers devote to their testing and evaluation, contract negotiation and budgeting processes varies significantly, depending on the size of the organization and nature of the product or service under consideration. In addition, we might devote substantial time and effort to a particular unsuccessful sales effort, and as a result, we could lose other sales opportunities or incur expenses that are not offset by an increase in revenue, which could harm our business.</w:t>
      </w:r>
    </w:p>
    <w:p>
      <w:pPr>
        <w:spacing w:after="0" w:line="190" w:lineRule="exact"/>
        <w:rPr>
          <w:sz w:val="20"/>
          <w:szCs w:val="20"/>
          <w:color w:val="auto"/>
        </w:rPr>
      </w:pPr>
    </w:p>
    <w:p>
      <w:pPr>
        <w:ind w:right="120" w:firstLine="324"/>
        <w:spacing w:after="0" w:line="287" w:lineRule="auto"/>
        <w:rPr>
          <w:sz w:val="20"/>
          <w:szCs w:val="20"/>
          <w:color w:val="auto"/>
        </w:rPr>
      </w:pPr>
      <w:r>
        <w:rPr>
          <w:rFonts w:ascii="Arial" w:cs="Arial" w:eastAsia="Arial" w:hAnsi="Arial"/>
          <w:sz w:val="18"/>
          <w:szCs w:val="18"/>
          <w:b w:val="1"/>
          <w:bCs w:val="1"/>
          <w:i w:val="1"/>
          <w:iCs w:val="1"/>
          <w:color w:val="auto"/>
        </w:rPr>
        <w:t>Regulatory, legislative or self-regulatory standard developments regarding privacy and data security matters could adversely affect our ability to conduct our business.</w:t>
      </w:r>
    </w:p>
    <w:p>
      <w:pPr>
        <w:spacing w:after="0" w:line="175"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We, along with a significant number of our customers, are subject to laws, rules, regulations, and industry standards related to data privacy and cyber security, and restrictions or technological requirements regarding the collection, use, storage, protection, retention or transfer of data. In addition to current privacy and data security regulations currently in force in the jurisdictions where we operate, the General Data Protection Regulation, or GDPR came into force in May 2018. The GDPR contains numerous requirements and changes from prior European Union, or EU, law, including more robust obligations on data processors and data controllers, greater rights for data subjects, and heavier documentation requirements for data protection compliance programs. Specifically, the GDPR introduced numerous privacy-related changes for companies operating in the EU, including greater control over personal data by data subjects, such as the “right to be forgotten", increased data portability for EU consumers, data breach notification requirements, and increased fines. In particular, under the GDPR, fines of up to €20 million or up to 4% of the annual global revenue of the noncompliant company, whichever is greater, could be imposed for violations of certain of the GDPR’s requirements. The GDPR requirements apply not only to third-party transactions, but also to transfers of information between us and our subsidiaries, including employee information. We have an internal data privacy function that oversees and supervises our compliance with European data protection regulations. In the United States and globally, governments and agencies have adopted, and could in the future adopt, modify, apply or enforce laws, policies, regulations, and standards covering data subject privacy, data security, technologies such as cookies that are</w:t>
      </w:r>
    </w:p>
    <w:p>
      <w:pPr>
        <w:spacing w:after="0" w:line="200" w:lineRule="exact"/>
        <w:rPr>
          <w:sz w:val="20"/>
          <w:szCs w:val="20"/>
          <w:color w:val="auto"/>
        </w:rPr>
      </w:pP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60"/>
          </w:cols>
          <w:pgMar w:left="320" w:top="140" w:right="419" w:bottom="1440" w:gutter="0" w:footer="0" w:header="0"/>
        </w:sectPr>
      </w:pPr>
    </w:p>
    <w:bookmarkStart w:id="42" w:name="page43"/>
    <w:bookmarkEnd w:id="42"/>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used to collect, store and/or process data, marketing online, the use of data to inform marketing, the taxation of products and services, unfair and deceptive practices and the collection, including the collection of information, use, processing, transfer, storage and/or disclosure of data associated with unique individual internet users. We may be subject directly or via contract to such laws, policies, regulations, and standards. New regulation or legislative actions regarding data privacy and security, together with applicable industry standards, may increase the costs of doing business and could have a material adverse impact on our operations and cash flows.</w:t>
      </w:r>
    </w:p>
    <w:p>
      <w:pPr>
        <w:spacing w:after="0" w:line="205"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While we have taken steps to mitigate the impact on us, such as implementing standard contractual clauses as appropriate and self-certifying under the EU-US Privacy Shield, or the Privacy Shield, the efficacy and longevity of these mechanisms remains uncertain. For example, the European Court of Justice recently invalidated the use of the Privacy Shield, which had enabled the transfer of personal data from the European Union to the United States for companies like us that were self-certified under the Privacy Shield. As we are no longer able to rely on the Privacy Shield, our costs could increase and our ability to efficiently process personal data from the European Union could be negatively impacted. In addition, there are various activities in the European Union that could lead to the invalidation of the standard contractual clauses as accepted mechanisms for transferring personal data of European Union data subjects across borders, which could require us to implement costly substitutions for the data transfers we undertake in order to perform our services, or prevent such transfers entirely. Further, local data protection authorities general may have different interpretations of the GDPR, leading to potential inconsistencies amongst various EU states.</w:t>
      </w:r>
    </w:p>
    <w:p>
      <w:pPr>
        <w:spacing w:after="0" w:line="211"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Similarly, there are a number of federal and state level legislative proposals in the United States that could impose new obligations on us. For example, the California Consumer Privacy Act, or the CCPA, went into effect on January 1, 2020 and creates new individual privacy rights for consumers and places increased privacy and security obligations on entities handling the personal data of consumers or households. The CCPA requires covered companies to provide new disclosures to California consumers, which could include our employees residing in California based on the broad definitions in the law, to provide such consumers new ways to opt out of certain sales of personal information and to allow for new causes of action for data breaches. In addition, some countries are considering or have passed legislation implementing more onerous data protection requirements or requiring local storage and processing of data or other requirements that could increase the cost and complexity of delivering our services.</w:t>
      </w:r>
    </w:p>
    <w:p>
      <w:pPr>
        <w:spacing w:after="0" w:line="205"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If we are investigated by an applicable data protection authority or are determined to have not complied with applicable laws, we may face fines and other penalties. Any such investigation or charges by applicable data protection authorities could have a negative effect on our existing business and on our ability to attract and retain new customers. Existing and proposed laws and regulations can be costly to comply with, could expose us to significant penalties for non-compliance, can delay or impede the development or adoption of our products and services, reduce the overall demand for our services, result in negative publicity, increase our operating costs, require significant management time and attention and subject us to claims or other remedies, including fines or demands that we modify or cease existing business practices.</w:t>
      </w:r>
    </w:p>
    <w:p>
      <w:pPr>
        <w:spacing w:after="0" w:line="185" w:lineRule="exact"/>
        <w:rPr>
          <w:sz w:val="20"/>
          <w:szCs w:val="20"/>
          <w:color w:val="auto"/>
        </w:rPr>
      </w:pPr>
    </w:p>
    <w:p>
      <w:pPr>
        <w:ind w:right="700" w:firstLine="324"/>
        <w:spacing w:after="0" w:line="287" w:lineRule="auto"/>
        <w:rPr>
          <w:sz w:val="20"/>
          <w:szCs w:val="20"/>
          <w:color w:val="auto"/>
        </w:rPr>
      </w:pPr>
      <w:r>
        <w:rPr>
          <w:rFonts w:ascii="Arial" w:cs="Arial" w:eastAsia="Arial" w:hAnsi="Arial"/>
          <w:sz w:val="18"/>
          <w:szCs w:val="18"/>
          <w:b w:val="1"/>
          <w:bCs w:val="1"/>
          <w:i w:val="1"/>
          <w:iCs w:val="1"/>
          <w:color w:val="auto"/>
        </w:rPr>
        <w:t>We rely on our third-party channel partner network of distributors and resellers to generate a substantial amount of our revenue.</w:t>
      </w:r>
    </w:p>
    <w:p>
      <w:pPr>
        <w:spacing w:after="0" w:line="175" w:lineRule="exact"/>
        <w:rPr>
          <w:sz w:val="20"/>
          <w:szCs w:val="20"/>
          <w:color w:val="auto"/>
        </w:rPr>
      </w:pPr>
    </w:p>
    <w:p>
      <w:pPr>
        <w:ind w:right="60" w:firstLine="324"/>
        <w:spacing w:after="0" w:line="251" w:lineRule="auto"/>
        <w:rPr>
          <w:sz w:val="20"/>
          <w:szCs w:val="20"/>
          <w:color w:val="auto"/>
        </w:rPr>
      </w:pPr>
      <w:r>
        <w:rPr>
          <w:rFonts w:ascii="Arial" w:cs="Arial" w:eastAsia="Arial" w:hAnsi="Arial"/>
          <w:sz w:val="18"/>
          <w:szCs w:val="18"/>
          <w:color w:val="auto"/>
        </w:rPr>
        <w:t>Our success is dependent in part upon establishing and maintaining relationships with a variety of channel partners that we utilize to extend our geographic reach and market penetration. We use a two-tiered, indirect fulfillment model whereby we sell our products and services to our distributors, which in turn sell to our resellers, which then sell to our end users, which we call customers. We anticipate that we will continue to rely on this two-tiered sales model in order to help facilitate sales of our offerings as part of larger purchases in the United States and to grow our business internationally. In the six months ended June 30, 2020 and 2019, we derived 91% and 90%, respectively, of our revenue from subscriptions and perpetual licenses sold through channel partners, and the percentage of revenue derived from channel partners may continue to increase in future periods. Ingram Micro, Inc., a distributor, accounted for 43% of our revenue in each of the six months ended June 30, 2020 and 2019, and 40% of our accounts receivable as of June 30, 2020. Our agreements with our channel partners, including our agreement with Ingram Micro, are non-exclusive and do not prohibit them from working with our competitors or offering competing solutions, and some of our channel partners may have more established relationships with our competitors. Similarly, our channel partners have no obligations to renew their agreements with us on commercially reasonable terms or at all, and certain of the agreements governing these relationships may be terminated by either party at any time, with no or limited notice. For example, our agreement with Ingram Micro allows Ingram Micro to terminate the agreement in their discretion upon 30 days’ written notice to us. If our channel partners choose to place greater emphasis on products of their own or those offered by our competitors or a result of an acquisition, competitive factors or other reasons do not continue to market and sell our solutions in an effective manner or at all, our ability to grow our business and sell our solutions, particularly</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320" w:top="140" w:right="359" w:bottom="1440" w:gutter="0" w:footer="0" w:header="0"/>
        </w:sectPr>
      </w:pPr>
    </w:p>
    <w:bookmarkStart w:id="43" w:name="page44"/>
    <w:bookmarkEnd w:id="43"/>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 key international markets, may be adversely affected. In addition, our failure to recruit additional channel partners, or any reduction or delay in their sales of our solutions and professional services, including as a result of the COVID-19 pandemic, or conflicts between channel sales and our direct sales and marketing activities may harm our results of operations. Finally, even if we are successful, our relationships with channel partners may not result in greater customer usage of our solutions and professional services or increased revenue.</w:t>
      </w:r>
    </w:p>
    <w:p>
      <w:pPr>
        <w:spacing w:after="0" w:line="182" w:lineRule="exact"/>
        <w:rPr>
          <w:sz w:val="20"/>
          <w:szCs w:val="20"/>
          <w:color w:val="auto"/>
        </w:rPr>
      </w:pPr>
    </w:p>
    <w:p>
      <w:pPr>
        <w:ind w:right="320" w:firstLine="324"/>
        <w:spacing w:after="0" w:line="287" w:lineRule="auto"/>
        <w:rPr>
          <w:sz w:val="20"/>
          <w:szCs w:val="20"/>
          <w:color w:val="auto"/>
        </w:rPr>
      </w:pPr>
      <w:r>
        <w:rPr>
          <w:rFonts w:ascii="Arial" w:cs="Arial" w:eastAsia="Arial" w:hAnsi="Arial"/>
          <w:sz w:val="18"/>
          <w:szCs w:val="18"/>
          <w:b w:val="1"/>
          <w:bCs w:val="1"/>
          <w:i w:val="1"/>
          <w:iCs w:val="1"/>
          <w:color w:val="auto"/>
        </w:rPr>
        <w:t>A portion of our revenue is generated from subscriptions and perpetual licenses sold to domestic governmental entities, foreign governmental entities and other heavily regulated organizations, which are subject to a number of challenges and risks.</w:t>
      </w:r>
    </w:p>
    <w:p>
      <w:pPr>
        <w:spacing w:after="0" w:line="175" w:lineRule="exact"/>
        <w:rPr>
          <w:sz w:val="20"/>
          <w:szCs w:val="20"/>
          <w:color w:val="auto"/>
        </w:rPr>
      </w:pPr>
    </w:p>
    <w:p>
      <w:pPr>
        <w:ind w:right="220" w:firstLine="324"/>
        <w:spacing w:after="0" w:line="251" w:lineRule="auto"/>
        <w:rPr>
          <w:sz w:val="20"/>
          <w:szCs w:val="20"/>
          <w:color w:val="auto"/>
        </w:rPr>
      </w:pPr>
      <w:r>
        <w:rPr>
          <w:rFonts w:ascii="Arial" w:cs="Arial" w:eastAsia="Arial" w:hAnsi="Arial"/>
          <w:sz w:val="18"/>
          <w:szCs w:val="18"/>
          <w:color w:val="auto"/>
        </w:rPr>
        <w:t>A portion of our revenue is generated from subscriptions and perpetual licenses sold to governmental entities in the United States. Additionally, many of our current and prospective customers, such as those in the financial services, energy, insurance and healthcare industries, are highly regulated and may be required to comply with more stringent regulations in connection with subscribing to and implementing our enterprise platform. Selling licenses to these entities can be highly competitive, expensive and time-consuming, often requiring significant upfront time and expense without any assurance that we will successfully complete a sale. Governmental demand and payment for our enterprise platform may also be impacted by public sector budgetary cycles and funding authorizations, with funding reductions or delays adversely affecting public sector demand for our enterprise platform. In addition, governmental entities have the authority to terminate contracts at any time for the convenience of the government, which creates risk regarding revenue anticipated under our existing government contracts.</w:t>
      </w:r>
    </w:p>
    <w:p>
      <w:pPr>
        <w:spacing w:after="0" w:line="212"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Further, governmental and highly regulated entities often require contract terms that differ from our standard customer arrangements, including terms that can lead to those customers obtaining broader rights in our solutions than would be expected under a standard commercial contract and terms that can allow for early termination. The U.S. government will be able to terminate any of its contracts with us either for its convenience or if we default by failing to perform in accordance with the contract schedule and terms. Termination for convenience provisions would generally enable us to recover only our costs incurred or committed, settlement expenses, and profit on the work completed prior to termination. Termination for default provisions do not permit these recoveries and would make us liable for excess costs incurred by the U.S. government in procuring undelivered items from another source. Contracts with governmental and highly regulated entities may also include preferential pricing terms. In the United States, federal government agencies may promulgate regulations, and the President may issue executive orders, requiring federal contractors to adhere to different or additional requirements after a contract is signed. If we do not meet applicable requirements of law or contract, we could be subject to significant liability from our customers or regulators. Even if we do meet these requirements, the additional costs associated with providing our enterprise platform to government and highly regulated customers could harm our operating results. Moreover, changes in the underlying statutory and regulatory conditions that affect these types of customers could harm our ability to efficiently provide them access to our enterprise platform and to grow or maintain our customer base. In addition, engaging in sales activities to foreign governments introduces additional compliance risks, including risks specific to anti-bribery regulations, including the U.S. Foreign Corrupt Practices Act of 1977, as amended, or the FCPA, the U.K. Bribery Act 2010 and other similar statutory requirements prohibiting bribery and corruption in the jurisdictions in which we operate. Further, in some jurisdictions we may be required to obtain government certifications, which may be costly to maintain and, if we lost such certifications in the future or if such certification requirements changed, would restrict our ability to sell to government entities until we have attained such certifications.</w:t>
      </w:r>
    </w:p>
    <w:p>
      <w:pPr>
        <w:spacing w:after="0" w:line="207" w:lineRule="exact"/>
        <w:rPr>
          <w:sz w:val="20"/>
          <w:szCs w:val="20"/>
          <w:color w:val="auto"/>
        </w:rPr>
      </w:pPr>
    </w:p>
    <w:p>
      <w:pPr>
        <w:ind w:right="240" w:firstLine="324"/>
        <w:spacing w:after="0" w:line="256" w:lineRule="auto"/>
        <w:rPr>
          <w:sz w:val="20"/>
          <w:szCs w:val="20"/>
          <w:color w:val="auto"/>
        </w:rPr>
      </w:pPr>
      <w:r>
        <w:rPr>
          <w:rFonts w:ascii="Arial" w:cs="Arial" w:eastAsia="Arial" w:hAnsi="Arial"/>
          <w:sz w:val="18"/>
          <w:szCs w:val="18"/>
          <w:color w:val="auto"/>
        </w:rPr>
        <w:t>Some of our revenue is derived from contracts with U.S. government entities, as well as subcontracts with higher-tier contractors. As a result, we are subject to federal contracting regulations, including the Federal Acquisition Regulation, or the FAR. Under the FAR, certain types of contracts require pricing that is based on estimated direct and indirect costs, which are subject to change.</w:t>
      </w:r>
    </w:p>
    <w:p>
      <w:pPr>
        <w:spacing w:after="0" w:line="202" w:lineRule="exact"/>
        <w:rPr>
          <w:sz w:val="20"/>
          <w:szCs w:val="20"/>
          <w:color w:val="auto"/>
        </w:rPr>
      </w:pPr>
    </w:p>
    <w:p>
      <w:pPr>
        <w:ind w:right="180" w:firstLine="324"/>
        <w:spacing w:after="0" w:line="252" w:lineRule="auto"/>
        <w:rPr>
          <w:sz w:val="20"/>
          <w:szCs w:val="20"/>
          <w:color w:val="auto"/>
        </w:rPr>
      </w:pPr>
      <w:r>
        <w:rPr>
          <w:rFonts w:ascii="Arial" w:cs="Arial" w:eastAsia="Arial" w:hAnsi="Arial"/>
          <w:sz w:val="18"/>
          <w:szCs w:val="18"/>
          <w:color w:val="auto"/>
        </w:rPr>
        <w:t>In connection with our U.S. government contracts, we may be subject to government audits and review of our policies, procedures, and internal controls for compliance with contract terms, procurement regulations, and applicable laws. In certain circumstances, if we do not comply with the terms of a contract or with regulations or statutes, we could be subject to contract termination or downward contract price adjustments or refund obligations, could be assessed civil or criminal penalties, or could be debarred or suspended from obtaining future government contracts for a specified period of time. Any such termination, adjustment, sanction, debarment or suspension could have an adverse effect on our business.</w:t>
      </w:r>
    </w:p>
    <w:p>
      <w:pPr>
        <w:spacing w:after="0" w:line="208" w:lineRule="exact"/>
        <w:rPr>
          <w:sz w:val="20"/>
          <w:szCs w:val="20"/>
          <w:color w:val="auto"/>
        </w:rPr>
      </w:pPr>
    </w:p>
    <w:p>
      <w:pPr>
        <w:ind w:right="460" w:firstLine="324"/>
        <w:spacing w:after="0" w:line="261" w:lineRule="auto"/>
        <w:rPr>
          <w:sz w:val="20"/>
          <w:szCs w:val="20"/>
          <w:color w:val="auto"/>
        </w:rPr>
      </w:pPr>
      <w:r>
        <w:rPr>
          <w:rFonts w:ascii="Arial" w:cs="Arial" w:eastAsia="Arial" w:hAnsi="Arial"/>
          <w:sz w:val="18"/>
          <w:szCs w:val="18"/>
          <w:color w:val="auto"/>
        </w:rPr>
        <w:t>In the course of providing our solutions and professional services to governmental entities, our employees and those of our channel partners may be exposed to sensitive government information. Any failure by us or our channel</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40" w:right="339" w:bottom="1440" w:gutter="0" w:footer="0" w:header="0"/>
        </w:sectPr>
      </w:pPr>
    </w:p>
    <w:bookmarkStart w:id="44" w:name="page45"/>
    <w:bookmarkEnd w:id="44"/>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partners to safeguard and maintain the confidentiality of such information could subject us to liability and reputational harm, which could materially and adversely affect our results of operations and financial performance.</w:t>
      </w:r>
    </w:p>
    <w:p>
      <w:pPr>
        <w:spacing w:after="0" w:line="176" w:lineRule="exact"/>
        <w:rPr>
          <w:sz w:val="20"/>
          <w:szCs w:val="20"/>
          <w:color w:val="auto"/>
        </w:rPr>
      </w:pPr>
    </w:p>
    <w:p>
      <w:pPr>
        <w:ind w:right="680" w:firstLine="324"/>
        <w:spacing w:after="0" w:line="287" w:lineRule="auto"/>
        <w:rPr>
          <w:sz w:val="20"/>
          <w:szCs w:val="20"/>
          <w:color w:val="auto"/>
        </w:rPr>
      </w:pPr>
      <w:r>
        <w:rPr>
          <w:rFonts w:ascii="Arial" w:cs="Arial" w:eastAsia="Arial" w:hAnsi="Arial"/>
          <w:sz w:val="18"/>
          <w:szCs w:val="18"/>
          <w:b w:val="1"/>
          <w:bCs w:val="1"/>
          <w:i w:val="1"/>
          <w:iCs w:val="1"/>
          <w:color w:val="auto"/>
        </w:rPr>
        <w:t>Our pricing model subjects us to various challenges that could make it difficult for us to derive expected value from our customers and we may need to reduce our prices or change our pricing model to remain competitive.</w:t>
      </w:r>
    </w:p>
    <w:p>
      <w:pPr>
        <w:spacing w:after="0" w:line="175"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Subscriptions and perpetual licenses to our enterprise platform are generally priced based on the number of IP addresses or total IT assets that can be monitored. We expect that we may need to change our pricing from time to time. As competitors introduce new products that compete with ours or reduce their prices, we may be unable to attract new customers or retain existing customers based on our historical pricing. We also must determine the appropriate price to enable us to compete effectively internationally. Moreover, mid- to large-size enterprises may demand substantial price discounts as part of the negotiation of sales contracts and, as the amount of IT assets or IP addresses within our customers' organization grows, we may face additional pressure from our customers regarding our pricing. As a result, we may be required or choose to reduce our prices or change our pricing model, which could adversely affect our business, revenue, operating margins, and financial condition.</w:t>
      </w:r>
    </w:p>
    <w:p>
      <w:pPr>
        <w:spacing w:after="0" w:line="205"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Further, our subscription agreements and perpetual licenses generally provide that we can audit our customers’ use of our offerings to ensure compliance with the terms of such agreement or license and monitor an increase in IT assets and IP addresses being monitored. However, a customer may resist or refuse to allow us to audit their usage, in which case we may have to pursue legal recourse to enforce our rights under the agreement or license, which would require us to spend money, distract management and potentially adversely affect our relationship with our customers and users.</w:t>
      </w:r>
    </w:p>
    <w:p>
      <w:pPr>
        <w:spacing w:after="0" w:line="183" w:lineRule="exact"/>
        <w:rPr>
          <w:sz w:val="20"/>
          <w:szCs w:val="20"/>
          <w:color w:val="auto"/>
        </w:rPr>
      </w:pPr>
    </w:p>
    <w:p>
      <w:pPr>
        <w:ind w:right="480" w:firstLine="324"/>
        <w:spacing w:after="0" w:line="287" w:lineRule="auto"/>
        <w:rPr>
          <w:sz w:val="20"/>
          <w:szCs w:val="20"/>
          <w:color w:val="auto"/>
        </w:rPr>
      </w:pPr>
      <w:r>
        <w:rPr>
          <w:rFonts w:ascii="Arial" w:cs="Arial" w:eastAsia="Arial" w:hAnsi="Arial"/>
          <w:sz w:val="18"/>
          <w:szCs w:val="18"/>
          <w:b w:val="1"/>
          <w:bCs w:val="1"/>
          <w:i w:val="1"/>
          <w:iCs w:val="1"/>
          <w:color w:val="auto"/>
        </w:rPr>
        <w:t>If our enterprise platform offerings do not achieve sufficient market acceptance, our results of operations and competitive position will suffer.</w:t>
      </w:r>
    </w:p>
    <w:p>
      <w:pPr>
        <w:spacing w:after="0" w:line="175"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We spend substantial amounts of time and money to research and develop and enhance our enterprise platform offerings to meet our customers’ rapidly evolving demands. In addition, we invest in efforts to continue to add capabilities to our existing products and enable the continued detection of new network vulnerabilities. We typically incur expenses and expend resources upfront to market, promote and sell our new and enhanced offerings. Therefore, when we develop and introduce new or enhanced offerings, they must achieve high levels of market acceptance in order to justify the amount of our investment in developing and bringing them to market. For example, if Tenable Lumin does not garner widespread market adoption and implementation, our operating results and competitive position could suffer.</w:t>
      </w:r>
    </w:p>
    <w:p>
      <w:pPr>
        <w:spacing w:after="0" w:line="208" w:lineRule="exact"/>
        <w:rPr>
          <w:sz w:val="20"/>
          <w:szCs w:val="20"/>
          <w:color w:val="auto"/>
        </w:rPr>
      </w:pPr>
    </w:p>
    <w:p>
      <w:pPr>
        <w:jc w:val="both"/>
        <w:ind w:right="140" w:firstLine="324"/>
        <w:spacing w:after="0" w:line="291" w:lineRule="auto"/>
        <w:rPr>
          <w:sz w:val="20"/>
          <w:szCs w:val="20"/>
          <w:color w:val="auto"/>
        </w:rPr>
      </w:pPr>
      <w:r>
        <w:rPr>
          <w:rFonts w:ascii="Arial" w:cs="Arial" w:eastAsia="Arial" w:hAnsi="Arial"/>
          <w:sz w:val="17"/>
          <w:szCs w:val="17"/>
          <w:color w:val="auto"/>
        </w:rPr>
        <w:t>Further, we may make enhancements to our offerings that our customers do not like, find useful or agree with. We may also discontinue certain features, begin to charge for certain features that are currently free or increase fees for any of our features or usage of our offerings.</w:t>
      </w:r>
    </w:p>
    <w:p>
      <w:pPr>
        <w:spacing w:after="0" w:line="174" w:lineRule="exact"/>
        <w:rPr>
          <w:sz w:val="20"/>
          <w:szCs w:val="20"/>
          <w:color w:val="auto"/>
        </w:rPr>
      </w:pPr>
    </w:p>
    <w:p>
      <w:pPr>
        <w:ind w:right="540" w:firstLine="324"/>
        <w:spacing w:after="0" w:line="261" w:lineRule="auto"/>
        <w:rPr>
          <w:sz w:val="20"/>
          <w:szCs w:val="20"/>
          <w:color w:val="auto"/>
        </w:rPr>
      </w:pPr>
      <w:r>
        <w:rPr>
          <w:rFonts w:ascii="Arial" w:cs="Arial" w:eastAsia="Arial" w:hAnsi="Arial"/>
          <w:sz w:val="18"/>
          <w:szCs w:val="18"/>
          <w:color w:val="auto"/>
        </w:rPr>
        <w:t>Our new offerings or enhancements and changes to our existing offerings could fail to attain sufficient market acceptance for many reasons, including:</w:t>
      </w:r>
    </w:p>
    <w:p>
      <w:pPr>
        <w:spacing w:after="0" w:line="90" w:lineRule="exact"/>
        <w:rPr>
          <w:sz w:val="20"/>
          <w:szCs w:val="20"/>
          <w:color w:val="auto"/>
        </w:rPr>
      </w:pPr>
    </w:p>
    <w:p>
      <w:pPr>
        <w:ind w:left="660" w:right="600" w:hanging="328"/>
        <w:spacing w:after="0" w:line="25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to predict market demand accurately in terms of functionality and to supply offerings that meets this demand in a timely fashion;</w:t>
      </w: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defects, errors or failures;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negative publicity about their performance or effectiveness;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delays in releasing our new offerings or enhancements to our existing offerings to the market;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introduction or anticipated introduction of competing products by our competitors;</w:t>
      </w:r>
    </w:p>
    <w:p>
      <w:pPr>
        <w:spacing w:after="0" w:line="9" w:lineRule="exact"/>
        <w:rPr>
          <w:rFonts w:ascii="Arial" w:cs="Arial" w:eastAsia="Arial" w:hAnsi="Arial"/>
          <w:sz w:val="18"/>
          <w:szCs w:val="18"/>
          <w:color w:val="auto"/>
        </w:rPr>
      </w:pPr>
    </w:p>
    <w:p>
      <w:pPr>
        <w:ind w:left="660" w:right="260" w:hanging="328"/>
        <w:spacing w:after="0" w:line="25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poor business conditions for our customers, including as a result of the COVID-19 pandemic, causing them to delay IT purchases; and</w:t>
      </w: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reluctance of customers to purchase cloud-based offerings.</w:t>
      </w:r>
    </w:p>
    <w:p>
      <w:pPr>
        <w:spacing w:after="0" w:line="225" w:lineRule="exact"/>
        <w:rPr>
          <w:sz w:val="20"/>
          <w:szCs w:val="20"/>
          <w:color w:val="auto"/>
        </w:rPr>
      </w:pPr>
    </w:p>
    <w:p>
      <w:pPr>
        <w:ind w:right="260" w:firstLine="324"/>
        <w:spacing w:after="0" w:line="256" w:lineRule="auto"/>
        <w:rPr>
          <w:sz w:val="20"/>
          <w:szCs w:val="20"/>
          <w:color w:val="auto"/>
        </w:rPr>
      </w:pPr>
      <w:r>
        <w:rPr>
          <w:rFonts w:ascii="Arial" w:cs="Arial" w:eastAsia="Arial" w:hAnsi="Arial"/>
          <w:sz w:val="18"/>
          <w:szCs w:val="18"/>
          <w:color w:val="auto"/>
        </w:rPr>
        <w:t>If our new or enhanced offerings do not achieve adequate acceptance in the market, our competitive position will be impaired, and our revenue will be diminished. The adverse effect on our operating results may be particularly acute because of the significant research, development, marketing, sales and other expenses we will have incurred in connection with the new or enhanced offerings.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140" w:right="339" w:bottom="1440" w:gutter="0" w:footer="0" w:header="0"/>
        </w:sectPr>
      </w:pPr>
    </w:p>
    <w:bookmarkStart w:id="45" w:name="page46"/>
    <w:bookmarkEnd w:id="45"/>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ind w:right="600" w:firstLine="324"/>
        <w:spacing w:after="0" w:line="287" w:lineRule="auto"/>
        <w:rPr>
          <w:sz w:val="20"/>
          <w:szCs w:val="20"/>
          <w:color w:val="auto"/>
        </w:rPr>
      </w:pPr>
      <w:r>
        <w:rPr>
          <w:rFonts w:ascii="Arial" w:cs="Arial" w:eastAsia="Arial" w:hAnsi="Arial"/>
          <w:sz w:val="18"/>
          <w:szCs w:val="18"/>
          <w:b w:val="1"/>
          <w:bCs w:val="1"/>
          <w:i w:val="1"/>
          <w:iCs w:val="1"/>
          <w:color w:val="auto"/>
        </w:rPr>
        <w:t>Our strategy of offering and deploying our solutions in the cloud, on-premises environments or using a hybrid approach causes us to incur increased expenses and may pose challenges to our business.</w:t>
      </w:r>
    </w:p>
    <w:p>
      <w:pPr>
        <w:spacing w:after="0" w:line="175"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We offer and sell our enterprise platform for use in the cloud, on-premises environments or using a hybrid approach using the customer’s own infrastructure. Our cloud offering enables our customers to eliminate the burden of provisioning and maintaining infrastructure and to scale their usage of our solutions quickly, while our on-premises offering allows for the customer’s complete control over data security and software infrastructure. Historically, our solutions were developed in the context of the on-premises offering, and we have less operating experience offering and selling subscriptions to our solutions via our cloud offering. Although a substantial majority of our revenue has historically been generated from customers using our solutions on an on-premises basis, our customers are increasingly adopting our cloud offering. We expect that our customers will continue to move to our cloud offering and that it will become more central to our distribution model. We expect our gross profit to increase in absolute dollars and our gross margin to decrease to the extent that revenue from our cloud-based subscriptions increases as a percentage of revenue, although our gross margin could fluctuate from period to period. To support both on-premises environments and cloud instances of our product, our support team must be trained on and learn multiple environments in which our solution is deployed, which is more expensive than supporting only a cloud offering. Moreover, we must engineer our software for an on-premises environment, cloud offering and hybrid installation, which we expect will cause us additional research and development expense that may impact our operating results. As more of our customers transition to the cloud, we may be subject to additional competitive pressures, which may harm our business. We are directing a significant portion of our financial and operating resources to implement a robust and secure cloud offering for our customers, but even if we continue to make these investments, we may be unsuccessful in growing or implementing our cloud offering in a way that competes successfully against our current and future competitors and our business, results of operations and financial condition could be harmed.</w:t>
      </w:r>
    </w:p>
    <w:p>
      <w:pPr>
        <w:spacing w:after="0" w:line="186" w:lineRule="exact"/>
        <w:rPr>
          <w:sz w:val="20"/>
          <w:szCs w:val="20"/>
          <w:color w:val="auto"/>
        </w:rPr>
      </w:pPr>
    </w:p>
    <w:p>
      <w:pPr>
        <w:ind w:right="300" w:firstLine="324"/>
        <w:spacing w:after="0" w:line="287" w:lineRule="auto"/>
        <w:rPr>
          <w:sz w:val="20"/>
          <w:szCs w:val="20"/>
          <w:color w:val="auto"/>
        </w:rPr>
      </w:pPr>
      <w:r>
        <w:rPr>
          <w:rFonts w:ascii="Arial" w:cs="Arial" w:eastAsia="Arial" w:hAnsi="Arial"/>
          <w:sz w:val="18"/>
          <w:szCs w:val="18"/>
          <w:b w:val="1"/>
          <w:bCs w:val="1"/>
          <w:i w:val="1"/>
          <w:iCs w:val="1"/>
          <w:color w:val="auto"/>
        </w:rPr>
        <w:t>Our customers’ increased usage of our cloud-based offerings requires us to continually improve our computer network and infrastructure to avoid service interruptions or slower system performance.</w:t>
      </w:r>
    </w:p>
    <w:p>
      <w:pPr>
        <w:spacing w:after="0" w:line="175"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As usage of our cloud-based offerings grows and as customers use them for more complicated applications, increased assets and with increased data requirements, we will need to devote additional resources to improving our platform architecture and our infrastructure in order to maintain the performance of our cloud offering. Any failure or delays in our computer systems could cause service interruptions or slower system performance. If sustained or repeated, these performance issues could reduce the attractiveness of our enterprise platform to customers. These performance issues could result in lost customer opportunities and lower renewal rates, any of which could hurt our revenue growth, customer loyalty and reputation.</w:t>
      </w:r>
    </w:p>
    <w:p>
      <w:pPr>
        <w:spacing w:after="0" w:line="186" w:lineRule="exact"/>
        <w:rPr>
          <w:sz w:val="20"/>
          <w:szCs w:val="20"/>
          <w:color w:val="auto"/>
        </w:rPr>
      </w:pPr>
    </w:p>
    <w:p>
      <w:pPr>
        <w:ind w:right="400" w:firstLine="324"/>
        <w:spacing w:after="0" w:line="287" w:lineRule="auto"/>
        <w:rPr>
          <w:sz w:val="20"/>
          <w:szCs w:val="20"/>
          <w:color w:val="auto"/>
        </w:rPr>
      </w:pPr>
      <w:r>
        <w:rPr>
          <w:rFonts w:ascii="Arial" w:cs="Arial" w:eastAsia="Arial" w:hAnsi="Arial"/>
          <w:sz w:val="18"/>
          <w:szCs w:val="18"/>
          <w:b w:val="1"/>
          <w:bCs w:val="1"/>
          <w:i w:val="1"/>
          <w:iCs w:val="1"/>
          <w:color w:val="auto"/>
        </w:rPr>
        <w:t>A component of our growth strategy is dependent on our continued international expansion, which adds complexity to our operations.</w:t>
      </w:r>
    </w:p>
    <w:p>
      <w:pPr>
        <w:spacing w:after="0" w:line="175"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We market and sell our solutions and professional services throughout the world and have personnel in many parts of the world. International operations generated 38% and 36% of our revenue in the six months ended June 30, 2020 and 2019, respectively. Our growth strategy is dependent, in part, on our continued international expansion. We expect to conduct a significant amount of our business with organizations that are located outside the United States, particularly in Europe and Asia. We cannot assure that our expansion efforts into international markets will be successful in creating further demand for our solutions and professional services outside of the United States or in effectively selling our solutions and professional services in the international markets that we enter. Our current international operations and future initiatives will involve a variety of risks, including:</w:t>
      </w:r>
    </w:p>
    <w:p>
      <w:pPr>
        <w:spacing w:after="0" w:line="99"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increased management, infrastructure and legal costs associated with having international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reliance on channel partners;</w:t>
      </w:r>
    </w:p>
    <w:p>
      <w:pPr>
        <w:spacing w:after="0" w:line="9" w:lineRule="exact"/>
        <w:rPr>
          <w:rFonts w:ascii="Arial" w:cs="Arial" w:eastAsia="Arial" w:hAnsi="Arial"/>
          <w:sz w:val="18"/>
          <w:szCs w:val="18"/>
          <w:color w:val="auto"/>
        </w:rPr>
      </w:pPr>
    </w:p>
    <w:p>
      <w:pPr>
        <w:ind w:left="660" w:right="200" w:hanging="328"/>
        <w:spacing w:after="0" w:line="250"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trade and foreign exchange restrictions, including potential changes in trade relations arising from policy initiatives implemented by the current U.S. administration, which has been critical of existing and proposed trade agreements;</w:t>
      </w:r>
    </w:p>
    <w:p>
      <w:pPr>
        <w:ind w:left="660" w:right="80" w:hanging="328"/>
        <w:spacing w:after="0" w:line="250"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economic or political instability in foreign markets, including instability related to the United Kingdom’s recent exit from the European Union and the corresponding impact on its ongoing legal, political, and economic relationship with the European Union and the COVID-19 pandemic;</w:t>
      </w:r>
    </w:p>
    <w:p>
      <w:pPr>
        <w:spacing w:after="0" w:line="1" w:lineRule="exact"/>
        <w:rPr>
          <w:rFonts w:ascii="Arial" w:cs="Arial" w:eastAsia="Arial" w:hAnsi="Arial"/>
          <w:sz w:val="18"/>
          <w:szCs w:val="18"/>
          <w:color w:val="auto"/>
        </w:rPr>
      </w:pPr>
    </w:p>
    <w:p>
      <w:pPr>
        <w:ind w:left="660" w:right="740" w:hanging="328"/>
        <w:spacing w:after="0" w:line="250"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travel restrictions resulting from the COVID-19 pandemic, including restrictions on U.S. travelers from entering some foreign countries;</w:t>
      </w: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greater difficulty in enforcing contracts, accounts receivable collection and longer collection periods;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20"/>
          </w:cols>
          <w:pgMar w:left="320" w:top="140" w:right="359" w:bottom="1440" w:gutter="0" w:footer="0" w:header="0"/>
        </w:sectPr>
      </w:pPr>
    </w:p>
    <w:bookmarkStart w:id="46" w:name="page47"/>
    <w:bookmarkEnd w:id="46"/>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regulatory requirements, including, but not limited to data privacy, data protection and data security regulations;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difficulties and costs of staffing, managing and potentially reorganizing foreign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uncertainty and limitation of protection for intellectual property rights in some countries;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costs of compliance with foreign laws and regulations and the risks and costs of non-compliance with such laws and regulations;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differing labor regulations in foreign jurisdictions where labor laws are generally more advantageous to employees, including deemed hourly wage and overtime regulations in these locations;</w:t>
      </w:r>
    </w:p>
    <w:p>
      <w:pPr>
        <w:ind w:left="660" w:right="80" w:hanging="328"/>
        <w:spacing w:after="0" w:line="250"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costs of compliance with U.S. laws and regulations for foreign operations, including the FCPA, import and export control laws, tariffs, trade barriers, economic sanctions and other regulatory or contractual limitations on our ability to sell or provide our solutions in certain foreign markets, and the risks and costs of non-compliance;</w:t>
      </w:r>
    </w:p>
    <w:p>
      <w:pPr>
        <w:spacing w:after="0" w:line="1" w:lineRule="exact"/>
        <w:rPr>
          <w:rFonts w:ascii="Arial" w:cs="Arial" w:eastAsia="Arial" w:hAnsi="Arial"/>
          <w:sz w:val="18"/>
          <w:szCs w:val="18"/>
          <w:color w:val="auto"/>
        </w:rPr>
      </w:pPr>
    </w:p>
    <w:p>
      <w:pPr>
        <w:ind w:left="660" w:right="100" w:hanging="328"/>
        <w:spacing w:after="0" w:line="250"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requirements to comply with foreign privacy, data protection and information security laws and regulations and the risks and costs of noncompliance;</w:t>
      </w:r>
    </w:p>
    <w:p>
      <w:pPr>
        <w:ind w:left="660" w:right="60" w:hanging="328"/>
        <w:spacing w:after="0" w:line="250"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heightened risks of unfair or corrupt business practices in certain geographies and of improper or fraudulent sales arrangements that may impact financial results and result in restatements of, and irregularities in, financial statements;</w:t>
      </w: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potential for political unrest, pandemics, acts of terrorism, hostilities or war;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management communication and integration problems resulting from cultural differences and geographic dispersion;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costs associated with language localization of our solutions;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costs of compliance with multiple and possibly overlapping tax structures.</w:t>
      </w:r>
    </w:p>
    <w:p>
      <w:pPr>
        <w:spacing w:after="0" w:line="225" w:lineRule="exact"/>
        <w:rPr>
          <w:sz w:val="20"/>
          <w:szCs w:val="20"/>
          <w:color w:val="auto"/>
        </w:rPr>
      </w:pPr>
    </w:p>
    <w:p>
      <w:pPr>
        <w:jc w:val="both"/>
        <w:ind w:right="280" w:firstLine="324"/>
        <w:spacing w:after="0" w:line="250" w:lineRule="auto"/>
        <w:rPr>
          <w:sz w:val="20"/>
          <w:szCs w:val="20"/>
          <w:color w:val="auto"/>
        </w:rPr>
      </w:pPr>
      <w:r>
        <w:rPr>
          <w:rFonts w:ascii="Arial" w:cs="Arial" w:eastAsia="Arial" w:hAnsi="Arial"/>
          <w:sz w:val="18"/>
          <w:szCs w:val="18"/>
          <w:color w:val="auto"/>
        </w:rPr>
        <w:t>Our business, including the sales of our solutions and professional services by us and our channel partners, may be subject to foreign governmental regulations, which vary substantially from country to country and change from time to time. Our failure, or the failure by our channel partners, to comply with these regulations could adversely affect our business. Further, in many foreign countries it is common for others to engage in business practices that are prohibited by our internal policies and procedures or U.S. regulations applicable to us.</w:t>
      </w:r>
    </w:p>
    <w:p>
      <w:pPr>
        <w:spacing w:after="0" w:line="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Although we have implemented policies and procedures designed to comply with these laws and policies, there can be no assurance that our employees, contractors, channel partners and agents have complied, or will comply, with these laws and policies. Violations of laws or key control policies by our employees, contractors, channel partners or agents could result in delays in revenue recognition, financial reporting misstatements, fines, penalties or the prohibition of the importation or exportation of our solutions and could have a material adverse effect on our business and results of operations. If we are unable to successfully manage the challenges of international expansion and operations, our business and operating results could be adversely affected.</w:t>
      </w:r>
    </w:p>
    <w:p>
      <w:pPr>
        <w:spacing w:after="0" w:line="186" w:lineRule="exact"/>
        <w:rPr>
          <w:sz w:val="20"/>
          <w:szCs w:val="20"/>
          <w:color w:val="auto"/>
        </w:rPr>
      </w:pPr>
    </w:p>
    <w:p>
      <w:pPr>
        <w:ind w:right="620" w:firstLine="324"/>
        <w:spacing w:after="0" w:line="287" w:lineRule="auto"/>
        <w:rPr>
          <w:sz w:val="20"/>
          <w:szCs w:val="20"/>
          <w:color w:val="auto"/>
        </w:rPr>
      </w:pPr>
      <w:r>
        <w:rPr>
          <w:rFonts w:ascii="Arial" w:cs="Arial" w:eastAsia="Arial" w:hAnsi="Arial"/>
          <w:sz w:val="18"/>
          <w:szCs w:val="18"/>
          <w:b w:val="1"/>
          <w:bCs w:val="1"/>
          <w:i w:val="1"/>
          <w:iCs w:val="1"/>
          <w:color w:val="auto"/>
        </w:rPr>
        <w:t>We rely on the performance of highly skilled personnel, including senior management and our engineering, professional services, sales and technology professionals.</w:t>
      </w:r>
    </w:p>
    <w:p>
      <w:pPr>
        <w:spacing w:after="0" w:line="175"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We believe our success has depended, and continues to depend, on the efforts and talents of our senior management team and our highly skilled team members, including our sales personnel, professional services personnel and software engineers. We do not maintain key man insurance on any of our executive officers or key employees. From time to time, there may be changes in our senior management team resulting from the termination or departure of our executive officers and key employees. Our senior management and key employees are employed on an at-will basis, which means that they could terminate their employment with us at any time. The loss of any of our senior management or key employees could adversely affect our ability to build on the efforts they have undertaken and to execute our business plan, and we may not be able to find adequate replacements. We cannot ensure that we will be able to retain the services of any members of our senior management or other key employees.</w:t>
      </w:r>
    </w:p>
    <w:p>
      <w:pPr>
        <w:spacing w:after="0" w:line="205"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Our ability to successfully pursue our growth strategy also depends on our ability to attract, motivate and retain our personnel. Competition for well-qualified employees in all aspects of our business, including sales personnel, professional services personnel and software engineers, is intense. Our recruiting efforts focus on elite universities and our primary recruiting competition are well-known, high-paying firms. Our continued ability to compete effectively depends on our ability to attract new employees and to retain and motivate existing employees. If we do not succeed in attracting well-qualified employees or retaining and motivating existing employees, our business would be adversely affected.</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140" w:right="339" w:bottom="1440" w:gutter="0" w:footer="0" w:header="0"/>
        </w:sectPr>
      </w:pPr>
    </w:p>
    <w:bookmarkStart w:id="47" w:name="page48"/>
    <w:bookmarkEnd w:id="47"/>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must effectively develop and expand our sales and marketing capabilities.</w:t>
      </w:r>
    </w:p>
    <w:p>
      <w:pPr>
        <w:spacing w:after="0" w:line="247"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Our ability to increase our customer base and achieve broader market acceptance of our Cyber Exposure solutions will depend to a significant extent on our ability to expand our sales and marketing operations. We plan to continue expanding our sales force and our third-party channel partner network of distributors and resellers both domestically and internationally; however, there is no assurance that we will be successful in attracting and retaining talented sales personnel or strategic partners or that any new sales personnel or strategic partners will be able to achieve productivity in a reasonable period of time or at all. We also plan to dedicate significant resources to sales and marketing programs, including through electronic marketing campaigns and, when deemed safe to do so, trade event sponsorship and participation. All of these efforts will require us to invest significant financial and other resources and our business will be harmed if our efforts do not generate a correspondingly significant increase in revenue.</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must offer high-quality support.</w:t>
      </w:r>
    </w:p>
    <w:p>
      <w:pPr>
        <w:spacing w:after="0" w:line="247" w:lineRule="exact"/>
        <w:rPr>
          <w:sz w:val="20"/>
          <w:szCs w:val="20"/>
          <w:color w:val="auto"/>
        </w:rPr>
      </w:pPr>
    </w:p>
    <w:p>
      <w:pPr>
        <w:ind w:right="120" w:firstLine="324"/>
        <w:spacing w:after="0" w:line="253" w:lineRule="auto"/>
        <w:rPr>
          <w:sz w:val="20"/>
          <w:szCs w:val="20"/>
          <w:color w:val="auto"/>
        </w:rPr>
      </w:pPr>
      <w:r>
        <w:rPr>
          <w:rFonts w:ascii="Arial" w:cs="Arial" w:eastAsia="Arial" w:hAnsi="Arial"/>
          <w:sz w:val="18"/>
          <w:szCs w:val="18"/>
          <w:color w:val="auto"/>
        </w:rPr>
        <w:t>Our customers rely on our personnel for support of our enterprise platform. High-quality support is important for the renewal of our agreements with existing customers and to our existing customers expanding the number of IP addresses or IT assets under their subscriptions. The importance of high-quality support will increase as we expand our business and pursue new customers. If we do not help our customers quickly resolve issues and provide effective ongoing support, our ability to sell new software to existing and new customers would suffer and our reputation with existing or potential customers would be harmed.</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growth depends in part on the success of our strategic relationships with third parties.</w:t>
      </w:r>
    </w:p>
    <w:p>
      <w:pPr>
        <w:spacing w:after="0" w:line="247"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In order to grow our business, we anticipate that we will continue to depend on relationships with strategic partners to provide broader customer coverage and solution delivery capabilities. We depend on partnerships with market leading technology companies to maintain and expand our Cyber Exposure ecosystem by integrating third party data into our platform. Identifying partners, and negotiating and documenting relationships with them, requires significant time and resources. Our agreements with our strategic partners generally are non-exclusive and do not prohibit them from working with our competitors or offering competing solutions. Our competitors may be effective in providing incentives to third parties to favor their products or services or to prevent or reduce subscriptions to our services. If our partners choose to place greater emphasis on products of their own or those offered by our competitors or do not effectively market and sell our product, our ability to grow our business and sell software and professional services may be adversely affected. In addition, acquisitions of our partners by our competitors could result in a decrease in the number of our current and potential customers, as our partners may no longer facilitate the adoption of our solutions by potential customers. We also license third-party threat data that is used in our solutions in order to deliver our offerings. In the future, this data may not be available to us on commercially reasonable terms, or at all. Any loss of the right to use any of this data could result in delays in the provisioning of our offerings until equivalent data is either developed by us, or, if available, is identified, obtained and integrated, which could harm our business.</w:t>
      </w:r>
    </w:p>
    <w:p>
      <w:pPr>
        <w:spacing w:after="0" w:line="210" w:lineRule="exact"/>
        <w:rPr>
          <w:sz w:val="20"/>
          <w:szCs w:val="20"/>
          <w:color w:val="auto"/>
        </w:rPr>
      </w:pPr>
    </w:p>
    <w:p>
      <w:pPr>
        <w:ind w:right="280" w:firstLine="324"/>
        <w:spacing w:after="0" w:line="256" w:lineRule="auto"/>
        <w:rPr>
          <w:sz w:val="20"/>
          <w:szCs w:val="20"/>
          <w:color w:val="auto"/>
        </w:rPr>
      </w:pPr>
      <w:r>
        <w:rPr>
          <w:rFonts w:ascii="Arial" w:cs="Arial" w:eastAsia="Arial" w:hAnsi="Arial"/>
          <w:sz w:val="18"/>
          <w:szCs w:val="18"/>
          <w:color w:val="auto"/>
        </w:rPr>
        <w:t>If we are unsuccessful in establishing or maintaining our relationships with third parties, our ability to compete in the marketplace or to grow our revenue could be impaired and our operating results may suffer. Even if we are successful, we cannot assure you that these relationships will result in increased customer usage of our solutions or increased revenue.</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Catastrophic events may disrupt our business.</w:t>
      </w:r>
    </w:p>
    <w:p>
      <w:pPr>
        <w:spacing w:after="0" w:line="247"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Our corporate headquarters are located in Columbia, Maryland. The area around Washington, D.C. could be subject to terrorist attacks. Additionally, we rely on our network and third-party infrastructure and enterprise applications, internal technology systems and our website for our development, marketing, operational support, hosted services and sales activities. Our employees are temporarily working remotely due to the COVID-19 pandemic, which may pose additional security risks. In the event of a major hurricane, earthquake or catastrophic event such as fire, power loss, telecommunications failure, cyberattack, war or terrorist attack, or epidemic or pandemic, such as the COVID-19 pandemic, that impacts our corporate headquarters, other facilities, or off-premises infrastructure, we may be unable to continue our operations and may endure system interruptions, reputational harm, delays in our software development, lengthy interruptions in our services, breaches of data security and loss of critical data, all of which could have an adverse effect on our future operating results.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140" w:right="339" w:bottom="1440" w:gutter="0" w:footer="0" w:header="0"/>
        </w:sectPr>
      </w:pPr>
    </w:p>
    <w:bookmarkStart w:id="48" w:name="page49"/>
    <w:bookmarkEnd w:id="48"/>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 and future acquisitions could disrupt our business and adversely affect our business operations and financial results.</w:t>
      </w:r>
    </w:p>
    <w:p>
      <w:pPr>
        <w:spacing w:after="0" w:line="247"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We have in the past acquired products, technologies and businesses from other parties, such as our recent acquisition of Indegy, Ltd. in December 2019, and we may choose to expand our current business by acquiring additional businesses or technologies in the future. Acquisitions, including the Indegy acquisition, involve many risks, including the following:</w:t>
      </w:r>
    </w:p>
    <w:p>
      <w:pPr>
        <w:spacing w:after="0" w:line="94" w:lineRule="exact"/>
        <w:rPr>
          <w:sz w:val="20"/>
          <w:szCs w:val="20"/>
          <w:color w:val="auto"/>
        </w:rPr>
      </w:pPr>
    </w:p>
    <w:p>
      <w:pPr>
        <w:ind w:left="660" w:right="140" w:hanging="328"/>
        <w:spacing w:after="0" w:line="250"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acquisition may negatively affect our financial results because it may require us to incur charges or assume substantial debt or other liabilities, may cause adverse tax consequences or unfavorable accounting treatment, may expose us to claims and disputes by third parties, including intellectual property claims and disputes, or may not generate sufficient financial return to offset additional costs and expenses related to the acquisition;</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encounter difficulties or unforeseen expenditures in integrating the business, technologies, products, personnel or operations of any company that we acquire, particularly if key personnel of the acquired company decide not to work for us;</w:t>
      </w: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acquisition may disrupt our ongoing business, divert resources, increase our expenses and distract our management;</w:t>
      </w:r>
    </w:p>
    <w:p>
      <w:pPr>
        <w:spacing w:after="0" w:line="9" w:lineRule="exact"/>
        <w:rPr>
          <w:rFonts w:ascii="Arial" w:cs="Arial" w:eastAsia="Arial" w:hAnsi="Arial"/>
          <w:sz w:val="18"/>
          <w:szCs w:val="18"/>
          <w:color w:val="auto"/>
        </w:rPr>
      </w:pPr>
    </w:p>
    <w:p>
      <w:pPr>
        <w:ind w:left="660" w:right="500" w:hanging="328"/>
        <w:spacing w:after="0" w:line="250"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acquisition may result in a delay or reduction of customer purchases for both us and the company acquired due to customer uncertainty about continuity and effectiveness of service from either company;</w:t>
      </w: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encounter difficulties in, or may be unable to, successfully sell any acquired solutions;</w:t>
      </w:r>
    </w:p>
    <w:p>
      <w:pPr>
        <w:spacing w:after="0" w:line="9" w:lineRule="exact"/>
        <w:rPr>
          <w:rFonts w:ascii="Arial" w:cs="Arial" w:eastAsia="Arial" w:hAnsi="Arial"/>
          <w:sz w:val="18"/>
          <w:szCs w:val="18"/>
          <w:color w:val="auto"/>
        </w:rPr>
      </w:pPr>
    </w:p>
    <w:p>
      <w:pPr>
        <w:ind w:left="660" w:right="460" w:hanging="328"/>
        <w:spacing w:after="0" w:line="250"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acquisition may involve the entry into geographic or business markets in which we have little or no prior experience or where competitors have stronger market positions;</w:t>
      </w: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use of cash to pay for an acquisition would limit other potential uses for our cash; and</w:t>
      </w:r>
    </w:p>
    <w:p>
      <w:pPr>
        <w:spacing w:after="0" w:line="9" w:lineRule="exact"/>
        <w:rPr>
          <w:rFonts w:ascii="Arial" w:cs="Arial" w:eastAsia="Arial" w:hAnsi="Arial"/>
          <w:sz w:val="18"/>
          <w:szCs w:val="18"/>
          <w:color w:val="auto"/>
        </w:rPr>
      </w:pPr>
    </w:p>
    <w:p>
      <w:pPr>
        <w:ind w:left="660" w:right="240" w:hanging="328"/>
        <w:spacing w:after="0" w:line="261"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we incur debt to fund such acquisition, such debt may subject us to material restrictions on our ability to conduct our business as well as financial maintenance covenants.</w:t>
      </w:r>
    </w:p>
    <w:p>
      <w:pPr>
        <w:spacing w:after="0" w:line="198"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The occurrence of any of these risks could have a material adverse effect on our business operations and financial results. In addition, we may only be able to conduct limited due diligence on an acquired company’s operations. Following an acquisition, we may be subject to unforeseen liabilities arising from an acquired company’s past or present operations and these liabilities may be greater than the warranty and indemnity limitations that we negotiate. Any unforeseen liability that is greater than these warranty and indemnity limitations could have a negative impact on our financial condition.</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require additional capital to support business growth, and this capital might not be available on acceptable terms, if at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w:t>
      </w:r>
    </w:p>
    <w:p>
      <w:pPr>
        <w:spacing w:after="0" w:line="225"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We expect that our existing cash and cash equivalents will be sufficient to meet our anticipated cash needs for working capital and capital expenditures for at least the next 12 months. However, we intend to continue to make investments to support our business growth and may require additional funds to respond to business challenges, including the need to develop new features or enhance our product, improve our operating infrastructure or acquire complementary businesses and technologies. Accordingly, we may need to engage in equity or debt financings to secure additional funds. If we raise additional funds through future issuances of equity or convertible debt securities, our existing stockholders could suffer significant dilution, and any new equity securities we issue could have rights, preferences and privileges superior to those of holders of our common stock. Our loan and security agreement with Silicon Valley Bank includes restrictive covenants relating to our capital raising activities and other financial and operational matters, which may make it more difficult for us to obtain additional capital and to pursue business opportunities, including potential acquisitions, and any debt financing that we secure in the future could have similar restrictive covenants. We may not be able to obtain additional financing on terms favorable to us, if at all. If we are unable to obtain adequate financing or financing on terms satisfactory to us when we require it, our ability to continue to support our business growth and to respond to business challenges could be significantly impaired, and our business may be adversely affected.</w:t>
      </w:r>
    </w:p>
    <w:p>
      <w:pPr>
        <w:spacing w:after="0" w:line="188" w:lineRule="exact"/>
        <w:rPr>
          <w:sz w:val="20"/>
          <w:szCs w:val="20"/>
          <w:color w:val="auto"/>
        </w:rPr>
      </w:pPr>
    </w:p>
    <w:p>
      <w:pPr>
        <w:ind w:right="20" w:firstLine="324"/>
        <w:spacing w:after="0" w:line="268" w:lineRule="auto"/>
        <w:rPr>
          <w:sz w:val="20"/>
          <w:szCs w:val="20"/>
          <w:color w:val="auto"/>
        </w:rPr>
      </w:pPr>
      <w:r>
        <w:rPr>
          <w:rFonts w:ascii="Arial" w:cs="Arial" w:eastAsia="Arial" w:hAnsi="Arial"/>
          <w:sz w:val="18"/>
          <w:szCs w:val="18"/>
          <w:b w:val="1"/>
          <w:bCs w:val="1"/>
          <w:i w:val="1"/>
          <w:iCs w:val="1"/>
          <w:color w:val="auto"/>
        </w:rPr>
        <w:t>The nature of our business requires the application of complex accounting rules and regulations. Significant changes in current principles will affect our consolidated financial statements and changes in financial accounting standards or practices may cause adverse, unexpected financial reporting fluctuations and harm our results of operations.</w:t>
      </w:r>
    </w:p>
    <w:p>
      <w:pPr>
        <w:spacing w:after="0" w:line="193" w:lineRule="exact"/>
        <w:rPr>
          <w:sz w:val="20"/>
          <w:szCs w:val="20"/>
          <w:color w:val="auto"/>
        </w:rPr>
      </w:pPr>
    </w:p>
    <w:p>
      <w:pPr>
        <w:ind w:right="340" w:firstLine="324"/>
        <w:spacing w:after="0" w:line="261" w:lineRule="auto"/>
        <w:rPr>
          <w:sz w:val="20"/>
          <w:szCs w:val="20"/>
          <w:color w:val="auto"/>
        </w:rPr>
      </w:pPr>
      <w:r>
        <w:rPr>
          <w:rFonts w:ascii="Arial" w:cs="Arial" w:eastAsia="Arial" w:hAnsi="Arial"/>
          <w:sz w:val="18"/>
          <w:szCs w:val="18"/>
          <w:color w:val="auto"/>
        </w:rPr>
        <w:t>The accounting rules and regulations that we must comply with are complex and subject to interpretation by the Financial Accounting Standards Board, the Securities and Exchange Commission, or SEC, and various bodies formed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140" w:right="339" w:bottom="1440" w:gutter="0" w:footer="0" w:header="0"/>
        </w:sectPr>
      </w:pPr>
    </w:p>
    <w:bookmarkStart w:id="49" w:name="page50"/>
    <w:bookmarkEnd w:id="49"/>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jc w:val="both"/>
        <w:ind w:right="260"/>
        <w:spacing w:after="0" w:line="256" w:lineRule="auto"/>
        <w:rPr>
          <w:sz w:val="20"/>
          <w:szCs w:val="20"/>
          <w:color w:val="auto"/>
        </w:rPr>
      </w:pPr>
      <w:r>
        <w:rPr>
          <w:rFonts w:ascii="Arial" w:cs="Arial" w:eastAsia="Arial" w:hAnsi="Arial"/>
          <w:sz w:val="18"/>
          <w:szCs w:val="18"/>
          <w:color w:val="auto"/>
        </w:rPr>
        <w:t>to promulgate and interpret appropriate accounting principles. In addition, many companies’ accounting disclosures are being subjected to heightened scrutiny by regulators and the public. Further, the accounting rules and regulations are continually changing in ways that could impact our financial statements.</w:t>
      </w:r>
    </w:p>
    <w:p>
      <w:pPr>
        <w:spacing w:after="0" w:line="180" w:lineRule="exact"/>
        <w:rPr>
          <w:sz w:val="20"/>
          <w:szCs w:val="20"/>
          <w:color w:val="auto"/>
        </w:rPr>
      </w:pPr>
    </w:p>
    <w:p>
      <w:pPr>
        <w:ind w:right="180" w:firstLine="324"/>
        <w:spacing w:after="0" w:line="287"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prove to be incorrect or financial reporting standards or interpretations change, our results of operations could be adversely affected.</w:t>
      </w:r>
    </w:p>
    <w:p>
      <w:pPr>
        <w:spacing w:after="0" w:line="175"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in the United States, or U.S.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“Management’s Discussion and Analysis of Financial Condition and Results of Operations.” The results of these estimates form the basis for making judgments about the carrying values of assets, liabilities and equity, and the amount of revenue and expenses that are not readily apparent from other sources. Significant assumptions and estimates used in preparing our consolidated financial statements include the determination of the estimated economic life of perpetual licenses for revenue recognition, the estimated period of benefit for deferred commissions, useful lives of long-lived assets, the valuation of stock-based compensation, the incremental borrowing rate for operating leases, and the valuation of deferred tax assets.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common stock.</w:t>
      </w:r>
    </w:p>
    <w:p>
      <w:pPr>
        <w:spacing w:after="0" w:line="211" w:lineRule="exact"/>
        <w:rPr>
          <w:sz w:val="20"/>
          <w:szCs w:val="20"/>
          <w:color w:val="auto"/>
        </w:rPr>
      </w:pPr>
    </w:p>
    <w:p>
      <w:pPr>
        <w:ind w:right="240" w:firstLine="324"/>
        <w:spacing w:after="0" w:line="252" w:lineRule="auto"/>
        <w:rPr>
          <w:sz w:val="20"/>
          <w:szCs w:val="20"/>
          <w:color w:val="auto"/>
        </w:rPr>
      </w:pPr>
      <w:r>
        <w:rPr>
          <w:rFonts w:ascii="Arial" w:cs="Arial" w:eastAsia="Arial" w:hAnsi="Arial"/>
          <w:sz w:val="18"/>
          <w:szCs w:val="18"/>
          <w:color w:val="auto"/>
        </w:rPr>
        <w:t>Additionally, we regularly monitor our compliance with applicable financial reporting standards and review new pronouncements and drafts thereof that are relevant to us. As a result of new standards, changes to existing standards and changes in their interpretation, we might be required to change our accounting policies, alter our operational policies and implement new or enhance existing systems so that they reflect new or amended financial reporting standards, or we may be required to restate our published financial statements. Such changes to existing standards or changes in their interpretation may have an adverse effect on our reputation, business, financial position and profit, or cause an adverse deviation from our revenue and operating profit target, which may negatively impact our financial results.</w:t>
      </w:r>
    </w:p>
    <w:p>
      <w:pPr>
        <w:spacing w:after="0" w:line="186" w:lineRule="exact"/>
        <w:rPr>
          <w:sz w:val="20"/>
          <w:szCs w:val="20"/>
          <w:color w:val="auto"/>
        </w:rPr>
      </w:pPr>
    </w:p>
    <w:p>
      <w:pPr>
        <w:ind w:right="520" w:firstLine="324"/>
        <w:spacing w:after="0" w:line="287" w:lineRule="auto"/>
        <w:rPr>
          <w:sz w:val="20"/>
          <w:szCs w:val="20"/>
          <w:color w:val="auto"/>
        </w:rPr>
      </w:pPr>
      <w:r>
        <w:rPr>
          <w:rFonts w:ascii="Arial" w:cs="Arial" w:eastAsia="Arial" w:hAnsi="Arial"/>
          <w:sz w:val="18"/>
          <w:szCs w:val="18"/>
          <w:b w:val="1"/>
          <w:bCs w:val="1"/>
          <w:i w:val="1"/>
          <w:iCs w:val="1"/>
          <w:color w:val="auto"/>
        </w:rPr>
        <w:t>Our operating results may be negatively affected if we are required to pay additional state sales tax, value added, or other transaction taxes, and we could be subject to liability with respect to all or a portion of past or future sales.</w:t>
      </w:r>
    </w:p>
    <w:p>
      <w:pPr>
        <w:spacing w:after="0" w:line="175" w:lineRule="exact"/>
        <w:rPr>
          <w:sz w:val="20"/>
          <w:szCs w:val="20"/>
          <w:color w:val="auto"/>
        </w:rPr>
      </w:pPr>
    </w:p>
    <w:p>
      <w:pPr>
        <w:ind w:right="220" w:firstLine="324"/>
        <w:spacing w:after="0" w:line="254" w:lineRule="auto"/>
        <w:rPr>
          <w:sz w:val="20"/>
          <w:szCs w:val="20"/>
          <w:color w:val="auto"/>
        </w:rPr>
      </w:pPr>
      <w:r>
        <w:rPr>
          <w:rFonts w:ascii="Arial" w:cs="Arial" w:eastAsia="Arial" w:hAnsi="Arial"/>
          <w:sz w:val="18"/>
          <w:szCs w:val="18"/>
          <w:color w:val="auto"/>
        </w:rPr>
        <w:t>We currently collect and remit sales and use, value added and other transaction taxes in certain of the jurisdictions where we do business based on our assessment of the amount of taxes owed by us in such jurisdictions. However, in some jurisdictions in which we do business, we do not believe that we owe such taxes, and therefore we currently do not collect and remit such taxes in those jurisdictions or record contingent tax liabilities in respect of those jurisdictions.</w:t>
      </w:r>
    </w:p>
    <w:p>
      <w:pPr>
        <w:spacing w:after="0" w:line="204"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Further, due to uncertainty in the application and interpretation of applicable tax laws in various jurisdictions, we may be exposed to sales and use, value added or other transaction tax liability. A successful assertion that we are required to pay additional taxes in connection with sales of our solutions, or the imposition of new laws or regulations requiring the payment of additional taxes, would create increased costs and administrative burdens for us. If we are subject to additional taxes and determine to offset such increased costs by collecting and remitting sales taxes from our customers, or otherwise passing those costs through to our customers, companies may be discouraged from using our solutions. Any increased tax burden may decrease our ability or willingness to compete in relatively burdensome tax jurisdictions, result in substantial tax liabilities related to past sales or otherwise harm our business and operating results.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may be subject to limitations.</w:t>
      </w:r>
    </w:p>
    <w:p>
      <w:pPr>
        <w:spacing w:after="0" w:line="247"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As of December 31, 2019, we had federal, state, and foreign net operating loss carryforwards, or NOLs, of $186.0 million, $ 132.0 million, and $163.6 million, respectively, available to offset future taxable income, some of which begin to expire in 2030. Federal NOLs incurred in taxable years beginning after December 31, 2017 can be carried forward indefinitely, but the deductibility of federal NOLs in taxable years beginning after December 31, 2020, is subject to certain limitations. A lack of future taxable income would adversely affect our ability to utilize these NOLs before they expire.</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140" w:right="339" w:bottom="1440" w:gutter="0" w:footer="0" w:header="0"/>
        </w:sectPr>
      </w:pPr>
    </w:p>
    <w:bookmarkStart w:id="50" w:name="page51"/>
    <w:bookmarkEnd w:id="50"/>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ind w:right="60" w:firstLine="324"/>
        <w:spacing w:after="0" w:line="251" w:lineRule="auto"/>
        <w:rPr>
          <w:sz w:val="20"/>
          <w:szCs w:val="20"/>
          <w:color w:val="auto"/>
        </w:rPr>
      </w:pPr>
      <w:r>
        <w:rPr>
          <w:rFonts w:ascii="Arial" w:cs="Arial" w:eastAsia="Arial" w:hAnsi="Arial"/>
          <w:sz w:val="18"/>
          <w:szCs w:val="18"/>
          <w:color w:val="auto"/>
        </w:rPr>
        <w:t>In addition, under the provisions of the Internal Revenue Code of 1986, as amended, or the Internal Revenue Code, substantial changes in our ownership may limit the amount of pre-change NOLs that can be utilized annually in the future to offset taxable income. Section 382 of the Internal Revenue Code imposes limitations on a company’s ability to use its NOLs if one or more stockholders or groups of stockholders that own at least 5% of the company’s stock increase their ownership by more than 50 percentage points over their lowest ownership percentage within a rolling three-year period. Similar rules may apply under state tax laws. Based upon an analysis as of December 31, 2019, we determined that we do not expect these limitations to impair our ability to use our NOLs prior to expiration. However, if changes in our ownership occurred after such date, or occur in the future, our ability to use our NOLs may be further limited. Subsequent statutory or regulatory changes in respect of the utilization of NOLs for federal or state purposes, such as suspensions on the use of NOLs or limitations on the deductibility of NOLs carried forward, or other unforeseen reasons, may result in our existing NOLs expiring or otherwise being unavailable to offset future income tax liabilities. For these reasons, we may not be able to utilize a material portion of the NOLs, even if we achieve profitability.</w:t>
      </w:r>
    </w:p>
    <w:p>
      <w:pPr>
        <w:spacing w:after="0" w:line="189" w:lineRule="exact"/>
        <w:rPr>
          <w:sz w:val="20"/>
          <w:szCs w:val="20"/>
          <w:color w:val="auto"/>
        </w:rPr>
      </w:pPr>
    </w:p>
    <w:p>
      <w:pPr>
        <w:ind w:right="80" w:firstLine="324"/>
        <w:spacing w:after="0" w:line="287" w:lineRule="auto"/>
        <w:rPr>
          <w:sz w:val="20"/>
          <w:szCs w:val="20"/>
          <w:color w:val="auto"/>
        </w:rPr>
      </w:pPr>
      <w:r>
        <w:rPr>
          <w:rFonts w:ascii="Arial" w:cs="Arial" w:eastAsia="Arial" w:hAnsi="Arial"/>
          <w:sz w:val="18"/>
          <w:szCs w:val="18"/>
          <w:b w:val="1"/>
          <w:bCs w:val="1"/>
          <w:i w:val="1"/>
          <w:iCs w:val="1"/>
          <w:color w:val="auto"/>
        </w:rPr>
        <w:t>Uncertainties in the interpretation and application of the 2017 Tax Cuts and Jobs Act could materially affect our tax obligations and effective tax rate.</w:t>
      </w:r>
    </w:p>
    <w:p>
      <w:pPr>
        <w:spacing w:after="0" w:line="175"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Forecasts of our income tax position and effective tax rate for financial accounting purposes are complex and subject to uncertainty because our income tax position for each year combines the effects of a mix of profits earned and losses incurred by us in various tax jurisdictions with a broad range of income tax rates, as well as changes in the valuation of deferred tax assets and liabilities, the impact of various accounting rules and changes to these rules and tax laws, the results of examinations by various tax authorities, and the impact of any acquisition, business combination or other reorganization or financing transaction. To forecast our global tax rate, we estimate our pre-tax profits and losses by jurisdiction and forecast our tax expense by jurisdiction. If the mix of profits and losses, our ability to use tax credits, our assessment of the need for valuation allowances, or effective tax rates by jurisdiction is different than those estimated, our actual tax rate could be materially different than forecasted, which could have a material impact on our results of business, financial condition and results of operations.</w:t>
      </w:r>
    </w:p>
    <w:p>
      <w:pPr>
        <w:spacing w:after="0" w:line="212"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The Tax Cuts and Jobs Act, or TCJA, enacted in 2017, resulted in a number of significant changes to U.S. tax laws, the consequences of which have not yet been fully determined. Changes in corporate tax rates, the realization of net deferred tax assets relating to our U.S. operations, the taxation of foreign earnings, and the deductibility of expenses contained in the TCJA or other tax reform legislation could have a material impact on the value of our deferred tax assets, could result in significant one-time charges in the current or future taxable years, and could increase our future U.S. tax expense. The foregoing items, as well as any future changes in tax laws, could have a material adverse effect on our business, cash flow, financial condition or results of operations. In addition, it is uncertain if and to what extent various states will conform to the TCJA.</w:t>
      </w:r>
    </w:p>
    <w:p>
      <w:pPr>
        <w:spacing w:after="0" w:line="185" w:lineRule="exact"/>
        <w:rPr>
          <w:sz w:val="20"/>
          <w:szCs w:val="20"/>
          <w:color w:val="auto"/>
        </w:rPr>
      </w:pPr>
    </w:p>
    <w:p>
      <w:pPr>
        <w:ind w:right="100" w:firstLine="324"/>
        <w:spacing w:after="0" w:line="268" w:lineRule="auto"/>
        <w:rPr>
          <w:sz w:val="20"/>
          <w:szCs w:val="20"/>
          <w:color w:val="auto"/>
        </w:rPr>
      </w:pPr>
      <w:r>
        <w:rPr>
          <w:rFonts w:ascii="Arial" w:cs="Arial" w:eastAsia="Arial" w:hAnsi="Arial"/>
          <w:sz w:val="18"/>
          <w:szCs w:val="18"/>
          <w:b w:val="1"/>
          <w:bCs w:val="1"/>
          <w:i w:val="1"/>
          <w:iCs w:val="1"/>
          <w:color w:val="auto"/>
        </w:rPr>
        <w:t>We are subject to anti-corruption laws, anti-bribery and similar laws with respect to our domestic and international operations, and non-compliance with such laws can subject us to criminal and/or civil liability and materially harm our business and reputation.</w:t>
      </w:r>
    </w:p>
    <w:p>
      <w:pPr>
        <w:spacing w:after="0" w:line="193"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We are subject to the anti-bribery laws of the jurisdictions in which we operate. These include the FCPA, the U.S. domestic bribery statute contained in 18 U.S.C. § 201, the U.S. Travel Act, the U.K. Bribery Act 2010, and other anti-corruption laws in countries in which we conduct activities. Anti-corruption laws are interpreted broadly and prohibit our company from authorizing, offering, or providing, directly or indirectly, improper payments or benefits in order to gain or maintain business, including payments to recipients in the public or private sector. We use third-party law firms, accountants, and other representatives for regulatory compliance, sales, and other purposes in several countries. We sell directly and indirectly, via third-party representatives, to both private and government sectors in the United States and in other jurisdictions. Our employees and third-party representatives interact with these customers, which may include government officials. We can be held liable for the corrupt or other illegal activities of these third-party representatives, our employees, contractors, and other agents, even if we do not explicitly authorize such activities. Noncompliance with these laws could subject us to whistleblower complaints, investigations, sanctions, settlements, prosecution, other enforcement actions, disgorgement of profits, significant fines, damages, other civil and criminal penalties or injunctions, suspension and/or debarment from contracting with certain persons, the loss of export privileges, reputational harm, adverse media coverage, and other collateral consequences. If any subpoenas or investigations are launched, or governmental or other sanctions are imposed, or if we do not prevail in any possible civil or criminal litigation, our reputation, business, results of operations and financial condition could be materially harmed. In addition, responding to any action will likely result in a materially significant diversion of management’s attention and resources and significant defense costs and other professional fees. Enforcement actions and sanctions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140" w:right="339" w:bottom="1440" w:gutter="0" w:footer="0" w:header="0"/>
        </w:sectPr>
      </w:pPr>
    </w:p>
    <w:bookmarkStart w:id="51" w:name="page52"/>
    <w:bookmarkEnd w:id="51"/>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could further harm our business, results of operations, and financial condition. Moreover, as an issuer of securities, we also are subject to the accounting and internal controls provisions of the FCPA. These provisions require us to maintain accurate books and records and a system of internal controls sufficient to detect and prevent corrupt conduct. Failure to abide by these provisions may have an adverse effect on our business, operations or financial condition.</w:t>
      </w:r>
    </w:p>
    <w:p>
      <w:pPr>
        <w:spacing w:after="0" w:line="182" w:lineRule="exact"/>
        <w:rPr>
          <w:sz w:val="20"/>
          <w:szCs w:val="20"/>
          <w:color w:val="auto"/>
        </w:rPr>
      </w:pPr>
    </w:p>
    <w:p>
      <w:pPr>
        <w:ind w:right="220" w:firstLine="324"/>
        <w:spacing w:after="0" w:line="268" w:lineRule="auto"/>
        <w:rPr>
          <w:sz w:val="20"/>
          <w:szCs w:val="20"/>
          <w:color w:val="auto"/>
        </w:rPr>
      </w:pPr>
      <w:r>
        <w:rPr>
          <w:rFonts w:ascii="Arial" w:cs="Arial" w:eastAsia="Arial" w:hAnsi="Arial"/>
          <w:sz w:val="18"/>
          <w:szCs w:val="18"/>
          <w:b w:val="1"/>
          <w:bCs w:val="1"/>
          <w:i w:val="1"/>
          <w:iCs w:val="1"/>
          <w:color w:val="auto"/>
        </w:rPr>
        <w:t>We are subject to governmental export and import controls and economic and trade sanctions that could impair our ability to conduct business in international markets and subject us to liability if we are not in compliance with applicable laws and regulations.</w:t>
      </w:r>
    </w:p>
    <w:p>
      <w:pPr>
        <w:spacing w:after="0" w:line="193"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The United States and other countries maintain and administer export and import laws and regulations. Our products are subject to U.S. export control and import laws and regulations, including the U.S. Export Administration Regulations, U.S. Customs regulations, and various economic and trade sanctions administered by the U.S. Treasury Department’s Office of Foreign Assets Control. We are required to comply with these laws and regulations. If we fail to comply with such laws and regulations, we and certain of our employees could be subject to substantial civil or criminal penalties, including the possible loss of export or import privileges; fines, which may be imposed on us and responsible employees or managers; and, in extreme cases, the incarceration of responsible employees or managers. Obtaining the necessary authorizations, including any required license, for a particular sale may be time-consuming, is not guaranteed and may result in the delay or loss of sales opportunities. In addition, changes in our solutions, or changes in applicable export or import laws and regulations may create delays in the introduction and sale of our products in international markets or, in some cases, prevent the export or import of our solutions to certain countries, governments or persons altogether. Any change in export or import laws and regulations or economic or trade sanctions, shift in the enforcement or scope of existing laws and regulations, or change in the countries, governments, persons or technologies targeted by such laws and regulations could also result in decreased use of our products, or in our decreased ability to export or sell our products to existing or potential customers. For example, the current U.S. administration has been critical of existing trade agreements and may impose more stringent export and import controls. Any decreased use of our products or limitation on our ability to export or sell our products would likely adversely affect our business, financial condition, and results of operations.</w:t>
      </w:r>
    </w:p>
    <w:p>
      <w:pPr>
        <w:spacing w:after="0" w:line="209"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Furthermore, we incorporate encryption technology into certain of our solutions. Various countries regulate the import of certain encryption technology, including import permitting and licensing requirements, and have enacted laws that could limit our ability to distribute our solutions or could limit our customers’ ability to implement our solutions in those countries. Encrypted products and the underlying technology may also be subject to export control restrictions. Governmental regulation of encryption technology and regulation of imports or exports of encryption solutions, or our failure to obtain required import or export approval for our solutions, could harm our international sales and adversely affect our revenue. Compliance with applicable laws and regulations regarding the export and import of our solutions, including with respect to new solutions or changes in existing solutions, may create delays in the introduction of our solutions in international markets, prevent our customers with international operations from deploying our solutions globally or, in some cases, could prevent the export or import of our solutions to certain countries, governments, entities or persons altogether.</w:t>
      </w:r>
    </w:p>
    <w:p>
      <w:pPr>
        <w:spacing w:after="0" w:line="212"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Moreover, U.S. export control laws and economic sanctions programs prohibit the shipment of certain products and services to countries, governments and persons that are subject to U.S. economic embargoes and trade sanctions. Any violations of such economic embargoes and trade sanction regulations could have negative consequences, including government investigations, penalties and reputational harm.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 Data Collection and Intellectual Property</w:t>
      </w:r>
    </w:p>
    <w:p>
      <w:pPr>
        <w:spacing w:after="0" w:line="225" w:lineRule="exact"/>
        <w:rPr>
          <w:sz w:val="20"/>
          <w:szCs w:val="20"/>
          <w:color w:val="auto"/>
        </w:rPr>
      </w:pPr>
    </w:p>
    <w:p>
      <w:pPr>
        <w:ind w:right="480" w:firstLine="324"/>
        <w:spacing w:after="0" w:line="287" w:lineRule="auto"/>
        <w:rPr>
          <w:sz w:val="20"/>
          <w:szCs w:val="20"/>
          <w:color w:val="auto"/>
        </w:rPr>
      </w:pPr>
      <w:r>
        <w:rPr>
          <w:rFonts w:ascii="Arial" w:cs="Arial" w:eastAsia="Arial" w:hAnsi="Arial"/>
          <w:sz w:val="18"/>
          <w:szCs w:val="18"/>
          <w:b w:val="1"/>
          <w:bCs w:val="1"/>
          <w:i w:val="1"/>
          <w:iCs w:val="1"/>
          <w:color w:val="auto"/>
        </w:rPr>
        <w:t>Our business could be adversely affected if our employees cannot obtain and maintain required security clearances or we cannot establish and maintain a required facility security clearance.</w:t>
      </w:r>
    </w:p>
    <w:p>
      <w:pPr>
        <w:spacing w:after="0" w:line="175"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Certain U.S. government contracts may require our employees to maintain various levels of security clearances, and may require us to maintain a facility security clearance, to comply with Department of Defense, or DoD, requirements. The DoD has strict security clearance requirements for personnel who perform work in support of classified programs. Obtaining and maintaining a facility clearance and security clearances for employees can be a difficult, sometimes lengthy process. If we do not have employees with the appropriate security clearances, then a customer requiring classified work could terminate an existing contract or decide not to renew the contract upon its expiration. To the extent we are not able to obtain or maintain a facility security clearance, we may not be able to bid on or win new classified contracts, and existing contracts requiring a facility security clearance could be terminated.</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140" w:right="339" w:bottom="1440" w:gutter="0" w:footer="0" w:header="0"/>
        </w:sectPr>
      </w:pPr>
    </w:p>
    <w:bookmarkStart w:id="52" w:name="page53"/>
    <w:bookmarkEnd w:id="52"/>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ind w:right="320" w:firstLine="324"/>
        <w:spacing w:after="0" w:line="287" w:lineRule="auto"/>
        <w:rPr>
          <w:sz w:val="20"/>
          <w:szCs w:val="20"/>
          <w:color w:val="auto"/>
        </w:rPr>
      </w:pPr>
      <w:r>
        <w:rPr>
          <w:rFonts w:ascii="Arial" w:cs="Arial" w:eastAsia="Arial" w:hAnsi="Arial"/>
          <w:sz w:val="18"/>
          <w:szCs w:val="18"/>
          <w:b w:val="1"/>
          <w:bCs w:val="1"/>
          <w:i w:val="1"/>
          <w:iCs w:val="1"/>
          <w:color w:val="auto"/>
        </w:rPr>
        <w:t>Any failure to protect our proprietary technology and intellectual property rights could substantially harm our business and operating results.</w:t>
      </w:r>
    </w:p>
    <w:p>
      <w:pPr>
        <w:spacing w:after="0" w:line="175" w:lineRule="exact"/>
        <w:rPr>
          <w:sz w:val="20"/>
          <w:szCs w:val="20"/>
          <w:color w:val="auto"/>
        </w:rPr>
      </w:pPr>
    </w:p>
    <w:p>
      <w:pPr>
        <w:ind w:right="380" w:firstLine="324"/>
        <w:spacing w:after="0" w:line="254" w:lineRule="auto"/>
        <w:rPr>
          <w:sz w:val="20"/>
          <w:szCs w:val="20"/>
          <w:color w:val="auto"/>
        </w:rPr>
      </w:pPr>
      <w:r>
        <w:rPr>
          <w:rFonts w:ascii="Arial" w:cs="Arial" w:eastAsia="Arial" w:hAnsi="Arial"/>
          <w:sz w:val="18"/>
          <w:szCs w:val="18"/>
          <w:color w:val="auto"/>
        </w:rPr>
        <w:t>Our success and ability to compete depend in part on our ability to protect our proprietary technology and intellectual property. To safeguard these rights, we rely on a combination of patent, trademark, copyright and trade secret laws and contractual protections in the United States and other jurisdictions, all of which provide only limited protection and may not now or in the future provide us with a competitive advantage.</w:t>
      </w:r>
    </w:p>
    <w:p>
      <w:pPr>
        <w:spacing w:after="0" w:line="204"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As of June 30, 2020, we had 20 issued patents and ten patent applications pending in the United States relating to our technology. We cannot assure you that any patents will issue from any patent applications, that patents that issue from such applications will give us the protection that we seek or that any such patents will not be challenged, invalidated or circumvented. Any patents that may issue in the future from our pending or future patent applications may not provide sufficiently broad protection and may not be enforceable in actions against alleged infringers. Obtaining and enforcing software patents in the United States is becoming increasingly challenging. Any patents we have obtained or may obtain in the future may be found to be invalid or unenforceable in light of recent and future changes in the law. We have registered the “Tenable,” “Nessus,” “Tenable.io” and "Lumin" trademarks and our Tenable logo in the United States and certain other countries. We have registrations and/or pending applications for additional trademarks in the United States; however, we cannot assure you that any future trademark registrations will be issued for pending or future applications or that any registered trademarks will be enforceable or provide adequate protection of our proprietary rights. While we have copyrights in our software we do not typically register such copyrights with the Copyright Office. This failure to register the copyrights in our software may preclude us from obtaining statutory damages for infringement under certain circumstances. We also license software from third parties for integration into our software, including open source software and other software available on commercially reasonable terms. We cannot assure you that such third parties will maintain such software or continue to make it available.</w:t>
      </w:r>
    </w:p>
    <w:p>
      <w:pPr>
        <w:spacing w:after="0" w:line="209"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In order to protect our unpatented proprietary technologies and processes, we rely on trade secret laws and confidentiality and invention assignment agreements with our employees, consultants, strategic partners, vendors and others. Despite our efforts to protect our proprietary technology and trade secrets, unauthorized parties may attempt to misappropriate, copy, reverse engineer or otherwise obtain and use them. In addition, others may independently discover our trade secrets, in which case we would not be able to assert trade secret rights, or develop similar technologies and processes. Further, several agreements may give customers limited rights to access portions of our proprietary source code, and the contractual provisions that we enter into may not prevent unauthorized use or disclosure of our proprietary technology or intellectual property and may not provide an adequate remedy in the event of unauthorized use or disclosure of our proprietary technology or intellectual property rights. Moreover, policing unauthorized use of our technologies, trade secrets and intellectual property is difficult, expensive and time-consuming, particularly in foreign countries where the laws may not be as protective of intellectual property rights as those in the United States and where mechanisms for enforcement of intellectual property rights may be weak. To the extent that we expand our activities outside of the United States, our exposure to unauthorized copying and use of our solutions and proprietary information may increase. We may be unable to determine the extent of any unauthorized use or infringement of our solutions, technologies or intellectual property rights.</w:t>
      </w:r>
    </w:p>
    <w:p>
      <w:pPr>
        <w:spacing w:after="0" w:line="210"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There can be no assurance that the steps that we take will be adequate to protect our proprietary technology and intellectual property, that others will not develop or patent similar or superior technologies, solutions or services, or that our trademarks, patents, and other intellectual property will not be challenged, invalidated or circumvented by others. Furthermore, effective trademark, patent, copyright, and trade secret protection may not be available in every country in which our software is available or where we have employees or independent contractors. In addition, the legal standards relating to the validity, enforceability, and scope of protection of intellectual property rights in internet and software-related industries are uncertain and still evolving.</w:t>
      </w:r>
    </w:p>
    <w:p>
      <w:pPr>
        <w:spacing w:after="0" w:line="208"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In order to protect our intellectual property rights, we may be required to spend significant resources to monitor and protect these rights. Litigation brought to protect and enforce our intellectual property rights could be costly, time-consuming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failure to secure, protect and enforce our intellectual property rights could seriously adversely affect our brand and adversely impact our business.</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00"/>
          </w:cols>
          <w:pgMar w:left="320" w:top="140" w:right="379" w:bottom="1440" w:gutter="0" w:footer="0" w:header="0"/>
        </w:sectPr>
      </w:pPr>
    </w:p>
    <w:bookmarkStart w:id="53" w:name="page54"/>
    <w:bookmarkEnd w:id="53"/>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ind w:right="40" w:firstLine="324"/>
        <w:spacing w:after="0" w:line="287" w:lineRule="auto"/>
        <w:rPr>
          <w:sz w:val="20"/>
          <w:szCs w:val="20"/>
          <w:color w:val="auto"/>
        </w:rPr>
      </w:pPr>
      <w:r>
        <w:rPr>
          <w:rFonts w:ascii="Arial" w:cs="Arial" w:eastAsia="Arial" w:hAnsi="Arial"/>
          <w:sz w:val="18"/>
          <w:szCs w:val="18"/>
          <w:b w:val="1"/>
          <w:bCs w:val="1"/>
          <w:i w:val="1"/>
          <w:iCs w:val="1"/>
          <w:color w:val="auto"/>
        </w:rPr>
        <w:t>We may be subject to intellectual property rights claims by third parties, which are extremely costly to defend, could require us to pay significant damages and could limit our ability to use certain technologies.</w:t>
      </w:r>
    </w:p>
    <w:p>
      <w:pPr>
        <w:spacing w:after="0" w:line="175"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Companies in the software and technology industries, including some of our current and potential competitors, own significant numbers of patents, copyrights, trademarks and trade secrets and frequently enter into litigation based on allegations of infringement or other violations of intellectual property rights. In addition, many of these companies have the capability to dedicate substantially greater resources to enforce their intellectual property rights and to defend claims that may be brought against them. The litigation may involve patent holding companies or other adverse patent owners that have no relevant product revenue and against which our patents may therefore provide little or no deterrence. In the past, we have been subject to allegations of patent infringement that were unsuccessful, and we expect in the future to be subject to claims that we have misappropriated, misused, or infringed other parties’ intellectual property rights, and, to the extent we gain greater market visibility or face increasing competition, we face a higher risk of being the subject of intellectual property infringement claims, which is not uncommon with respect to enterprise software companies. We may in the future be subject to claims that employees or contractors, or we, have inadvertently or otherwise used or disclosed trade secrets or other proprietary information of our competitors or other parties. To the extent that intellectual property claims are made against our customers based on their usage of our technology, we have certain obligations to indemnify and defend such customers from those claims. The term of our contractual indemnity provisions often survives termination or expiration of the applicable agreement. Large indemnity payments, defense costs or damage claims from contractual breach could harm our business, results of operations and financial condition.</w:t>
      </w:r>
    </w:p>
    <w:p>
      <w:pPr>
        <w:spacing w:after="0" w:line="209"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There may be third-party intellectual property rights, including issued or pending patents that cover significant aspects of our technologies or business methods. Any intellectual property claims, with or without merit, could be very time-consuming, could be expensive to settle or litigate, could divert our management’s attention and other resources and could result in adverse publicity. These claims could also subject us to making substantial payments for legal fees, settlement payments, and other costs or damages, potentially including treble damages if we are found to have willfully infringed patents or copyrights. These claims could also result in our having to stop making, selling, offering for sale, or using technology found to be in violation of a third party’s rights. We might be required to seek a license for the third-party intellectual property rights, which may not be available on reasonable terms or at all. Even if a license is available to us, we may be required to pay significant upfront fees, milestones or royalties, which would increase our operating expenses. Moreover, to the extent we only have a license to any intellectual property used in our solutions, there may be no guarantee of continued access to such intellectual property, including on reasonable terms. As a result, we may be required to develop alternative non-infringing technology, which could require significant effort and expense. If a third party is able to obtain an injunction preventing us from accessing such third-party intellectual property rights, or if we cannot license or develop technology for any infringing aspect of our business, we would be forced to limit or stop sales of our software or cease business activities covered by such intellectual property, and may be unable to compete effectively. Any of these results would adversely affect our business, results of operations, financial condition and cash flows.</w:t>
      </w:r>
    </w:p>
    <w:p>
      <w:pPr>
        <w:spacing w:after="0" w:line="187" w:lineRule="exact"/>
        <w:rPr>
          <w:sz w:val="20"/>
          <w:szCs w:val="20"/>
          <w:color w:val="auto"/>
        </w:rPr>
      </w:pPr>
    </w:p>
    <w:p>
      <w:pPr>
        <w:ind w:right="240" w:firstLine="324"/>
        <w:spacing w:after="0" w:line="287" w:lineRule="auto"/>
        <w:rPr>
          <w:sz w:val="20"/>
          <w:szCs w:val="20"/>
          <w:color w:val="auto"/>
        </w:rPr>
      </w:pPr>
      <w:r>
        <w:rPr>
          <w:rFonts w:ascii="Arial" w:cs="Arial" w:eastAsia="Arial" w:hAnsi="Arial"/>
          <w:sz w:val="18"/>
          <w:szCs w:val="18"/>
          <w:b w:val="1"/>
          <w:bCs w:val="1"/>
          <w:i w:val="1"/>
          <w:iCs w:val="1"/>
          <w:color w:val="auto"/>
        </w:rPr>
        <w:t>Portions of our solutions utilize open source software, and any failure to comply with the terms of one or more of these open source licenses could negatively affect our business.</w:t>
      </w:r>
    </w:p>
    <w:p>
      <w:pPr>
        <w:spacing w:after="0" w:line="175"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Our software contains software made available by third parties under so-called “open source” licenses. From time to time, there have been claims against companies that distribute or use open source software in their products and services, asserting that such open source software infringes the claimants’ intellectual property rights. We could be subject to suits by parties claiming that what we believe to be licensed open source software infringes their intellectual property rights. Use and distribution of open source software may entail greater risks than use of third-party commercial software, as open source licensors generally do not provide warranties or other contractual protections regarding infringement claims or the quality of the code. In addition, certain open source licenses require that source code for software programs that are subject to the license be made available to the public and that any modifications or derivative works to such open source software continue to be licensed under the same terms. Further, certain open source licenses also include a provision that if we enforce any patents against the software programs that are subject to the license, we would lose the license to such software. If we were to fail to comply with the terms of such open source software licenses, such failures could result in costly litigation, lead to negative public relations or require that we quickly find replacement software which may be difficult to accomplish in a timely manner.</w:t>
      </w:r>
    </w:p>
    <w:p>
      <w:pPr>
        <w:spacing w:after="0" w:line="211" w:lineRule="exact"/>
        <w:rPr>
          <w:sz w:val="20"/>
          <w:szCs w:val="20"/>
          <w:color w:val="auto"/>
        </w:rPr>
      </w:pPr>
    </w:p>
    <w:p>
      <w:pPr>
        <w:jc w:val="both"/>
        <w:ind w:right="260" w:firstLine="324"/>
        <w:spacing w:after="0" w:line="256" w:lineRule="auto"/>
        <w:rPr>
          <w:sz w:val="20"/>
          <w:szCs w:val="20"/>
          <w:color w:val="auto"/>
        </w:rPr>
      </w:pPr>
      <w:r>
        <w:rPr>
          <w:rFonts w:ascii="Arial" w:cs="Arial" w:eastAsia="Arial" w:hAnsi="Arial"/>
          <w:sz w:val="18"/>
          <w:szCs w:val="18"/>
          <w:color w:val="auto"/>
        </w:rPr>
        <w:t>Although we monitor our use of open source software in an effort both to comply with the terms of the applicable open source licenses and to avoid subjecting our software to conditions we do not intend, the terms of many open source licenses have not been interpreted by U.S. courts, and there is a risk that these licenses could be construed in</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140" w:right="339" w:bottom="1440" w:gutter="0" w:footer="0" w:header="0"/>
        </w:sectPr>
      </w:pPr>
    </w:p>
    <w:bookmarkStart w:id="54" w:name="page55"/>
    <w:bookmarkEnd w:id="54"/>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a way that could impose unanticipated conditions or restrictions on our ability to commercialize our product or operate our business. By the terms of certain open source licenses, we could be required to release the source code of our software and to make our proprietary software available under open source licenses, if we combine or distribute our software with open source software in a certain manner. In the event that portions of our software are determined to be subject to an open source license, we could be required to publicly release the affected portions of our source code, re-engineer all, or a portion of, that software or otherwise be limited in the licensing of our software, each of which could reduce or eliminate the value of our product. Many of the risks associated with usage of open source software cannot be eliminated, and could negatively affect our business, results of operations and financial condition.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stock price may be volatile, and the value of our common stock may decline.</w:t>
      </w:r>
    </w:p>
    <w:p>
      <w:pPr>
        <w:spacing w:after="0" w:line="247" w:lineRule="exact"/>
        <w:rPr>
          <w:sz w:val="20"/>
          <w:szCs w:val="20"/>
          <w:color w:val="auto"/>
        </w:rPr>
      </w:pPr>
    </w:p>
    <w:p>
      <w:pPr>
        <w:jc w:val="both"/>
        <w:ind w:right="60" w:firstLine="324"/>
        <w:spacing w:after="0" w:line="256" w:lineRule="auto"/>
        <w:rPr>
          <w:sz w:val="20"/>
          <w:szCs w:val="20"/>
          <w:color w:val="auto"/>
        </w:rPr>
      </w:pPr>
      <w:r>
        <w:rPr>
          <w:rFonts w:ascii="Arial" w:cs="Arial" w:eastAsia="Arial" w:hAnsi="Arial"/>
          <w:sz w:val="18"/>
          <w:szCs w:val="18"/>
          <w:color w:val="auto"/>
        </w:rPr>
        <w:t>The market price of our common stock may fluctuate substantially and depends on a number of factors, including those described in this “Risk Factors” section, many of which are beyond our control and may not be related to our operating performance. Factors that could cause fluctuations in the market price of our common stock include the following:</w:t>
      </w:r>
    </w:p>
    <w:p>
      <w:pPr>
        <w:spacing w:after="0" w:line="94"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actual or anticipated changes or fluctuations in our operating results;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these projections or our failure to meet these projections;</w:t>
      </w:r>
    </w:p>
    <w:p>
      <w:pPr>
        <w:spacing w:after="0" w:line="9" w:lineRule="exact"/>
        <w:rPr>
          <w:rFonts w:ascii="Arial" w:cs="Arial" w:eastAsia="Arial" w:hAnsi="Arial"/>
          <w:sz w:val="18"/>
          <w:szCs w:val="18"/>
          <w:color w:val="auto"/>
        </w:rPr>
      </w:pPr>
    </w:p>
    <w:p>
      <w:pPr>
        <w:ind w:left="660" w:right="360" w:hanging="328"/>
        <w:spacing w:after="0" w:line="250"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products or new or terminated significant contracts, commercial relationships or capital commitments;</w:t>
      </w: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industry or financial analyst or investor reaction to our press releases, other public announcements and filings with the SEC;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9" w:lineRule="exact"/>
        <w:rPr>
          <w:rFonts w:ascii="Arial" w:cs="Arial" w:eastAsia="Arial" w:hAnsi="Arial"/>
          <w:sz w:val="18"/>
          <w:szCs w:val="18"/>
          <w:color w:val="auto"/>
        </w:rPr>
      </w:pPr>
    </w:p>
    <w:p>
      <w:pPr>
        <w:ind w:left="660" w:right="160" w:hanging="328"/>
        <w:spacing w:after="0" w:line="250"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operating performance and stock market valuations of other technology companies generally, or those in our industry in particular;</w:t>
      </w:r>
    </w:p>
    <w:p>
      <w:pPr>
        <w:ind w:left="660" w:right="80" w:hanging="328"/>
        <w:spacing w:after="0" w:line="265"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sales of shares of our common stock by us or our stockholders, or the perception that these sales might occur, including in connection with anticipated distributions of shares of our common stock by entities affiliated with members of our Board of Directors;</w:t>
      </w:r>
    </w:p>
    <w:p>
      <w:pPr>
        <w:ind w:left="660" w:right="420" w:hanging="328"/>
        <w:spacing w:after="0" w:line="250"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failure of industry or financial analysts to maintain coverage of us, changes in financial estimates by any analysts who follow our company, or our failure to meet these estimates or the expectations of investors;</w:t>
      </w: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actual or anticipated developments in our business or our competitors’ businesses or the competitive landscape generally;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litigation involving us, our industry or both, or investigations by regulators into our operations or those of our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rights or our solutions, or third-party proprietary rights;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or technologies by us or our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major changes in our management or our Board of Directors;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pandemics, war, incidents of terrorism or responses to these events.</w:t>
      </w:r>
    </w:p>
    <w:p>
      <w:pPr>
        <w:spacing w:after="0" w:line="225"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Recently, the stock markets have experienced extreme price and volume fluctuations that have affected and continue to affect the market prices of equity securities of many companies, including very recently in connection with the ongoing COVID-19 pandemic. These fluctuations have often been unrelated or disproportionate to the operating performance of those companies. Broad market and industry fluctuations, as well as general economic, political, regulatory and market conditions, may negatively impact the market price of our common stock. In the past, companies that have experienced volatility in the market price of their securities have been subject to securities class action litigation. We may be the target of this type of litigation in the future, which could result in substantial costs and divert our management’s attention.</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20"/>
          </w:cols>
          <w:pgMar w:left="320" w:top="140" w:right="359" w:bottom="1440" w:gutter="0" w:footer="0" w:header="0"/>
        </w:sectPr>
      </w:pPr>
    </w:p>
    <w:bookmarkStart w:id="55" w:name="page56"/>
    <w:bookmarkEnd w:id="55"/>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ind w:right="140" w:firstLine="324"/>
        <w:spacing w:after="0" w:line="28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publish negative reports about our business, our stock price and trading volume could decline.</w:t>
      </w:r>
    </w:p>
    <w:p>
      <w:pPr>
        <w:spacing w:after="0" w:line="175"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or our business. We do not control these analysts or the content and opinions included in their reports. As a new public company, we may be slow to attract research coverage and the analysts who publish information about our common stock will have had relatively little experience with our company, which could affect their ability to accurately forecast our results and make it more likely that we fail to meet their estimates. If our financial performance fails to meet analyst estimates or one or more of the analysts who cover us downgrade our shares or change their opinion of our shares, our share price would likely decline. In addition, the stock prices of many companies in the technology industry have declined significantly after those companies have failed to meet, or significantly exceed, the financial guidance publicly announced by the companies or the expectations of analysts. If our financial results fail to meet, or exceed, our announced guidance or the expectations of analysts or public investors, analysts could downgrade our common stock or publish unfavorable research about us. If one or more of these analysts cease coverage of our company or fail to regularly publish reports on us, we could lose visibility in the financial markets, which could cause our share price or trading volume to decline.</w:t>
      </w:r>
    </w:p>
    <w:p>
      <w:pPr>
        <w:spacing w:after="0" w:line="189" w:lineRule="exact"/>
        <w:rPr>
          <w:sz w:val="20"/>
          <w:szCs w:val="20"/>
          <w:color w:val="auto"/>
        </w:rPr>
      </w:pPr>
    </w:p>
    <w:p>
      <w:pPr>
        <w:ind w:right="60" w:firstLine="324"/>
        <w:spacing w:after="0" w:line="287" w:lineRule="auto"/>
        <w:rPr>
          <w:sz w:val="20"/>
          <w:szCs w:val="20"/>
          <w:color w:val="auto"/>
        </w:rPr>
      </w:pPr>
      <w:r>
        <w:rPr>
          <w:rFonts w:ascii="Arial" w:cs="Arial" w:eastAsia="Arial" w:hAnsi="Arial"/>
          <w:sz w:val="18"/>
          <w:szCs w:val="18"/>
          <w:b w:val="1"/>
          <w:bCs w:val="1"/>
          <w:i w:val="1"/>
          <w:iCs w:val="1"/>
          <w:color w:val="auto"/>
        </w:rPr>
        <w:t>Future sales of substantial amounts of our common stock in the public markets, or the perception that they might occur, could reduce the price that our common stock might otherwise attain.</w:t>
      </w:r>
    </w:p>
    <w:p>
      <w:pPr>
        <w:spacing w:after="0" w:line="175"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Sales of a substantial number of shares of our common stock in the public market by us or our stockholders, or the perception that these sales might occur, including in connection with anticipated distributions of shares of our common stock by entities affiliated with members of our Board of Directors, could depress the market price of our common stock, impair our ability to raise capital through the sale of additional equity securities and make it more difficult for you to sell your common stock at a time and price that you deem appropriate. In addition, we have filed registration statements on Form S-8 under the Securities Act registering the issuance of shares of common stock subject to options and other equity awards issued or reserved for future issuance under our equity incentive plans. Shares registered under these registration statements, and under additional registration statements on Form S-8 that we may file to register additional shares of common stock pursuant to provisions of our equity incentive plans that provide for an automatic increase in the number of shares reserved and available for issuance each year, are available for sale in the public market subject to vesting arrangements and exercise of options and the restrictions of Rule 144 under the Securities Act in the case of our affiliates.</w:t>
      </w:r>
    </w:p>
    <w:p>
      <w:pPr>
        <w:spacing w:after="0" w:line="189" w:lineRule="exact"/>
        <w:rPr>
          <w:sz w:val="20"/>
          <w:szCs w:val="20"/>
          <w:color w:val="auto"/>
        </w:rPr>
      </w:pPr>
    </w:p>
    <w:p>
      <w:pPr>
        <w:ind w:right="780" w:firstLine="324"/>
        <w:spacing w:after="0" w:line="287" w:lineRule="auto"/>
        <w:rPr>
          <w:sz w:val="20"/>
          <w:szCs w:val="20"/>
          <w:color w:val="auto"/>
        </w:rPr>
      </w:pPr>
      <w:r>
        <w:rPr>
          <w:rFonts w:ascii="Arial" w:cs="Arial" w:eastAsia="Arial" w:hAnsi="Arial"/>
          <w:sz w:val="18"/>
          <w:szCs w:val="18"/>
          <w:b w:val="1"/>
          <w:bCs w:val="1"/>
          <w:i w:val="1"/>
          <w:iCs w:val="1"/>
          <w:color w:val="auto"/>
        </w:rPr>
        <w:t>The issuance of additional stock in connection with financings, acquisitions, investments, our equity incentive plan or otherwise will dilute all other stockholders.</w:t>
      </w:r>
    </w:p>
    <w:p>
      <w:pPr>
        <w:spacing w:after="0" w:line="17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Our certificate of incorporation authorizes us to issue up to 500,000,000 shares of common stock and up to 10,000,000 shares of preferred stock with such rights and preferences as may be determined by our Board of Directors. Subject to compliance with applicable rules and regulations, in the future we may issue common stock or other securities convertible into shares of our common stock from time to time in connection with a financing, acquisition, investment, our equity incentive plan or otherwise. The number of new shares of our common stock issued in connection with raising additional capital could constitute a material portion of the then outstanding shares of our common stock, which could result in substantial dilution to our existing stockholders and cause the market price of our common stock to decline.</w:t>
      </w:r>
    </w:p>
    <w:p>
      <w:pPr>
        <w:spacing w:after="0" w:line="171" w:lineRule="exact"/>
        <w:rPr>
          <w:sz w:val="20"/>
          <w:szCs w:val="20"/>
          <w:color w:val="auto"/>
        </w:rPr>
      </w:pPr>
    </w:p>
    <w:p>
      <w:pPr>
        <w:ind w:right="240" w:firstLine="324"/>
        <w:spacing w:after="0" w:line="268" w:lineRule="auto"/>
        <w:rPr>
          <w:sz w:val="20"/>
          <w:szCs w:val="20"/>
          <w:color w:val="auto"/>
        </w:rPr>
      </w:pPr>
      <w:r>
        <w:rPr>
          <w:rFonts w:ascii="Arial" w:cs="Arial" w:eastAsia="Arial" w:hAnsi="Arial"/>
          <w:sz w:val="18"/>
          <w:szCs w:val="18"/>
          <w:b w:val="1"/>
          <w:bCs w:val="1"/>
          <w:i w:val="1"/>
          <w:iCs w:val="1"/>
          <w:color w:val="auto"/>
        </w:rPr>
        <w:t>Concentration of ownership among our existing directors, executive officers and holders of 5% or more of our outstanding common stock may prevent new investors from influencing significant corporate decisions, including the ability to influence the outcome of director elections and other matters requiring stockholder approval.</w:t>
      </w:r>
    </w:p>
    <w:p>
      <w:pPr>
        <w:spacing w:after="0" w:line="193"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Our executive officers, directors and current beneficial owners of 5% or more of our common stock beneficially own a significant percentage of our outstanding common stock. These persons, acting together, will be able to significantly influence all matters requiring stockholder approval, including the election and removal of directors and any merger or other significant corporate transactions. The interests of this group of stockholders may not coincide with the interests of other stockholders.</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20"/>
          </w:cols>
          <w:pgMar w:left="320" w:top="140" w:right="359" w:bottom="1440" w:gutter="0" w:footer="0" w:header="0"/>
        </w:sectPr>
      </w:pPr>
    </w:p>
    <w:bookmarkStart w:id="56" w:name="page57"/>
    <w:bookmarkEnd w:id="56"/>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ind w:right="140" w:firstLine="324"/>
        <w:spacing w:after="0" w:line="287" w:lineRule="auto"/>
        <w:rPr>
          <w:sz w:val="20"/>
          <w:szCs w:val="20"/>
          <w:color w:val="auto"/>
        </w:rPr>
      </w:pPr>
      <w:r>
        <w:rPr>
          <w:rFonts w:ascii="Arial" w:cs="Arial" w:eastAsia="Arial" w:hAnsi="Arial"/>
          <w:sz w:val="18"/>
          <w:szCs w:val="18"/>
          <w:b w:val="1"/>
          <w:bCs w:val="1"/>
          <w:i w:val="1"/>
          <w:iCs w:val="1"/>
          <w:color w:val="auto"/>
        </w:rPr>
        <w:t>The requirements of being a public company may strain our resources, divert management’s attention and affect our ability to attract and retain qualified board members.</w:t>
      </w:r>
    </w:p>
    <w:p>
      <w:pPr>
        <w:spacing w:after="0" w:line="175"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As a public company, we are subject to the reporting and corporate governance requirements of the Exchange Act, the listing requirements of the Nasdaq and other applicable securities rules and regulations, including the Sarbanes-Oxley Act and the Dodd-Frank Wall Street Reform and Consumer Protection Act. Compliance with these rules and regulations increases our legal and financial compliance costs, makes some activities more difficult, time-consuming or costly and increases demand on our systems and resources, particularly as we are no longer an "emerging growth company" as of December 31, 2019. Among other things, the Exchange Act requires that we file annual, quarterly and current reports with respect to our business and results of operations and maintain effective disclosure controls and procedures and internal control over financial reporting. In order to improve our disclosure controls and procedures and internal control over financial reporting to meet this standard, significant resources and management oversight may be required. As a result, management’s attention may be diverted from other business concerns, which could harm our business, financial condition, results of operations and prospects. Although we have already hired, and are in the process of hiring, additional personnel to help comply with these requirements, we may need to further expand our legal and finance departments in the future, which will increase our costs and expenses.</w:t>
      </w:r>
    </w:p>
    <w:p>
      <w:pPr>
        <w:spacing w:after="0" w:line="211"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 and a diversion of management’s time and attention from revenue-generating activities to compliance activities. If our efforts to comply with new laws, regulations and standards differ from the activities intended by regulatory or governing bodies, regulatory authorities may initiate legal proceedings against us and our business and prospects may be harmed. As a result of disclosure of information in the filings required of a public company, our business and financial condition will become more visible, which may result in threatened or actual litigation, including by competitors and other third parties. If such claims are successful, our business, financial condition, results of operations and prospects could be materially harmed, and even if the claims do not result in litigation or are resolved in our favor, these claims, and the time and resources necessary to resolve them, could divert the resources of our management and materially harm our business, financial condition, results of operations and prospects.</w:t>
      </w:r>
    </w:p>
    <w:p>
      <w:pPr>
        <w:spacing w:after="0" w:line="209"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Being a public company under these rules and regulations has made it more expensive for us to obtain director and officer liability insurance, and we may be required to accept reduced coverage or incur substantially higher costs to obtain adequate coverage in the future. These factors could also make it more difficult for us to attract and retain qualified executive officers and members of our Board of Directors, particularly to serve on our audit committee and compensation committee.</w:t>
      </w:r>
    </w:p>
    <w:p>
      <w:pPr>
        <w:spacing w:after="0" w:line="204" w:lineRule="exact"/>
        <w:rPr>
          <w:sz w:val="20"/>
          <w:szCs w:val="20"/>
          <w:color w:val="auto"/>
        </w:rPr>
      </w:pPr>
    </w:p>
    <w:p>
      <w:pPr>
        <w:ind w:right="360" w:firstLine="324"/>
        <w:spacing w:after="0" w:line="261" w:lineRule="auto"/>
        <w:rPr>
          <w:sz w:val="20"/>
          <w:szCs w:val="20"/>
          <w:color w:val="auto"/>
        </w:rPr>
      </w:pPr>
      <w:r>
        <w:rPr>
          <w:rFonts w:ascii="Arial" w:cs="Arial" w:eastAsia="Arial" w:hAnsi="Arial"/>
          <w:sz w:val="18"/>
          <w:szCs w:val="18"/>
          <w:color w:val="auto"/>
        </w:rPr>
        <w:t>In addition, as a result of our disclosure obligations as a public company, we may have reduced strategic flexibility and may be under pressure to focus on short-term results, which could materially and adversely affect our ability to achieve long-term profitability.</w:t>
      </w:r>
    </w:p>
    <w:p>
      <w:pPr>
        <w:spacing w:after="0" w:line="176" w:lineRule="exact"/>
        <w:rPr>
          <w:sz w:val="20"/>
          <w:szCs w:val="20"/>
          <w:color w:val="auto"/>
        </w:rPr>
      </w:pPr>
    </w:p>
    <w:p>
      <w:pPr>
        <w:ind w:right="980" w:firstLine="324"/>
        <w:spacing w:after="0" w:line="287" w:lineRule="auto"/>
        <w:rPr>
          <w:sz w:val="20"/>
          <w:szCs w:val="20"/>
          <w:color w:val="auto"/>
        </w:rPr>
      </w:pPr>
      <w:r>
        <w:rPr>
          <w:rFonts w:ascii="Arial" w:cs="Arial" w:eastAsia="Arial" w:hAnsi="Arial"/>
          <w:sz w:val="18"/>
          <w:szCs w:val="18"/>
          <w:b w:val="1"/>
          <w:bCs w:val="1"/>
          <w:i w:val="1"/>
          <w:iCs w:val="1"/>
          <w:color w:val="auto"/>
        </w:rPr>
        <w:t>We do not intend to pay dividends for the foreseeable future and, as a result, your ability to achieve a return on your investment will depend on appreciation in the price of our common stock.</w:t>
      </w:r>
    </w:p>
    <w:p>
      <w:pPr>
        <w:spacing w:after="0" w:line="175"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We have never declared or paid any cash dividends on our common stock and do not intend to pay any cash dividends in the foreseeable future. We anticipate that we will retain all of our future earnings for use in the development of our business and for general corporate purposes. Any determination to pay dividends in the future will be at the discretion of our Board of Directors. Accordingly, investors must rely on sales of their common stock after price appreciation, which may never occur, as the only way to realize any future gains on their investments. In addition, our loan and security agreement with Silicon Valley Bank contains restrictive covenants that prohibit us, subject to certain exceptions, from paying dividends on our common stock.</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140" w:right="339" w:bottom="1440" w:gutter="0" w:footer="0" w:header="0"/>
        </w:sectPr>
      </w:pPr>
    </w:p>
    <w:bookmarkStart w:id="57" w:name="page58"/>
    <w:bookmarkEnd w:id="57"/>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jc w:val="both"/>
        <w:ind w:right="440" w:firstLine="324"/>
        <w:spacing w:after="0" w:line="268" w:lineRule="auto"/>
        <w:rPr>
          <w:sz w:val="20"/>
          <w:szCs w:val="20"/>
          <w:color w:val="auto"/>
        </w:rPr>
      </w:pPr>
      <w:r>
        <w:rPr>
          <w:rFonts w:ascii="Arial" w:cs="Arial" w:eastAsia="Arial" w:hAnsi="Arial"/>
          <w:sz w:val="18"/>
          <w:szCs w:val="18"/>
          <w:b w:val="1"/>
          <w:bCs w:val="1"/>
          <w:i w:val="1"/>
          <w:iCs w:val="1"/>
          <w:color w:val="auto"/>
        </w:rPr>
        <w:t>We are obligated to maintain proper and effective internal controls over financial reporting, and any failure to maintain the adequacy of these internal controls may adversely affect investor confidence in our company and, as a result, the value of our common stock.</w:t>
      </w:r>
    </w:p>
    <w:p>
      <w:pPr>
        <w:spacing w:after="0" w:line="193"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We are required, pursuant to Section 404 of the Sarbanes-Oxley Act, or Section 404, to furnish a report by management on, among other things, the effectiveness of our internal control over financial reporting on an annual basis. This assessment includes disclosure of any material weaknesses identified by our management in our internal control over financial reporting. We are also required to disclose significant changes made in our internal control procedures on a quarterly basis.</w:t>
      </w:r>
    </w:p>
    <w:p>
      <w:pPr>
        <w:spacing w:after="0" w:line="204" w:lineRule="exact"/>
        <w:rPr>
          <w:sz w:val="20"/>
          <w:szCs w:val="20"/>
          <w:color w:val="auto"/>
        </w:rPr>
      </w:pPr>
    </w:p>
    <w:p>
      <w:pPr>
        <w:ind w:right="100" w:firstLine="324"/>
        <w:spacing w:after="0" w:line="251" w:lineRule="auto"/>
        <w:rPr>
          <w:sz w:val="20"/>
          <w:szCs w:val="20"/>
          <w:color w:val="auto"/>
        </w:rPr>
      </w:pPr>
      <w:r>
        <w:rPr>
          <w:rFonts w:ascii="Arial" w:cs="Arial" w:eastAsia="Arial" w:hAnsi="Arial"/>
          <w:sz w:val="18"/>
          <w:szCs w:val="18"/>
          <w:color w:val="auto"/>
        </w:rPr>
        <w:t>During the evaluation and testing process of our internal controls, if we identify one or more material weaknesses in our internal control over financial reporting, we will be unable to assert that our internal control over financial reporting is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or significant deficiency in our internal control over financial reporting, we could lose investor confidence in the accuracy and completeness of our financial reports, the market price of our common stock could decline, and we could be subject to sanctions or investigations by the Nasdaq, the SEC or other regulatory authorities. Failure to remedy any material weakness in our internal control over financial reporting, or to maintain other effective control systems required of public companies, could also restrict our future access to the capital markets.</w:t>
      </w:r>
    </w:p>
    <w:p>
      <w:pPr>
        <w:spacing w:after="0" w:line="189" w:lineRule="exact"/>
        <w:rPr>
          <w:sz w:val="20"/>
          <w:szCs w:val="20"/>
          <w:color w:val="auto"/>
        </w:rPr>
      </w:pPr>
    </w:p>
    <w:p>
      <w:pPr>
        <w:ind w:right="40" w:firstLine="324"/>
        <w:spacing w:after="0" w:line="268"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could make an acquisition of us more difficult, limit attempts by our stockholders to replace or remove members of our Board of Directors and our current management and could negatively impact the market price of our common stock.</w:t>
      </w:r>
    </w:p>
    <w:p>
      <w:pPr>
        <w:spacing w:after="0" w:line="193"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Our amended and restated certificate of incorporation and amended and restated bylaws contain provisions that could delay or prevent a change in control of our company. These provisions could also make it difficult for stockholders to elect directors that are not nominated by the current members of our Board of Directors or take other corporate actions, including effecting changes in our management. These provisions include:</w:t>
      </w:r>
    </w:p>
    <w:p>
      <w:pPr>
        <w:spacing w:after="0" w:line="96" w:lineRule="exact"/>
        <w:rPr>
          <w:sz w:val="20"/>
          <w:szCs w:val="20"/>
          <w:color w:val="auto"/>
        </w:rPr>
      </w:pPr>
    </w:p>
    <w:p>
      <w:pPr>
        <w:ind w:left="660" w:right="880" w:hanging="328"/>
        <w:spacing w:after="0" w:line="250"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could delay the ability of stockholders to change the membership of a majority of our Board of Directors;</w:t>
      </w:r>
    </w:p>
    <w:p>
      <w:pPr>
        <w:ind w:left="660" w:right="220" w:hanging="328"/>
        <w:spacing w:after="0" w:line="250"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acquirer;</w:t>
      </w:r>
    </w:p>
    <w:p>
      <w:pPr>
        <w:spacing w:after="0" w:line="1" w:lineRule="exact"/>
        <w:rPr>
          <w:rFonts w:ascii="Arial" w:cs="Arial" w:eastAsia="Arial" w:hAnsi="Arial"/>
          <w:sz w:val="18"/>
          <w:szCs w:val="18"/>
          <w:color w:val="auto"/>
        </w:rPr>
      </w:pPr>
    </w:p>
    <w:p>
      <w:pPr>
        <w:ind w:left="660" w:right="140" w:hanging="328"/>
        <w:spacing w:after="0" w:line="250"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1" w:lineRule="exact"/>
        <w:rPr>
          <w:rFonts w:ascii="Arial" w:cs="Arial" w:eastAsia="Arial" w:hAnsi="Arial"/>
          <w:sz w:val="18"/>
          <w:szCs w:val="18"/>
          <w:color w:val="auto"/>
        </w:rPr>
      </w:pPr>
    </w:p>
    <w:p>
      <w:pPr>
        <w:ind w:left="660" w:right="60" w:hanging="328"/>
        <w:spacing w:after="0" w:line="250"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ind w:left="660" w:right="280" w:hanging="328"/>
        <w:spacing w:after="0" w:line="250"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the chairperson of our Board of Directors, Chief Executive Officer or president (in the absence of a chief executive officer) or a majority vote of our Board of Directors, which could delay the ability of our stockholders to force consideration of a proposal or to take action, including the removal of directors;</w:t>
      </w:r>
    </w:p>
    <w:p>
      <w:pPr>
        <w:spacing w:after="0" w:line="1" w:lineRule="exact"/>
        <w:rPr>
          <w:rFonts w:ascii="Arial" w:cs="Arial" w:eastAsia="Arial" w:hAnsi="Arial"/>
          <w:sz w:val="18"/>
          <w:szCs w:val="18"/>
          <w:color w:val="auto"/>
        </w:rPr>
      </w:pPr>
    </w:p>
    <w:p>
      <w:pPr>
        <w:ind w:left="660" w:right="120" w:hanging="328"/>
        <w:spacing w:after="0" w:line="250"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requirement for the affirmative vote of holders of at least 66 2/3% of the voting power of all of the then outstanding shares of the voting stock, voting together as a single class, to amend the provisions of our amended and restated certificate of incorporation relating to the issuance of preferred stock and management of our business or our amended and restated bylaws, which may inhibit the ability of an acquirer to affect such amendments to facilitate an unsolicited takeover attempt;</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ability of our Board of Directors, by majority vote, to amend our amended and restated bylaws, which may allow our Board of Directors to take additional actions to prevent an unsolicited takeover and inhibit the ability of an acquirer to amend our amended and restated bylaws to facilitate an unsolicited takeover attempt; and</w:t>
      </w:r>
    </w:p>
    <w:p>
      <w:pPr>
        <w:spacing w:after="0" w:line="1" w:lineRule="exact"/>
        <w:rPr>
          <w:rFonts w:ascii="Arial" w:cs="Arial" w:eastAsia="Arial" w:hAnsi="Arial"/>
          <w:sz w:val="18"/>
          <w:szCs w:val="18"/>
          <w:color w:val="auto"/>
        </w:rPr>
      </w:pPr>
    </w:p>
    <w:p>
      <w:pPr>
        <w:ind w:left="660" w:right="400" w:hanging="328"/>
        <w:spacing w:after="0" w:line="256"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advance notice procedures with which stockholders must comply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320" w:top="140" w:right="339" w:bottom="1440" w:gutter="0" w:footer="0" w:header="0"/>
        </w:sectPr>
      </w:pPr>
    </w:p>
    <w:bookmarkStart w:id="58" w:name="page59"/>
    <w:bookmarkEnd w:id="58"/>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ind w:right="140" w:firstLine="324"/>
        <w:spacing w:after="0" w:line="261" w:lineRule="auto"/>
        <w:rPr>
          <w:sz w:val="20"/>
          <w:szCs w:val="20"/>
          <w:color w:val="auto"/>
        </w:rPr>
      </w:pPr>
      <w:r>
        <w:rPr>
          <w:rFonts w:ascii="Arial" w:cs="Arial" w:eastAsia="Arial" w:hAnsi="Arial"/>
          <w:sz w:val="18"/>
          <w:szCs w:val="18"/>
          <w:color w:val="auto"/>
        </w:rPr>
        <w:t>These provisions may prohibit large stockholders, in particular those owning 15% or more of our outstanding voting stock, from merging or combining with us for a certain period of time.</w:t>
      </w:r>
    </w:p>
    <w:p>
      <w:pPr>
        <w:spacing w:after="0" w:line="176"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or the U.S. federal district courts will be the exclusive forums for substantially all disputes between us and our stockholders, which could limit our stockholders’ ability to obtain a favorable judicial forum for disputes with us or our directors, officers or other employees.</w:t>
      </w:r>
    </w:p>
    <w:p>
      <w:pPr>
        <w:spacing w:after="0" w:line="193" w:lineRule="exact"/>
        <w:rPr>
          <w:sz w:val="20"/>
          <w:szCs w:val="20"/>
          <w:color w:val="auto"/>
        </w:rPr>
      </w:pPr>
    </w:p>
    <w:p>
      <w:pPr>
        <w:ind w:right="560" w:firstLine="324"/>
        <w:spacing w:after="0" w:line="261" w:lineRule="auto"/>
        <w:rPr>
          <w:sz w:val="20"/>
          <w:szCs w:val="20"/>
          <w:color w:val="auto"/>
        </w:rPr>
      </w:pPr>
      <w:r>
        <w:rPr>
          <w:rFonts w:ascii="Arial" w:cs="Arial" w:eastAsia="Arial" w:hAnsi="Arial"/>
          <w:sz w:val="18"/>
          <w:szCs w:val="18"/>
          <w:color w:val="auto"/>
        </w:rPr>
        <w:t>Our amended and restated certificate of incorporation provides that the Court of Chancery of the State of Delaware is the sole and exclusive forum for the following types of actions or proceedings under Delaware statutory or common law:</w:t>
      </w:r>
    </w:p>
    <w:p>
      <w:pPr>
        <w:spacing w:after="0" w:line="90"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action asserting a breach of fiduciary duty owed by any of our directors, officers or other employees to us or our stockholders;</w:t>
      </w:r>
    </w:p>
    <w:p>
      <w:pPr>
        <w:spacing w:after="0" w:line="9" w:lineRule="exact"/>
        <w:rPr>
          <w:rFonts w:ascii="Arial" w:cs="Arial" w:eastAsia="Arial" w:hAnsi="Arial"/>
          <w:sz w:val="18"/>
          <w:szCs w:val="18"/>
          <w:color w:val="auto"/>
        </w:rPr>
      </w:pPr>
    </w:p>
    <w:p>
      <w:pPr>
        <w:ind w:left="660" w:right="240" w:hanging="328"/>
        <w:spacing w:after="0" w:line="250"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action asserting a claim against us arising pursuant to any provisions of the Delaware General Corporation Law, our amended and restated certificate of incorporation or our amended and restated bylaws; or</w:t>
      </w: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 affairs doctrine.</w:t>
      </w:r>
    </w:p>
    <w:p>
      <w:pPr>
        <w:spacing w:after="0" w:line="225"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211"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These exclusive forum provisions may limit a stockholder’s ability to bring a claim in a judicial forum that it finds favorable for disputes with us or our directors, officers or other employees, which may discourage such lawsuits against us and our directors, officers or other employees. If a court were to find either exclusive forum provision in our amended and restated certificate of incorporation to be inapplicable or unenforceable in an action, we may incur further significant additional costs associated with resolving the dispute in other jurisdictions, all of which could seriously harm our business.</w:t>
      </w:r>
    </w:p>
    <w:p>
      <w:pPr>
        <w:spacing w:after="0" w:line="1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Use of Proceeds</w:t>
      </w:r>
    </w:p>
    <w:p>
      <w:pPr>
        <w:spacing w:after="0" w:line="247"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On July 30, 2018, we completed our IPO, in which we issued and sold 12,535,000 shares of common stock at a price to the public</w:t>
      </w:r>
    </w:p>
    <w:p>
      <w:pPr>
        <w:spacing w:after="0" w:line="9"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of $23.00 per share, including 1,635,000 shares of common stock purchased by our underwriters pursuant to the full exercise of their over-allotment option to purchase additional shares. The offer and sale of all of the shares in the IPO were registered under the Securities Act pursuant to a registration statement on Form S-1 (File No. 333-226002), which was declared effective by the SEC on July 25, 2018.</w:t>
      </w:r>
    </w:p>
    <w:p>
      <w:pPr>
        <w:spacing w:after="0" w:line="202"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Morgan Stanley &amp; Co. LLC, J.P. Morgan Securities LLC, Allen &amp; Company LLC and Deutsche Bank Securities Inc. acted as active book-running managers for the offering. Stifel, Nicolaus &amp; Company, Incorporated acted as passive book-running manager for the offering, and William Blair &amp; Company, L.L.C. and BTIG, LLC acted as co-managers for the offering. The offering commenced on July 25, 2018 and did not terminate before all securities registered on the registration statement were sold.</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320" w:top="140" w:right="339" w:bottom="1440" w:gutter="0" w:footer="0" w:header="0"/>
        </w:sectPr>
      </w:pPr>
    </w:p>
    <w:bookmarkStart w:id="59" w:name="page60"/>
    <w:bookmarkEnd w:id="59"/>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received net proceeds of $264.6 million after deducting underwriting discounts and commissions and offering expenses. No offering expenses incurred by us were paid directly or indirectly to any of our directors, officers or persons owning ten percent or more of our capital stock (or their associates or affiliates).</w:t>
      </w:r>
    </w:p>
    <w:p>
      <w:pPr>
        <w:spacing w:after="0" w:line="202"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There has been no material change in the planned use of the IPO proceeds as described in our final prospectus for our IPO dated as of July 25, 2018 and filed with the SEC pursuant to Rule 424(b)(4) under the Securities Act on July 26, 2018.</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3, 4 and 5 are not applicable and have been omitted.</w:t>
      </w:r>
    </w:p>
    <w:p>
      <w:pPr>
        <w:spacing w:after="0" w:line="200" w:lineRule="exact"/>
        <w:rPr>
          <w:sz w:val="20"/>
          <w:szCs w:val="20"/>
          <w:color w:val="auto"/>
        </w:rPr>
      </w:pPr>
    </w:p>
    <w:p>
      <w:pPr>
        <w:spacing w:after="0" w:line="26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00"/>
          </w:cols>
          <w:pgMar w:left="320" w:top="140" w:right="479" w:bottom="1440" w:gutter="0" w:footer="0" w:header="0"/>
        </w:sectPr>
      </w:pPr>
    </w:p>
    <w:bookmarkStart w:id="60" w:name="page61"/>
    <w:bookmarkEnd w:id="60"/>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Exhibits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list of Exhibits filed as part of this Quarterly Report on Form 10-Q:</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40" w:type="dxa"/>
            <w:vAlign w:val="bottom"/>
            <w:gridSpan w:val="2"/>
          </w:tcPr>
          <w:p>
            <w:pPr>
              <w:ind w:left="200"/>
              <w:spacing w:after="0"/>
              <w:rPr>
                <w:sz w:val="20"/>
                <w:szCs w:val="20"/>
                <w:color w:val="auto"/>
              </w:rPr>
            </w:pPr>
            <w:r>
              <w:rPr>
                <w:rFonts w:ascii="Arial" w:cs="Arial" w:eastAsia="Arial" w:hAnsi="Arial"/>
                <w:sz w:val="16"/>
                <w:szCs w:val="16"/>
                <w:b w:val="1"/>
                <w:bCs w:val="1"/>
                <w:color w:val="auto"/>
              </w:rPr>
              <w:t>Exhibit</w:t>
            </w:r>
          </w:p>
        </w:tc>
        <w:tc>
          <w:tcPr>
            <w:tcW w:w="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60" w:type="dxa"/>
            <w:vAlign w:val="bottom"/>
          </w:tcPr>
          <w:p>
            <w:pPr>
              <w:spacing w:after="0"/>
              <w:rPr>
                <w:sz w:val="16"/>
                <w:szCs w:val="16"/>
                <w:color w:val="auto"/>
              </w:rPr>
            </w:pPr>
          </w:p>
        </w:tc>
      </w:tr>
      <w:tr>
        <w:trPr>
          <w:trHeight w:val="228"/>
        </w:trPr>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Number</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600" w:type="dxa"/>
            <w:vAlign w:val="bottom"/>
            <w:tcBorders>
              <w:bottom w:val="single" w:sz="8" w:color="auto"/>
            </w:tcBorders>
            <w:gridSpan w:val="3"/>
          </w:tcPr>
          <w:p>
            <w:pPr>
              <w:ind w:left="2840"/>
              <w:spacing w:after="0"/>
              <w:rPr>
                <w:sz w:val="20"/>
                <w:szCs w:val="20"/>
                <w:color w:val="auto"/>
              </w:rPr>
            </w:pPr>
            <w:r>
              <w:rPr>
                <w:rFonts w:ascii="Arial" w:cs="Arial" w:eastAsia="Arial" w:hAnsi="Arial"/>
                <w:sz w:val="16"/>
                <w:szCs w:val="16"/>
                <w:b w:val="1"/>
                <w:bCs w:val="1"/>
                <w:color w:val="auto"/>
              </w:rPr>
              <w:t>Description</w:t>
            </w:r>
          </w:p>
        </w:tc>
        <w:tc>
          <w:tcPr>
            <w:tcW w:w="120" w:type="dxa"/>
            <w:vAlign w:val="bottom"/>
          </w:tcPr>
          <w:p>
            <w:pPr>
              <w:spacing w:after="0"/>
              <w:rPr>
                <w:sz w:val="19"/>
                <w:szCs w:val="19"/>
                <w:color w:val="auto"/>
              </w:rPr>
            </w:pPr>
          </w:p>
        </w:tc>
        <w:tc>
          <w:tcPr>
            <w:tcW w:w="3460" w:type="dxa"/>
            <w:vAlign w:val="bottom"/>
            <w:tcBorders>
              <w:bottom w:val="single" w:sz="8" w:color="auto"/>
            </w:tcBorders>
          </w:tcPr>
          <w:p>
            <w:pPr>
              <w:ind w:left="1380"/>
              <w:spacing w:after="0"/>
              <w:rPr>
                <w:sz w:val="20"/>
                <w:szCs w:val="20"/>
                <w:color w:val="auto"/>
              </w:rPr>
            </w:pPr>
            <w:r>
              <w:rPr>
                <w:rFonts w:ascii="Arial" w:cs="Arial" w:eastAsia="Arial" w:hAnsi="Arial"/>
                <w:sz w:val="16"/>
                <w:szCs w:val="16"/>
                <w:b w:val="1"/>
                <w:bCs w:val="1"/>
                <w:color w:val="auto"/>
              </w:rPr>
              <w:t>Location</w:t>
            </w:r>
          </w:p>
        </w:tc>
      </w:tr>
      <w:tr>
        <w:trPr>
          <w:trHeight w:val="339"/>
        </w:trPr>
        <w:tc>
          <w:tcPr>
            <w:tcW w:w="920" w:type="dxa"/>
            <w:vAlign w:val="bottom"/>
          </w:tcPr>
          <w:p>
            <w:pPr>
              <w:jc w:val="right"/>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720" w:type="dxa"/>
            <w:vAlign w:val="bottom"/>
            <w:gridSpan w:val="4"/>
          </w:tcPr>
          <w:p>
            <w:pPr>
              <w:spacing w:after="0"/>
              <w:rPr>
                <w:rFonts w:ascii="Arial" w:cs="Arial" w:eastAsia="Arial" w:hAnsi="Arial"/>
                <w:sz w:val="16"/>
                <w:szCs w:val="16"/>
                <w:u w:val="single" w:color="auto"/>
                <w:color w:val="0000FF"/>
              </w:rPr>
            </w:pPr>
            <w:hyperlink r:id="rId9">
              <w:r>
                <w:rPr>
                  <w:rFonts w:ascii="Arial" w:cs="Arial" w:eastAsia="Arial" w:hAnsi="Arial"/>
                  <w:sz w:val="16"/>
                  <w:szCs w:val="16"/>
                  <w:u w:val="single" w:color="auto"/>
                  <w:color w:val="0000FF"/>
                </w:rPr>
                <w:t>Amended and Restated Certificate of Incorporation of Tenable Holdings, Inc.</w:t>
              </w:r>
            </w:hyperlink>
          </w:p>
        </w:tc>
        <w:tc>
          <w:tcPr>
            <w:tcW w:w="3460" w:type="dxa"/>
            <w:vAlign w:val="bottom"/>
          </w:tcPr>
          <w:p>
            <w:pPr>
              <w:ind w:left="20"/>
              <w:spacing w:after="0"/>
              <w:rPr>
                <w:sz w:val="20"/>
                <w:szCs w:val="20"/>
                <w:color w:val="auto"/>
              </w:rPr>
            </w:pPr>
            <w:r>
              <w:rPr>
                <w:rFonts w:ascii="Arial" w:cs="Arial" w:eastAsia="Arial" w:hAnsi="Arial"/>
                <w:sz w:val="16"/>
                <w:szCs w:val="16"/>
                <w:color w:val="auto"/>
              </w:rPr>
              <w:t>Previously filed as Exhibit 3.1 to the Company's</w:t>
            </w:r>
          </w:p>
        </w:tc>
      </w:tr>
      <w:tr>
        <w:trPr>
          <w:trHeight w:val="189"/>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60" w:type="dxa"/>
            <w:vAlign w:val="bottom"/>
          </w:tcPr>
          <w:p>
            <w:pPr>
              <w:ind w:left="20"/>
              <w:spacing w:after="0"/>
              <w:rPr>
                <w:sz w:val="20"/>
                <w:szCs w:val="20"/>
                <w:color w:val="auto"/>
              </w:rPr>
            </w:pPr>
            <w:r>
              <w:rPr>
                <w:rFonts w:ascii="Arial" w:cs="Arial" w:eastAsia="Arial" w:hAnsi="Arial"/>
                <w:sz w:val="16"/>
                <w:szCs w:val="16"/>
                <w:color w:val="auto"/>
              </w:rPr>
              <w:t>Current Report on Form 8-K (File No. 001-</w:t>
            </w:r>
          </w:p>
        </w:tc>
      </w:tr>
      <w:tr>
        <w:trPr>
          <w:trHeight w:val="195"/>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60" w:type="dxa"/>
            <w:vAlign w:val="bottom"/>
          </w:tcPr>
          <w:p>
            <w:pPr>
              <w:ind w:left="20"/>
              <w:spacing w:after="0"/>
              <w:rPr>
                <w:sz w:val="20"/>
                <w:szCs w:val="20"/>
                <w:color w:val="auto"/>
              </w:rPr>
            </w:pPr>
            <w:r>
              <w:rPr>
                <w:rFonts w:ascii="Arial" w:cs="Arial" w:eastAsia="Arial" w:hAnsi="Arial"/>
                <w:sz w:val="16"/>
                <w:szCs w:val="16"/>
                <w:color w:val="auto"/>
              </w:rPr>
              <w:t>38600) on July 30, 2018</w:t>
            </w:r>
          </w:p>
        </w:tc>
      </w:tr>
      <w:tr>
        <w:trPr>
          <w:trHeight w:val="237"/>
        </w:trPr>
        <w:tc>
          <w:tcPr>
            <w:tcW w:w="920" w:type="dxa"/>
            <w:vAlign w:val="bottom"/>
          </w:tcPr>
          <w:p>
            <w:pPr>
              <w:jc w:val="right"/>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720" w:type="dxa"/>
            <w:vAlign w:val="bottom"/>
            <w:gridSpan w:val="4"/>
          </w:tcPr>
          <w:p>
            <w:pPr>
              <w:spacing w:after="0"/>
              <w:rPr>
                <w:rFonts w:ascii="Arial" w:cs="Arial" w:eastAsia="Arial" w:hAnsi="Arial"/>
                <w:sz w:val="16"/>
                <w:szCs w:val="16"/>
                <w:u w:val="single" w:color="auto"/>
                <w:color w:val="0000FF"/>
              </w:rPr>
            </w:pPr>
            <w:hyperlink r:id="rId10">
              <w:r>
                <w:rPr>
                  <w:rFonts w:ascii="Arial" w:cs="Arial" w:eastAsia="Arial" w:hAnsi="Arial"/>
                  <w:sz w:val="16"/>
                  <w:szCs w:val="16"/>
                  <w:u w:val="single" w:color="auto"/>
                  <w:color w:val="0000FF"/>
                </w:rPr>
                <w:t>Amended and Restated Bylaws of Tenable Holdings, Inc.</w:t>
              </w:r>
            </w:hyperlink>
          </w:p>
        </w:tc>
        <w:tc>
          <w:tcPr>
            <w:tcW w:w="3460" w:type="dxa"/>
            <w:vAlign w:val="bottom"/>
          </w:tcPr>
          <w:p>
            <w:pPr>
              <w:ind w:left="20"/>
              <w:spacing w:after="0"/>
              <w:rPr>
                <w:sz w:val="20"/>
                <w:szCs w:val="20"/>
                <w:color w:val="auto"/>
              </w:rPr>
            </w:pPr>
            <w:r>
              <w:rPr>
                <w:rFonts w:ascii="Arial" w:cs="Arial" w:eastAsia="Arial" w:hAnsi="Arial"/>
                <w:sz w:val="16"/>
                <w:szCs w:val="16"/>
                <w:color w:val="auto"/>
              </w:rPr>
              <w:t>Previously filed as Exhibit 3.4 to the Company's</w:t>
            </w:r>
          </w:p>
        </w:tc>
      </w:tr>
      <w:tr>
        <w:trPr>
          <w:trHeight w:val="189"/>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60" w:type="dxa"/>
            <w:vAlign w:val="bottom"/>
          </w:tcPr>
          <w:p>
            <w:pPr>
              <w:ind w:left="20"/>
              <w:spacing w:after="0"/>
              <w:rPr>
                <w:sz w:val="20"/>
                <w:szCs w:val="20"/>
                <w:color w:val="auto"/>
              </w:rPr>
            </w:pPr>
            <w:r>
              <w:rPr>
                <w:rFonts w:ascii="Arial" w:cs="Arial" w:eastAsia="Arial" w:hAnsi="Arial"/>
                <w:sz w:val="16"/>
                <w:szCs w:val="16"/>
                <w:color w:val="auto"/>
              </w:rPr>
              <w:t>Registration Statement on Form S-1 (File No.</w:t>
            </w:r>
          </w:p>
        </w:tc>
      </w:tr>
      <w:tr>
        <w:trPr>
          <w:trHeight w:val="195"/>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60" w:type="dxa"/>
            <w:vAlign w:val="bottom"/>
          </w:tcPr>
          <w:p>
            <w:pPr>
              <w:ind w:left="20"/>
              <w:spacing w:after="0"/>
              <w:rPr>
                <w:sz w:val="20"/>
                <w:szCs w:val="20"/>
                <w:color w:val="auto"/>
              </w:rPr>
            </w:pPr>
            <w:r>
              <w:rPr>
                <w:rFonts w:ascii="Arial" w:cs="Arial" w:eastAsia="Arial" w:hAnsi="Arial"/>
                <w:sz w:val="16"/>
                <w:szCs w:val="16"/>
                <w:color w:val="auto"/>
              </w:rPr>
              <w:t>333-226002) on June 29, 2018</w:t>
            </w:r>
          </w:p>
        </w:tc>
      </w:tr>
      <w:tr>
        <w:trPr>
          <w:trHeight w:val="237"/>
        </w:trPr>
        <w:tc>
          <w:tcPr>
            <w:tcW w:w="920" w:type="dxa"/>
            <w:vAlign w:val="bottom"/>
          </w:tcPr>
          <w:p>
            <w:pPr>
              <w:jc w:val="right"/>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720" w:type="dxa"/>
            <w:vAlign w:val="bottom"/>
            <w:gridSpan w:val="4"/>
          </w:tcPr>
          <w:p>
            <w:pPr>
              <w:spacing w:after="0"/>
              <w:rPr>
                <w:rFonts w:ascii="Arial" w:cs="Arial" w:eastAsia="Arial" w:hAnsi="Arial"/>
                <w:sz w:val="16"/>
                <w:szCs w:val="16"/>
                <w:u w:val="single" w:color="auto"/>
                <w:color w:val="0000FF"/>
              </w:rPr>
            </w:pPr>
            <w:hyperlink r:id="rId11">
              <w:r>
                <w:rPr>
                  <w:rFonts w:ascii="Arial" w:cs="Arial" w:eastAsia="Arial" w:hAnsi="Arial"/>
                  <w:sz w:val="16"/>
                  <w:szCs w:val="16"/>
                  <w:u w:val="single" w:color="auto"/>
                  <w:color w:val="0000FF"/>
                </w:rPr>
                <w:t>Common Stock Certificate of Tenable Holdings, Inc.</w:t>
              </w:r>
            </w:hyperlink>
          </w:p>
        </w:tc>
        <w:tc>
          <w:tcPr>
            <w:tcW w:w="3460" w:type="dxa"/>
            <w:vAlign w:val="bottom"/>
          </w:tcPr>
          <w:p>
            <w:pPr>
              <w:ind w:left="20"/>
              <w:spacing w:after="0"/>
              <w:rPr>
                <w:sz w:val="20"/>
                <w:szCs w:val="20"/>
                <w:color w:val="auto"/>
              </w:rPr>
            </w:pPr>
            <w:r>
              <w:rPr>
                <w:rFonts w:ascii="Arial" w:cs="Arial" w:eastAsia="Arial" w:hAnsi="Arial"/>
                <w:sz w:val="16"/>
                <w:szCs w:val="16"/>
                <w:color w:val="auto"/>
              </w:rPr>
              <w:t>Previously filed as Exhibit 4.1 to the Company's</w:t>
            </w:r>
          </w:p>
        </w:tc>
      </w:tr>
      <w:tr>
        <w:trPr>
          <w:trHeight w:val="189"/>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60" w:type="dxa"/>
            <w:vAlign w:val="bottom"/>
          </w:tcPr>
          <w:p>
            <w:pPr>
              <w:ind w:left="20"/>
              <w:spacing w:after="0"/>
              <w:rPr>
                <w:sz w:val="20"/>
                <w:szCs w:val="20"/>
                <w:color w:val="auto"/>
              </w:rPr>
            </w:pPr>
            <w:r>
              <w:rPr>
                <w:rFonts w:ascii="Arial" w:cs="Arial" w:eastAsia="Arial" w:hAnsi="Arial"/>
                <w:sz w:val="16"/>
                <w:szCs w:val="16"/>
                <w:color w:val="auto"/>
              </w:rPr>
              <w:t>Registration Statement on Form S-1 (File No.</w:t>
            </w:r>
          </w:p>
        </w:tc>
      </w:tr>
      <w:tr>
        <w:trPr>
          <w:trHeight w:val="195"/>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60" w:type="dxa"/>
            <w:vAlign w:val="bottom"/>
          </w:tcPr>
          <w:p>
            <w:pPr>
              <w:ind w:left="20"/>
              <w:spacing w:after="0"/>
              <w:rPr>
                <w:sz w:val="20"/>
                <w:szCs w:val="20"/>
                <w:color w:val="auto"/>
              </w:rPr>
            </w:pPr>
            <w:r>
              <w:rPr>
                <w:rFonts w:ascii="Arial" w:cs="Arial" w:eastAsia="Arial" w:hAnsi="Arial"/>
                <w:sz w:val="16"/>
                <w:szCs w:val="16"/>
                <w:color w:val="auto"/>
              </w:rPr>
              <w:t>333-226002) on July 16, 2018</w:t>
            </w:r>
          </w:p>
        </w:tc>
      </w:tr>
      <w:tr>
        <w:trPr>
          <w:trHeight w:val="208"/>
        </w:trPr>
        <w:tc>
          <w:tcPr>
            <w:tcW w:w="920" w:type="dxa"/>
            <w:vAlign w:val="bottom"/>
          </w:tcPr>
          <w:p>
            <w:pPr>
              <w:jc w:val="right"/>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720" w:type="dxa"/>
            <w:vAlign w:val="bottom"/>
            <w:gridSpan w:val="4"/>
          </w:tcPr>
          <w:p>
            <w:pPr>
              <w:spacing w:after="0"/>
              <w:rPr>
                <w:rFonts w:ascii="Arial" w:cs="Arial" w:eastAsia="Arial" w:hAnsi="Arial"/>
                <w:sz w:val="16"/>
                <w:szCs w:val="16"/>
                <w:color w:val="0000FF"/>
              </w:rPr>
            </w:pPr>
            <w:hyperlink w:anchor="page63">
              <w:r>
                <w:rPr>
                  <w:rFonts w:ascii="Arial" w:cs="Arial" w:eastAsia="Arial" w:hAnsi="Arial"/>
                  <w:sz w:val="16"/>
                  <w:szCs w:val="16"/>
                  <w:color w:val="0000FF"/>
                </w:rPr>
                <w:t>Second Amendment to Loan and Security Agreement, dated as of July 1, 2020, by and</w:t>
              </w:r>
            </w:hyperlink>
          </w:p>
        </w:tc>
        <w:tc>
          <w:tcPr>
            <w:tcW w:w="346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20" w:type="dxa"/>
            <w:vAlign w:val="bottom"/>
            <w:tcBorders>
              <w:top w:val="single" w:sz="8" w:color="0000FF"/>
            </w:tcBorders>
            <w:gridSpan w:val="2"/>
          </w:tcPr>
          <w:p>
            <w:pPr>
              <w:spacing w:after="0" w:line="169" w:lineRule="exact"/>
              <w:rPr>
                <w:rFonts w:ascii="Arial" w:cs="Arial" w:eastAsia="Arial" w:hAnsi="Arial"/>
                <w:sz w:val="16"/>
                <w:szCs w:val="16"/>
                <w:color w:val="0000FF"/>
              </w:rPr>
            </w:pPr>
            <w:hyperlink w:anchor="page63">
              <w:r>
                <w:rPr>
                  <w:rFonts w:ascii="Arial" w:cs="Arial" w:eastAsia="Arial" w:hAnsi="Arial"/>
                  <w:sz w:val="16"/>
                  <w:szCs w:val="16"/>
                  <w:color w:val="0000FF"/>
                </w:rPr>
                <w:t>between Tenable, Inc. and Silicon Valley Bank</w:t>
              </w:r>
            </w:hyperlink>
          </w:p>
        </w:tc>
        <w:tc>
          <w:tcPr>
            <w:tcW w:w="500" w:type="dxa"/>
            <w:vAlign w:val="bottom"/>
            <w:gridSpan w:val="2"/>
          </w:tcPr>
          <w:p>
            <w:pPr>
              <w:spacing w:after="0"/>
              <w:rPr>
                <w:sz w:val="14"/>
                <w:szCs w:val="14"/>
                <w:color w:val="auto"/>
              </w:rPr>
            </w:pPr>
          </w:p>
        </w:tc>
        <w:tc>
          <w:tcPr>
            <w:tcW w:w="3460" w:type="dxa"/>
            <w:vAlign w:val="bottom"/>
          </w:tcPr>
          <w:p>
            <w:pPr>
              <w:spacing w:after="0"/>
              <w:rPr>
                <w:sz w:val="14"/>
                <w:szCs w:val="14"/>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00" w:type="dxa"/>
            <w:vAlign w:val="bottom"/>
            <w:shd w:val="clear" w:color="auto" w:fill="0000FF"/>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r>
    </w:tbl>
    <w:p>
      <w:pPr>
        <w:spacing w:after="0" w:line="69" w:lineRule="exact"/>
        <w:rPr>
          <w:sz w:val="20"/>
          <w:szCs w:val="20"/>
          <w:color w:val="auto"/>
        </w:rPr>
      </w:pPr>
    </w:p>
    <w:p>
      <w:pPr>
        <w:sectPr>
          <w:pgSz w:w="11900" w:h="16838" w:orient="portrait"/>
          <w:cols w:equalWidth="0" w:num="1">
            <w:col w:w="11240"/>
          </w:cols>
          <w:pgMar w:left="320" w:top="140" w:right="339" w:bottom="1440" w:gutter="0" w:footer="0" w:header="0"/>
        </w:sectPr>
      </w:pPr>
    </w:p>
    <w:p>
      <w:pPr>
        <w:ind w:left="1060" w:right="100" w:hanging="490"/>
        <w:spacing w:after="0" w:line="251" w:lineRule="auto"/>
        <w:tabs>
          <w:tab w:leader="none" w:pos="1040" w:val="left"/>
        </w:tabs>
        <w:rPr>
          <w:rFonts w:ascii="Arial" w:cs="Arial" w:eastAsia="Arial" w:hAnsi="Arial"/>
          <w:sz w:val="16"/>
          <w:szCs w:val="16"/>
          <w:u w:val="single" w:color="auto"/>
          <w:color w:val="0000FF"/>
        </w:rPr>
      </w:pPr>
      <w:r>
        <w:rPr>
          <w:rFonts w:ascii="Arial" w:cs="Arial" w:eastAsia="Arial" w:hAnsi="Arial"/>
          <w:sz w:val="16"/>
          <w:szCs w:val="16"/>
          <w:color w:val="auto"/>
        </w:rPr>
        <w:t>10.2</w:t>
      </w:r>
      <w:r>
        <w:rPr>
          <w:sz w:val="20"/>
          <w:szCs w:val="20"/>
          <w:color w:val="auto"/>
        </w:rPr>
        <w:tab/>
      </w:r>
      <w:hyperlink r:id="rId12">
        <w:r>
          <w:rPr>
            <w:rFonts w:ascii="Arial" w:cs="Arial" w:eastAsia="Arial" w:hAnsi="Arial"/>
            <w:sz w:val="16"/>
            <w:szCs w:val="16"/>
            <w:u w:val="single" w:color="auto"/>
            <w:color w:val="0000FF"/>
          </w:rPr>
          <w:t>Credit Agreement, dated as of July 24, 2020, by and among Tenable Holdings, Inc., as</w:t>
        </w:r>
      </w:hyperlink>
      <w:r>
        <w:rPr>
          <w:rFonts w:ascii="Arial" w:cs="Arial" w:eastAsia="Arial" w:hAnsi="Arial"/>
          <w:sz w:val="16"/>
          <w:szCs w:val="16"/>
          <w:u w:val="single" w:color="auto"/>
          <w:color w:val="0000FF"/>
        </w:rPr>
        <w:t xml:space="preserve"> </w:t>
      </w:r>
      <w:hyperlink r:id="rId12">
        <w:r>
          <w:rPr>
            <w:rFonts w:ascii="Arial" w:cs="Arial" w:eastAsia="Arial" w:hAnsi="Arial"/>
            <w:sz w:val="16"/>
            <w:szCs w:val="16"/>
            <w:u w:val="single" w:color="auto"/>
            <w:color w:val="0000FF"/>
          </w:rPr>
          <w:t>guarantor, Tenable, Inc., as borrower, the several lenders from time to time party thereto,</w:t>
        </w:r>
      </w:hyperlink>
      <w:r>
        <w:rPr>
          <w:rFonts w:ascii="Arial" w:cs="Arial" w:eastAsia="Arial" w:hAnsi="Arial"/>
          <w:sz w:val="16"/>
          <w:szCs w:val="16"/>
          <w:u w:val="single" w:color="auto"/>
          <w:color w:val="0000FF"/>
        </w:rPr>
        <w:t xml:space="preserve"> </w:t>
      </w:r>
      <w:hyperlink r:id="rId12">
        <w:r>
          <w:rPr>
            <w:rFonts w:ascii="Arial" w:cs="Arial" w:eastAsia="Arial" w:hAnsi="Arial"/>
            <w:sz w:val="16"/>
            <w:szCs w:val="16"/>
            <w:u w:val="single" w:color="auto"/>
            <w:color w:val="0000FF"/>
          </w:rPr>
          <w:t>and Silicon Valley Bank, as administrative agent, issuing lender and swingline lender, and</w:t>
        </w:r>
      </w:hyperlink>
      <w:r>
        <w:rPr>
          <w:rFonts w:ascii="Arial" w:cs="Arial" w:eastAsia="Arial" w:hAnsi="Arial"/>
          <w:sz w:val="16"/>
          <w:szCs w:val="16"/>
          <w:u w:val="single" w:color="auto"/>
          <w:color w:val="0000FF"/>
        </w:rPr>
        <w:t xml:space="preserve"> </w:t>
      </w:r>
      <w:hyperlink r:id="rId12">
        <w:r>
          <w:rPr>
            <w:rFonts w:ascii="Arial" w:cs="Arial" w:eastAsia="Arial" w:hAnsi="Arial"/>
            <w:sz w:val="16"/>
            <w:szCs w:val="16"/>
            <w:u w:val="single" w:color="auto"/>
            <w:color w:val="0000FF"/>
          </w:rPr>
          <w:t>as lead arranger</w:t>
        </w:r>
      </w:hyperlink>
    </w:p>
    <w:p>
      <w:pPr>
        <w:spacing w:after="0" w:line="40" w:lineRule="exact"/>
        <w:rPr>
          <w:rFonts w:ascii="Arial" w:cs="Arial" w:eastAsia="Arial" w:hAnsi="Arial"/>
          <w:sz w:val="16"/>
          <w:szCs w:val="16"/>
          <w:u w:val="single" w:color="auto"/>
          <w:color w:val="0000FF"/>
        </w:rPr>
      </w:pPr>
    </w:p>
    <w:p>
      <w:pPr>
        <w:ind w:left="1060" w:hanging="490"/>
        <w:spacing w:after="0" w:line="253" w:lineRule="auto"/>
        <w:tabs>
          <w:tab w:leader="none" w:pos="1040" w:val="left"/>
        </w:tabs>
        <w:rPr>
          <w:rFonts w:ascii="Arial" w:cs="Arial" w:eastAsia="Arial" w:hAnsi="Arial"/>
          <w:sz w:val="16"/>
          <w:szCs w:val="16"/>
          <w:u w:val="single" w:color="auto"/>
          <w:color w:val="0000FF"/>
        </w:rPr>
      </w:pPr>
      <w:r>
        <w:rPr>
          <w:rFonts w:ascii="Arial" w:cs="Arial" w:eastAsia="Arial" w:hAnsi="Arial"/>
          <w:sz w:val="16"/>
          <w:szCs w:val="16"/>
          <w:color w:val="auto"/>
        </w:rPr>
        <w:t>31.1</w:t>
      </w:r>
      <w:r>
        <w:rPr>
          <w:sz w:val="20"/>
          <w:szCs w:val="20"/>
          <w:color w:val="auto"/>
        </w:rPr>
        <w:tab/>
      </w:r>
      <w:hyperlink w:anchor="page66">
        <w:r>
          <w:rPr>
            <w:rFonts w:ascii="Arial" w:cs="Arial" w:eastAsia="Arial" w:hAnsi="Arial"/>
            <w:sz w:val="16"/>
            <w:szCs w:val="16"/>
            <w:u w:val="single" w:color="auto"/>
            <w:color w:val="0000FF"/>
          </w:rPr>
          <w:t>Certification of the Principal Executive Officer pursuant to Rules 13a-14(a) and 15d-14(a)</w:t>
        </w:r>
      </w:hyperlink>
      <w:r>
        <w:rPr>
          <w:rFonts w:ascii="Arial" w:cs="Arial" w:eastAsia="Arial" w:hAnsi="Arial"/>
          <w:sz w:val="16"/>
          <w:szCs w:val="16"/>
          <w:u w:val="single" w:color="auto"/>
          <w:color w:val="0000FF"/>
        </w:rPr>
        <w:t xml:space="preserve"> </w:t>
      </w:r>
      <w:hyperlink w:anchor="page66">
        <w:r>
          <w:rPr>
            <w:rFonts w:ascii="Arial" w:cs="Arial" w:eastAsia="Arial" w:hAnsi="Arial"/>
            <w:sz w:val="16"/>
            <w:szCs w:val="16"/>
            <w:u w:val="single" w:color="auto"/>
            <w:color w:val="0000FF"/>
          </w:rPr>
          <w:t>under the Exchange Act, as adopted pursuant to Section 302 of the Sarbanes-Oxley Act of</w:t>
        </w:r>
      </w:hyperlink>
      <w:r>
        <w:rPr>
          <w:rFonts w:ascii="Arial" w:cs="Arial" w:eastAsia="Arial" w:hAnsi="Arial"/>
          <w:sz w:val="16"/>
          <w:szCs w:val="16"/>
          <w:u w:val="single" w:color="auto"/>
          <w:color w:val="0000FF"/>
        </w:rPr>
        <w:t xml:space="preserve"> </w:t>
      </w:r>
      <w:hyperlink w:anchor="page66">
        <w:r>
          <w:rPr>
            <w:rFonts w:ascii="Arial" w:cs="Arial" w:eastAsia="Arial" w:hAnsi="Arial"/>
            <w:sz w:val="16"/>
            <w:szCs w:val="16"/>
            <w:u w:val="single" w:color="auto"/>
            <w:color w:val="0000FF"/>
          </w:rPr>
          <w:t>2002</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br w:type="column"/>
      </w:r>
    </w:p>
    <w:p>
      <w:pPr>
        <w:ind w:right="260"/>
        <w:spacing w:after="0" w:line="253" w:lineRule="auto"/>
        <w:rPr>
          <w:sz w:val="20"/>
          <w:szCs w:val="20"/>
          <w:color w:val="auto"/>
        </w:rPr>
      </w:pPr>
      <w:r>
        <w:rPr>
          <w:rFonts w:ascii="Arial" w:cs="Arial" w:eastAsia="Arial" w:hAnsi="Arial"/>
          <w:sz w:val="16"/>
          <w:szCs w:val="16"/>
          <w:color w:val="auto"/>
        </w:rPr>
        <w:t>Previously filed as Exhibit 10.1 to the Company's 8-K (File No. 001-38600) on July 28, 2020</w:t>
      </w:r>
    </w:p>
    <w:p>
      <w:pPr>
        <w:spacing w:after="0" w:line="228" w:lineRule="exact"/>
        <w:rPr>
          <w:rFonts w:ascii="Arial" w:cs="Arial" w:eastAsia="Arial" w:hAnsi="Arial"/>
          <w:sz w:val="16"/>
          <w:szCs w:val="16"/>
          <w:u w:val="single" w:color="auto"/>
          <w:color w:val="0000FF"/>
        </w:rPr>
      </w:pPr>
    </w:p>
    <w:p>
      <w:pPr>
        <w:spacing w:after="0"/>
        <w:rPr>
          <w:sz w:val="20"/>
          <w:szCs w:val="20"/>
          <w:color w:val="auto"/>
        </w:rPr>
      </w:pPr>
      <w:r>
        <w:rPr>
          <w:rFonts w:ascii="Arial" w:cs="Arial" w:eastAsia="Arial" w:hAnsi="Arial"/>
          <w:sz w:val="16"/>
          <w:szCs w:val="16"/>
          <w:color w:val="auto"/>
        </w:rPr>
        <w:t>Filed herewith</w:t>
      </w:r>
    </w:p>
    <w:p>
      <w:pPr>
        <w:spacing w:after="0" w:line="412" w:lineRule="exact"/>
        <w:rPr>
          <w:rFonts w:ascii="Arial" w:cs="Arial" w:eastAsia="Arial" w:hAnsi="Arial"/>
          <w:sz w:val="16"/>
          <w:szCs w:val="16"/>
          <w:u w:val="single" w:color="auto"/>
          <w:color w:val="0000FF"/>
        </w:rPr>
      </w:pPr>
    </w:p>
    <w:p>
      <w:pPr>
        <w:sectPr>
          <w:pgSz w:w="11900" w:h="16838" w:orient="portrait"/>
          <w:cols w:equalWidth="0" w:num="2">
            <w:col w:w="7560" w:space="240"/>
            <w:col w:w="3440"/>
          </w:cols>
          <w:pgMar w:left="320" w:top="140" w:right="339" w:bottom="1440" w:gutter="0" w:footer="0" w:header="0"/>
          <w:type w:val="continuous"/>
        </w:sectPr>
      </w:pPr>
    </w:p>
    <w:tbl>
      <w:tblPr>
        <w:tblLayout w:type="fixed"/>
        <w:tblInd w:w="300" w:type="dxa"/>
        <w:tblCellMar>
          <w:top w:w="0" w:type="dxa"/>
          <w:left w:w="0" w:type="dxa"/>
          <w:bottom w:w="0" w:type="dxa"/>
          <w:right w:w="0" w:type="dxa"/>
        </w:tblCellMar>
      </w:tblPr>
      <w:tr>
        <w:trPr>
          <w:trHeight w:val="184"/>
        </w:trPr>
        <w:tc>
          <w:tcPr>
            <w:tcW w:w="760" w:type="dxa"/>
            <w:vAlign w:val="bottom"/>
          </w:tcPr>
          <w:p>
            <w:pPr>
              <w:jc w:val="right"/>
              <w:ind w:right="99"/>
              <w:spacing w:after="0"/>
              <w:rPr>
                <w:sz w:val="20"/>
                <w:szCs w:val="20"/>
                <w:color w:val="auto"/>
              </w:rPr>
            </w:pPr>
            <w:r>
              <w:rPr>
                <w:rFonts w:ascii="Arial" w:cs="Arial" w:eastAsia="Arial" w:hAnsi="Arial"/>
                <w:sz w:val="16"/>
                <w:szCs w:val="16"/>
                <w:color w:val="auto"/>
              </w:rPr>
              <w:t>31.2</w:t>
            </w:r>
          </w:p>
        </w:tc>
        <w:tc>
          <w:tcPr>
            <w:tcW w:w="6320" w:type="dxa"/>
            <w:vAlign w:val="bottom"/>
            <w:tcBorders>
              <w:bottom w:val="single" w:sz="8" w:color="0000FF"/>
            </w:tcBorders>
            <w:gridSpan w:val="2"/>
          </w:tcPr>
          <w:p>
            <w:pPr>
              <w:spacing w:after="0"/>
              <w:rPr>
                <w:rFonts w:ascii="Arial" w:cs="Arial" w:eastAsia="Arial" w:hAnsi="Arial"/>
                <w:sz w:val="16"/>
                <w:szCs w:val="16"/>
                <w:color w:val="0000FF"/>
              </w:rPr>
            </w:pPr>
            <w:hyperlink w:anchor="page67">
              <w:r>
                <w:rPr>
                  <w:rFonts w:ascii="Arial" w:cs="Arial" w:eastAsia="Arial" w:hAnsi="Arial"/>
                  <w:sz w:val="16"/>
                  <w:szCs w:val="16"/>
                  <w:color w:val="0000FF"/>
                </w:rPr>
                <w:t>Certification of the Principal Financial Officer pursuant to Rules 13a-14(a) and 15d-14(a)</w:t>
              </w:r>
            </w:hyperlink>
          </w:p>
        </w:tc>
        <w:tc>
          <w:tcPr>
            <w:tcW w:w="320" w:type="dxa"/>
            <w:vAlign w:val="bottom"/>
            <w:gridSpan w:val="4"/>
          </w:tcPr>
          <w:p>
            <w:pPr>
              <w:spacing w:after="0"/>
              <w:rPr>
                <w:sz w:val="16"/>
                <w:szCs w:val="16"/>
                <w:color w:val="auto"/>
              </w:rPr>
            </w:pPr>
          </w:p>
        </w:tc>
        <w:tc>
          <w:tcPr>
            <w:tcW w:w="1100" w:type="dxa"/>
            <w:vAlign w:val="bottom"/>
          </w:tcPr>
          <w:p>
            <w:pPr>
              <w:ind w:left="100"/>
              <w:spacing w:after="0"/>
              <w:rPr>
                <w:sz w:val="20"/>
                <w:szCs w:val="20"/>
                <w:color w:val="auto"/>
              </w:rPr>
            </w:pPr>
            <w:r>
              <w:rPr>
                <w:rFonts w:ascii="Arial" w:cs="Arial" w:eastAsia="Arial" w:hAnsi="Arial"/>
                <w:sz w:val="16"/>
                <w:szCs w:val="16"/>
                <w:color w:val="auto"/>
                <w:w w:val="98"/>
              </w:rPr>
              <w:t>Filed herewith</w:t>
            </w:r>
          </w:p>
        </w:tc>
      </w:tr>
      <w:tr>
        <w:trPr>
          <w:trHeight w:val="169"/>
        </w:trPr>
        <w:tc>
          <w:tcPr>
            <w:tcW w:w="760" w:type="dxa"/>
            <w:vAlign w:val="bottom"/>
          </w:tcPr>
          <w:p>
            <w:pPr>
              <w:spacing w:after="0"/>
              <w:rPr>
                <w:sz w:val="14"/>
                <w:szCs w:val="14"/>
                <w:color w:val="auto"/>
              </w:rPr>
            </w:pPr>
          </w:p>
        </w:tc>
        <w:tc>
          <w:tcPr>
            <w:tcW w:w="6640" w:type="dxa"/>
            <w:vAlign w:val="bottom"/>
            <w:gridSpan w:val="6"/>
          </w:tcPr>
          <w:p>
            <w:pPr>
              <w:spacing w:after="0" w:line="169" w:lineRule="exact"/>
              <w:rPr>
                <w:rFonts w:ascii="Arial" w:cs="Arial" w:eastAsia="Arial" w:hAnsi="Arial"/>
                <w:sz w:val="16"/>
                <w:szCs w:val="16"/>
                <w:color w:val="0000FF"/>
              </w:rPr>
            </w:pPr>
            <w:hyperlink w:anchor="page67">
              <w:r>
                <w:rPr>
                  <w:rFonts w:ascii="Arial" w:cs="Arial" w:eastAsia="Arial" w:hAnsi="Arial"/>
                  <w:sz w:val="16"/>
                  <w:szCs w:val="16"/>
                  <w:color w:val="0000FF"/>
                </w:rPr>
                <w:t>under the Exchange Act, as adopted pursuant to Section 302 of the Sarbanes-Oxley Act of</w:t>
              </w:r>
            </w:hyperlink>
          </w:p>
        </w:tc>
        <w:tc>
          <w:tcPr>
            <w:tcW w:w="1100" w:type="dxa"/>
            <w:vAlign w:val="bottom"/>
          </w:tcPr>
          <w:p>
            <w:pPr>
              <w:spacing w:after="0"/>
              <w:rPr>
                <w:sz w:val="14"/>
                <w:szCs w:val="14"/>
                <w:color w:val="auto"/>
              </w:rPr>
            </w:pPr>
          </w:p>
        </w:tc>
      </w:tr>
      <w:tr>
        <w:trPr>
          <w:trHeight w:val="169"/>
        </w:trPr>
        <w:tc>
          <w:tcPr>
            <w:tcW w:w="760" w:type="dxa"/>
            <w:vAlign w:val="bottom"/>
          </w:tcPr>
          <w:p>
            <w:pPr>
              <w:spacing w:after="0"/>
              <w:rPr>
                <w:sz w:val="14"/>
                <w:szCs w:val="14"/>
                <w:color w:val="auto"/>
              </w:rPr>
            </w:pPr>
          </w:p>
        </w:tc>
        <w:tc>
          <w:tcPr>
            <w:tcW w:w="360" w:type="dxa"/>
            <w:vAlign w:val="bottom"/>
            <w:tcBorders>
              <w:top w:val="single" w:sz="8" w:color="0000FF"/>
              <w:bottom w:val="single" w:sz="8" w:color="0000FF"/>
            </w:tcBorders>
          </w:tcPr>
          <w:p>
            <w:pPr>
              <w:spacing w:after="0" w:line="169" w:lineRule="exact"/>
              <w:rPr>
                <w:rFonts w:ascii="Arial" w:cs="Arial" w:eastAsia="Arial" w:hAnsi="Arial"/>
                <w:sz w:val="16"/>
                <w:szCs w:val="16"/>
                <w:color w:val="0000FF"/>
                <w:w w:val="95"/>
              </w:rPr>
            </w:pPr>
            <w:hyperlink w:anchor="page67">
              <w:r>
                <w:rPr>
                  <w:rFonts w:ascii="Arial" w:cs="Arial" w:eastAsia="Arial" w:hAnsi="Arial"/>
                  <w:sz w:val="16"/>
                  <w:szCs w:val="16"/>
                  <w:color w:val="0000FF"/>
                  <w:w w:val="95"/>
                </w:rPr>
                <w:t>2002</w:t>
              </w:r>
            </w:hyperlink>
          </w:p>
        </w:tc>
        <w:tc>
          <w:tcPr>
            <w:tcW w:w="596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23"/>
        </w:trPr>
        <w:tc>
          <w:tcPr>
            <w:tcW w:w="760" w:type="dxa"/>
            <w:vAlign w:val="bottom"/>
          </w:tcPr>
          <w:p>
            <w:pPr>
              <w:jc w:val="right"/>
              <w:ind w:right="99"/>
              <w:spacing w:after="0"/>
              <w:rPr>
                <w:sz w:val="20"/>
                <w:szCs w:val="20"/>
                <w:color w:val="auto"/>
              </w:rPr>
            </w:pPr>
            <w:r>
              <w:rPr>
                <w:rFonts w:ascii="Arial" w:cs="Arial" w:eastAsia="Arial" w:hAnsi="Arial"/>
                <w:sz w:val="16"/>
                <w:szCs w:val="16"/>
                <w:color w:val="auto"/>
              </w:rPr>
              <w:t>32.1*</w:t>
            </w:r>
          </w:p>
        </w:tc>
        <w:tc>
          <w:tcPr>
            <w:tcW w:w="6560" w:type="dxa"/>
            <w:vAlign w:val="bottom"/>
            <w:tcBorders>
              <w:bottom w:val="single" w:sz="8" w:color="0000FF"/>
            </w:tcBorders>
            <w:gridSpan w:val="5"/>
          </w:tcPr>
          <w:p>
            <w:pPr>
              <w:spacing w:after="0"/>
              <w:rPr>
                <w:rFonts w:ascii="Arial" w:cs="Arial" w:eastAsia="Arial" w:hAnsi="Arial"/>
                <w:sz w:val="16"/>
                <w:szCs w:val="16"/>
                <w:color w:val="0000FF"/>
              </w:rPr>
            </w:pPr>
            <w:hyperlink w:anchor="page68">
              <w:r>
                <w:rPr>
                  <w:rFonts w:ascii="Arial" w:cs="Arial" w:eastAsia="Arial" w:hAnsi="Arial"/>
                  <w:sz w:val="16"/>
                  <w:szCs w:val="16"/>
                  <w:color w:val="0000FF"/>
                </w:rPr>
                <w:t>Certification of the Principal Executive Officer and the Principal Financial Officer pursuant to</w:t>
              </w:r>
            </w:hyperlink>
          </w:p>
        </w:tc>
        <w:tc>
          <w:tcPr>
            <w:tcW w:w="80" w:type="dxa"/>
            <w:vAlign w:val="bottom"/>
          </w:tcPr>
          <w:p>
            <w:pPr>
              <w:spacing w:after="0"/>
              <w:rPr>
                <w:sz w:val="19"/>
                <w:szCs w:val="19"/>
                <w:color w:val="auto"/>
              </w:rPr>
            </w:pPr>
          </w:p>
        </w:tc>
        <w:tc>
          <w:tcPr>
            <w:tcW w:w="1100" w:type="dxa"/>
            <w:vAlign w:val="bottom"/>
          </w:tcPr>
          <w:p>
            <w:pPr>
              <w:ind w:left="100"/>
              <w:spacing w:after="0"/>
              <w:rPr>
                <w:sz w:val="20"/>
                <w:szCs w:val="20"/>
                <w:color w:val="auto"/>
              </w:rPr>
            </w:pPr>
            <w:r>
              <w:rPr>
                <w:rFonts w:ascii="Arial" w:cs="Arial" w:eastAsia="Arial" w:hAnsi="Arial"/>
                <w:sz w:val="16"/>
                <w:szCs w:val="16"/>
                <w:color w:val="auto"/>
                <w:w w:val="98"/>
              </w:rPr>
              <w:t>Filed herewith</w:t>
            </w:r>
          </w:p>
        </w:tc>
      </w:tr>
      <w:tr>
        <w:trPr>
          <w:trHeight w:val="169"/>
        </w:trPr>
        <w:tc>
          <w:tcPr>
            <w:tcW w:w="760" w:type="dxa"/>
            <w:vAlign w:val="bottom"/>
          </w:tcPr>
          <w:p>
            <w:pPr>
              <w:spacing w:after="0"/>
              <w:rPr>
                <w:sz w:val="14"/>
                <w:szCs w:val="14"/>
                <w:color w:val="auto"/>
              </w:rPr>
            </w:pPr>
          </w:p>
        </w:tc>
        <w:tc>
          <w:tcPr>
            <w:tcW w:w="6640" w:type="dxa"/>
            <w:vAlign w:val="bottom"/>
            <w:gridSpan w:val="6"/>
          </w:tcPr>
          <w:p>
            <w:pPr>
              <w:spacing w:after="0" w:line="169" w:lineRule="exact"/>
              <w:rPr>
                <w:rFonts w:ascii="Arial" w:cs="Arial" w:eastAsia="Arial" w:hAnsi="Arial"/>
                <w:sz w:val="16"/>
                <w:szCs w:val="16"/>
                <w:color w:val="0000FF"/>
              </w:rPr>
            </w:pPr>
            <w:hyperlink w:anchor="page68">
              <w:r>
                <w:rPr>
                  <w:rFonts w:ascii="Arial" w:cs="Arial" w:eastAsia="Arial" w:hAnsi="Arial"/>
                  <w:sz w:val="16"/>
                  <w:szCs w:val="16"/>
                  <w:color w:val="0000FF"/>
                </w:rPr>
                <w:t>18 U.S.C. Section 1350, as adopted pursuant to Section 906 of the Sarbanes-Oxley Act of</w:t>
              </w:r>
            </w:hyperlink>
          </w:p>
        </w:tc>
        <w:tc>
          <w:tcPr>
            <w:tcW w:w="1100" w:type="dxa"/>
            <w:vAlign w:val="bottom"/>
          </w:tcPr>
          <w:p>
            <w:pPr>
              <w:spacing w:after="0"/>
              <w:rPr>
                <w:sz w:val="14"/>
                <w:szCs w:val="14"/>
                <w:color w:val="auto"/>
              </w:rPr>
            </w:pPr>
          </w:p>
        </w:tc>
      </w:tr>
      <w:tr>
        <w:trPr>
          <w:trHeight w:val="169"/>
        </w:trPr>
        <w:tc>
          <w:tcPr>
            <w:tcW w:w="760" w:type="dxa"/>
            <w:vAlign w:val="bottom"/>
          </w:tcPr>
          <w:p>
            <w:pPr>
              <w:spacing w:after="0"/>
              <w:rPr>
                <w:sz w:val="14"/>
                <w:szCs w:val="14"/>
                <w:color w:val="auto"/>
              </w:rPr>
            </w:pPr>
          </w:p>
        </w:tc>
        <w:tc>
          <w:tcPr>
            <w:tcW w:w="360" w:type="dxa"/>
            <w:vAlign w:val="bottom"/>
            <w:tcBorders>
              <w:top w:val="single" w:sz="8" w:color="0000FF"/>
              <w:bottom w:val="single" w:sz="8" w:color="0000FF"/>
            </w:tcBorders>
          </w:tcPr>
          <w:p>
            <w:pPr>
              <w:spacing w:after="0" w:line="169" w:lineRule="exact"/>
              <w:rPr>
                <w:rFonts w:ascii="Arial" w:cs="Arial" w:eastAsia="Arial" w:hAnsi="Arial"/>
                <w:sz w:val="16"/>
                <w:szCs w:val="16"/>
                <w:color w:val="0000FF"/>
                <w:w w:val="95"/>
              </w:rPr>
            </w:pPr>
            <w:hyperlink w:anchor="page68">
              <w:r>
                <w:rPr>
                  <w:rFonts w:ascii="Arial" w:cs="Arial" w:eastAsia="Arial" w:hAnsi="Arial"/>
                  <w:sz w:val="16"/>
                  <w:szCs w:val="16"/>
                  <w:color w:val="0000FF"/>
                  <w:w w:val="95"/>
                </w:rPr>
                <w:t>2002</w:t>
              </w:r>
            </w:hyperlink>
          </w:p>
        </w:tc>
        <w:tc>
          <w:tcPr>
            <w:tcW w:w="596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52"/>
        </w:trPr>
        <w:tc>
          <w:tcPr>
            <w:tcW w:w="760" w:type="dxa"/>
            <w:vAlign w:val="bottom"/>
          </w:tcPr>
          <w:p>
            <w:pPr>
              <w:jc w:val="right"/>
              <w:ind w:right="99"/>
              <w:spacing w:after="0"/>
              <w:rPr>
                <w:sz w:val="20"/>
                <w:szCs w:val="20"/>
                <w:color w:val="auto"/>
              </w:rPr>
            </w:pPr>
            <w:r>
              <w:rPr>
                <w:rFonts w:ascii="Arial" w:cs="Arial" w:eastAsia="Arial" w:hAnsi="Arial"/>
                <w:sz w:val="16"/>
                <w:szCs w:val="16"/>
                <w:color w:val="auto"/>
                <w:w w:val="96"/>
              </w:rPr>
              <w:t>101.INS</w:t>
            </w:r>
          </w:p>
        </w:tc>
        <w:tc>
          <w:tcPr>
            <w:tcW w:w="6640" w:type="dxa"/>
            <w:vAlign w:val="bottom"/>
            <w:gridSpan w:val="6"/>
          </w:tcPr>
          <w:p>
            <w:pPr>
              <w:spacing w:after="0"/>
              <w:rPr>
                <w:sz w:val="20"/>
                <w:szCs w:val="20"/>
                <w:color w:val="auto"/>
              </w:rPr>
            </w:pPr>
            <w:r>
              <w:rPr>
                <w:rFonts w:ascii="Arial" w:cs="Arial" w:eastAsia="Arial" w:hAnsi="Arial"/>
                <w:sz w:val="16"/>
                <w:szCs w:val="16"/>
                <w:color w:val="auto"/>
              </w:rPr>
              <w:t>XBRL Instance Document - the instance document does not appear in the Interactive Data</w:t>
            </w:r>
          </w:p>
        </w:tc>
        <w:tc>
          <w:tcPr>
            <w:tcW w:w="1100" w:type="dxa"/>
            <w:vAlign w:val="bottom"/>
          </w:tcPr>
          <w:p>
            <w:pPr>
              <w:spacing w:after="0"/>
              <w:rPr>
                <w:sz w:val="21"/>
                <w:szCs w:val="21"/>
                <w:color w:val="auto"/>
              </w:rPr>
            </w:pPr>
          </w:p>
        </w:tc>
      </w:tr>
      <w:tr>
        <w:trPr>
          <w:trHeight w:val="195"/>
        </w:trPr>
        <w:tc>
          <w:tcPr>
            <w:tcW w:w="760" w:type="dxa"/>
            <w:vAlign w:val="bottom"/>
          </w:tcPr>
          <w:p>
            <w:pPr>
              <w:spacing w:after="0"/>
              <w:rPr>
                <w:sz w:val="16"/>
                <w:szCs w:val="16"/>
                <w:color w:val="auto"/>
              </w:rPr>
            </w:pPr>
          </w:p>
        </w:tc>
        <w:tc>
          <w:tcPr>
            <w:tcW w:w="6640" w:type="dxa"/>
            <w:vAlign w:val="bottom"/>
            <w:gridSpan w:val="6"/>
          </w:tcPr>
          <w:p>
            <w:pPr>
              <w:spacing w:after="0"/>
              <w:rPr>
                <w:sz w:val="20"/>
                <w:szCs w:val="20"/>
                <w:color w:val="auto"/>
              </w:rPr>
            </w:pPr>
            <w:r>
              <w:rPr>
                <w:rFonts w:ascii="Arial" w:cs="Arial" w:eastAsia="Arial" w:hAnsi="Arial"/>
                <w:sz w:val="16"/>
                <w:szCs w:val="16"/>
                <w:color w:val="auto"/>
              </w:rPr>
              <w:t>File because its XBRL tags are embedded within the inline XBRL document</w:t>
            </w:r>
          </w:p>
        </w:tc>
        <w:tc>
          <w:tcPr>
            <w:tcW w:w="1100" w:type="dxa"/>
            <w:vAlign w:val="bottom"/>
          </w:tcPr>
          <w:p>
            <w:pPr>
              <w:spacing w:after="0"/>
              <w:rPr>
                <w:sz w:val="16"/>
                <w:szCs w:val="16"/>
                <w:color w:val="auto"/>
              </w:rPr>
            </w:pPr>
          </w:p>
        </w:tc>
      </w:tr>
    </w:tbl>
    <w:p>
      <w:pPr>
        <w:spacing w:after="0" w:line="48" w:lineRule="exact"/>
        <w:rPr>
          <w:sz w:val="20"/>
          <w:szCs w:val="20"/>
          <w:color w:val="auto"/>
        </w:rPr>
      </w:pPr>
    </w:p>
    <w:p>
      <w:pPr>
        <w:sectPr>
          <w:pgSz w:w="11900" w:h="16838" w:orient="portrait"/>
          <w:cols w:equalWidth="0" w:num="1">
            <w:col w:w="11240"/>
          </w:cols>
          <w:pgMar w:left="320" w:top="140" w:right="339" w:bottom="1440" w:gutter="0" w:footer="0" w:header="0"/>
          <w:type w:val="continuous"/>
        </w:sectPr>
      </w:pPr>
    </w:p>
    <w:p>
      <w:pPr>
        <w:jc w:val="right"/>
        <w:spacing w:after="0"/>
        <w:rPr>
          <w:sz w:val="20"/>
          <w:szCs w:val="20"/>
          <w:color w:val="auto"/>
        </w:rPr>
      </w:pPr>
      <w:r>
        <w:rPr>
          <w:rFonts w:ascii="Arial" w:cs="Arial" w:eastAsia="Arial" w:hAnsi="Arial"/>
          <w:sz w:val="16"/>
          <w:szCs w:val="16"/>
          <w:color w:val="auto"/>
        </w:rPr>
        <w:t>101.SCH</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101.CAL</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101.DEF</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101.LAB</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101.PRE</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104</w:t>
      </w:r>
    </w:p>
    <w:p>
      <w:pPr>
        <w:spacing w:after="0" w:line="398" w:lineRule="exact"/>
        <w:rPr>
          <w:sz w:val="20"/>
          <w:szCs w:val="20"/>
          <w:color w:val="auto"/>
        </w:rPr>
      </w:pPr>
    </w:p>
    <w:p>
      <w:pPr>
        <w:spacing w:after="0"/>
        <w:rPr>
          <w:sz w:val="20"/>
          <w:szCs w:val="20"/>
          <w:color w:val="auto"/>
        </w:rPr>
      </w:pPr>
      <w:r>
        <w:rPr>
          <w:rFonts w:ascii="Arial" w:cs="Arial" w:eastAsia="Arial" w:hAnsi="Arial"/>
          <w:sz w:val="9"/>
          <w:szCs w:val="9"/>
          <w:color w:val="auto"/>
        </w:rPr>
        <w:t>________________</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Inline XBRL Taxonomy Extension Schema Document</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Inline XBRL Taxonomy Extension Calculation Linkbase Document</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Inline XBRL Taxonomy Extension Definition Linkbase Document</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Inline XBRL Taxonomy Extension Label Linkbase Document</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Inline XBRL Taxonomy Extension Presentation Linkbase Document</w:t>
      </w:r>
    </w:p>
    <w:p>
      <w:pPr>
        <w:spacing w:after="0" w:line="59" w:lineRule="exact"/>
        <w:rPr>
          <w:sz w:val="20"/>
          <w:szCs w:val="20"/>
          <w:color w:val="auto"/>
        </w:rPr>
      </w:pPr>
    </w:p>
    <w:p>
      <w:pPr>
        <w:ind w:right="3940"/>
        <w:spacing w:after="0" w:line="253" w:lineRule="auto"/>
        <w:rPr>
          <w:sz w:val="20"/>
          <w:szCs w:val="20"/>
          <w:color w:val="auto"/>
        </w:rPr>
      </w:pPr>
      <w:r>
        <w:rPr>
          <w:rFonts w:ascii="Arial" w:cs="Arial" w:eastAsia="Arial" w:hAnsi="Arial"/>
          <w:sz w:val="16"/>
          <w:szCs w:val="16"/>
          <w:color w:val="auto"/>
        </w:rPr>
        <w:t>Cover Page Interactive Data File (formatted as Inline XBRL with applicable taxonomy extension information contained in Exhibits 101.SCH, 101.CAL, 101.DEF, 101.LAB and 101.PRE)</w:t>
      </w:r>
    </w:p>
    <w:p>
      <w:pPr>
        <w:spacing w:after="0" w:line="131" w:lineRule="exact"/>
        <w:rPr>
          <w:sz w:val="20"/>
          <w:szCs w:val="20"/>
          <w:color w:val="auto"/>
        </w:rPr>
      </w:pPr>
    </w:p>
    <w:p>
      <w:pPr>
        <w:sectPr>
          <w:pgSz w:w="11900" w:h="16838" w:orient="portrait"/>
          <w:cols w:equalWidth="0" w:num="2">
            <w:col w:w="880" w:space="180"/>
            <w:col w:w="10180"/>
          </w:cols>
          <w:pgMar w:left="320" w:top="140" w:right="339" w:bottom="1440" w:gutter="0" w:footer="0" w:header="0"/>
          <w:type w:val="continuous"/>
        </w:sectPr>
      </w:pPr>
    </w:p>
    <w:p>
      <w:pPr>
        <w:ind w:right="180" w:firstLine="332"/>
        <w:spacing w:after="0" w:line="256" w:lineRule="auto"/>
        <w:tabs>
          <w:tab w:leader="none" w:pos="711"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This certification is deemed not filed for purposes of Section 18 of the Securities Exchange Act of 1934, as amended, or otherwise subject to the liability of that section, nor shall it be deemed incorporated by reference into any filing under the Securities Act of 1933, as amended, or the Securities Exchange Act of 1934, as amended.</w:t>
      </w: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320" w:top="140" w:right="339" w:bottom="1440" w:gutter="0" w:footer="0" w:header="0"/>
          <w:type w:val="continuous"/>
        </w:sectPr>
      </w:pPr>
    </w:p>
    <w:bookmarkStart w:id="61" w:name="page62"/>
    <w:bookmarkEnd w:id="61"/>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5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6780" w:type="dxa"/>
            <w:vAlign w:val="bottom"/>
            <w:gridSpan w:val="2"/>
          </w:tcPr>
          <w:p>
            <w:pPr>
              <w:ind w:left="1280"/>
              <w:spacing w:after="0"/>
              <w:rPr>
                <w:sz w:val="20"/>
                <w:szCs w:val="20"/>
                <w:color w:val="auto"/>
              </w:rPr>
            </w:pPr>
            <w:r>
              <w:rPr>
                <w:rFonts w:ascii="Arial" w:cs="Arial" w:eastAsia="Arial" w:hAnsi="Arial"/>
                <w:sz w:val="18"/>
                <w:szCs w:val="18"/>
                <w:b w:val="1"/>
                <w:bCs w:val="1"/>
                <w:color w:val="auto"/>
              </w:rPr>
              <w:t>TENABLE HOLDINGS, INC.</w:t>
            </w:r>
          </w:p>
        </w:tc>
      </w:tr>
      <w:tr>
        <w:trPr>
          <w:trHeight w:val="588"/>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2400" w:type="dxa"/>
            <w:vAlign w:val="bottom"/>
          </w:tcPr>
          <w:p>
            <w:pPr>
              <w:ind w:left="60"/>
              <w:spacing w:after="0"/>
              <w:rPr>
                <w:sz w:val="20"/>
                <w:szCs w:val="20"/>
                <w:color w:val="auto"/>
              </w:rPr>
            </w:pPr>
            <w:r>
              <w:rPr>
                <w:rFonts w:ascii="Arial" w:cs="Arial" w:eastAsia="Arial" w:hAnsi="Arial"/>
                <w:sz w:val="18"/>
                <w:szCs w:val="18"/>
                <w:color w:val="auto"/>
              </w:rPr>
              <w:t>July 30, 2020</w:t>
            </w:r>
          </w:p>
        </w:tc>
        <w:tc>
          <w:tcPr>
            <w:tcW w:w="6780" w:type="dxa"/>
            <w:vAlign w:val="bottom"/>
            <w:gridSpan w:val="2"/>
          </w:tcPr>
          <w:p>
            <w:pPr>
              <w:ind w:left="1280"/>
              <w:spacing w:after="0"/>
              <w:rPr>
                <w:sz w:val="20"/>
                <w:szCs w:val="20"/>
                <w:color w:val="auto"/>
              </w:rPr>
            </w:pPr>
            <w:r>
              <w:rPr>
                <w:rFonts w:ascii="Arial" w:cs="Arial" w:eastAsia="Arial" w:hAnsi="Arial"/>
                <w:sz w:val="18"/>
                <w:szCs w:val="18"/>
                <w:color w:val="auto"/>
              </w:rPr>
              <w:t>By: /s/ Amit Yoran</w:t>
            </w:r>
          </w:p>
        </w:tc>
      </w:tr>
      <w:tr>
        <w:trPr>
          <w:trHeight w:val="243"/>
        </w:trPr>
        <w:tc>
          <w:tcPr>
            <w:tcW w:w="50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51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Amit Yoran</w:t>
            </w:r>
          </w:p>
        </w:tc>
      </w:tr>
      <w:tr>
        <w:trPr>
          <w:trHeight w:val="270"/>
        </w:trPr>
        <w:tc>
          <w:tcPr>
            <w:tcW w:w="50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Chairman and Chief Executive Officer</w:t>
            </w:r>
          </w:p>
        </w:tc>
      </w:tr>
      <w:tr>
        <w:trPr>
          <w:trHeight w:val="270"/>
        </w:trPr>
        <w:tc>
          <w:tcPr>
            <w:tcW w:w="50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5140" w:type="dxa"/>
            <w:vAlign w:val="bottom"/>
          </w:tcPr>
          <w:p>
            <w:pPr>
              <w:ind w:left="20"/>
              <w:spacing w:after="0"/>
              <w:rPr>
                <w:sz w:val="20"/>
                <w:szCs w:val="20"/>
                <w:color w:val="auto"/>
              </w:rPr>
            </w:pPr>
            <w:r>
              <w:rPr>
                <w:rFonts w:ascii="Arial" w:cs="Arial" w:eastAsia="Arial" w:hAnsi="Arial"/>
                <w:sz w:val="18"/>
                <w:szCs w:val="18"/>
                <w:i w:val="1"/>
                <w:iCs w:val="1"/>
                <w:color w:val="auto"/>
              </w:rPr>
              <w:t>(On Behalf of the Registrant and as Principal Executive Officer)</w:t>
            </w:r>
          </w:p>
        </w:tc>
      </w:tr>
      <w:tr>
        <w:trPr>
          <w:trHeight w:val="588"/>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2400" w:type="dxa"/>
            <w:vAlign w:val="bottom"/>
          </w:tcPr>
          <w:p>
            <w:pPr>
              <w:ind w:left="60"/>
              <w:spacing w:after="0"/>
              <w:rPr>
                <w:sz w:val="20"/>
                <w:szCs w:val="20"/>
                <w:color w:val="auto"/>
              </w:rPr>
            </w:pPr>
            <w:r>
              <w:rPr>
                <w:rFonts w:ascii="Arial" w:cs="Arial" w:eastAsia="Arial" w:hAnsi="Arial"/>
                <w:sz w:val="18"/>
                <w:szCs w:val="18"/>
                <w:color w:val="auto"/>
              </w:rPr>
              <w:t>July 30, 2020</w:t>
            </w:r>
          </w:p>
        </w:tc>
        <w:tc>
          <w:tcPr>
            <w:tcW w:w="6780" w:type="dxa"/>
            <w:vAlign w:val="bottom"/>
            <w:gridSpan w:val="2"/>
          </w:tcPr>
          <w:p>
            <w:pPr>
              <w:ind w:left="1280"/>
              <w:spacing w:after="0"/>
              <w:rPr>
                <w:sz w:val="20"/>
                <w:szCs w:val="20"/>
                <w:color w:val="auto"/>
              </w:rPr>
            </w:pPr>
            <w:r>
              <w:rPr>
                <w:rFonts w:ascii="Arial" w:cs="Arial" w:eastAsia="Arial" w:hAnsi="Arial"/>
                <w:sz w:val="18"/>
                <w:szCs w:val="18"/>
                <w:color w:val="auto"/>
              </w:rPr>
              <w:t>By: /s/ Stephen A. Vintz</w:t>
            </w:r>
          </w:p>
        </w:tc>
      </w:tr>
      <w:tr>
        <w:trPr>
          <w:trHeight w:val="243"/>
        </w:trPr>
        <w:tc>
          <w:tcPr>
            <w:tcW w:w="50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51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Stephen A. Vintz</w:t>
            </w:r>
          </w:p>
        </w:tc>
      </w:tr>
      <w:tr>
        <w:trPr>
          <w:trHeight w:val="270"/>
        </w:trPr>
        <w:tc>
          <w:tcPr>
            <w:tcW w:w="50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70"/>
        </w:trPr>
        <w:tc>
          <w:tcPr>
            <w:tcW w:w="50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514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Officer and Principal Accounting Officer)</w:t>
            </w:r>
          </w:p>
        </w:tc>
      </w:tr>
      <w:tr>
        <w:trPr>
          <w:trHeight w:val="878"/>
        </w:trPr>
        <w:tc>
          <w:tcPr>
            <w:tcW w:w="5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6780" w:type="dxa"/>
            <w:vAlign w:val="bottom"/>
            <w:gridSpan w:val="2"/>
          </w:tcPr>
          <w:p>
            <w:pPr>
              <w:jc w:val="right"/>
              <w:ind w:right="3910"/>
              <w:spacing w:after="0"/>
              <w:rPr>
                <w:sz w:val="20"/>
                <w:szCs w:val="20"/>
                <w:color w:val="auto"/>
              </w:rPr>
            </w:pPr>
            <w:r>
              <w:rPr>
                <w:rFonts w:ascii="Arial" w:cs="Arial" w:eastAsia="Arial" w:hAnsi="Arial"/>
                <w:sz w:val="18"/>
                <w:szCs w:val="18"/>
                <w:color w:val="auto"/>
              </w:rPr>
              <w:t>62</w:t>
            </w:r>
          </w:p>
        </w:tc>
      </w:tr>
    </w:tbl>
    <w:p>
      <w:pPr>
        <w:sectPr>
          <w:pgSz w:w="11900" w:h="16838" w:orient="portrait"/>
          <w:cols w:equalWidth="0" w:num="1">
            <w:col w:w="11200"/>
          </w:cols>
          <w:pgMar w:left="320" w:top="140" w:right="379" w:bottom="1440" w:gutter="0" w:footer="0" w:header="0"/>
        </w:sectPr>
      </w:pPr>
    </w:p>
    <w:bookmarkStart w:id="62" w:name="page63"/>
    <w:bookmarkEnd w:id="62"/>
    <w:p>
      <w:pPr>
        <w:ind w:left="5660"/>
        <w:spacing w:after="0"/>
        <w:rPr>
          <w:sz w:val="20"/>
          <w:szCs w:val="20"/>
          <w:color w:val="auto"/>
        </w:rPr>
      </w:pPr>
      <w:r>
        <w:rPr>
          <w:rFonts w:ascii="Arial" w:cs="Arial" w:eastAsia="Arial" w:hAnsi="Arial"/>
          <w:sz w:val="22"/>
          <w:szCs w:val="22"/>
          <w:b w:val="1"/>
          <w:bCs w:val="1"/>
          <w:color w:val="auto"/>
        </w:rPr>
        <w:t>SECOND AMENDMENT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22"/>
          <w:szCs w:val="22"/>
          <w:b w:val="1"/>
          <w:bCs w:val="1"/>
          <w:color w:val="auto"/>
        </w:rPr>
        <w:t>LOAN AND SECURITY AGREEMENT</w:t>
      </w:r>
    </w:p>
    <w:p>
      <w:pPr>
        <w:spacing w:after="0" w:line="223" w:lineRule="exact"/>
        <w:rPr>
          <w:sz w:val="20"/>
          <w:szCs w:val="20"/>
          <w:color w:val="auto"/>
        </w:rPr>
      </w:pPr>
    </w:p>
    <w:p>
      <w:pPr>
        <w:ind w:firstLine="648"/>
        <w:spacing w:after="0" w:line="334" w:lineRule="auto"/>
        <w:rPr>
          <w:sz w:val="20"/>
          <w:szCs w:val="20"/>
          <w:color w:val="auto"/>
        </w:rPr>
      </w:pPr>
      <w:r>
        <w:rPr>
          <w:rFonts w:ascii="Arial" w:cs="Arial" w:eastAsia="Arial" w:hAnsi="Arial"/>
          <w:sz w:val="20"/>
          <w:szCs w:val="20"/>
          <w:color w:val="auto"/>
        </w:rPr>
        <w:t>This Second Amendment to Loan and Security Agreement (this “</w:t>
      </w:r>
      <w:r>
        <w:rPr>
          <w:rFonts w:ascii="Arial" w:cs="Arial" w:eastAsia="Arial" w:hAnsi="Arial"/>
          <w:sz w:val="20"/>
          <w:szCs w:val="20"/>
          <w:b w:val="1"/>
          <w:bCs w:val="1"/>
          <w:color w:val="auto"/>
        </w:rPr>
        <w:t>Amendment</w:t>
      </w:r>
      <w:r>
        <w:rPr>
          <w:rFonts w:ascii="Arial" w:cs="Arial" w:eastAsia="Arial" w:hAnsi="Arial"/>
          <w:sz w:val="20"/>
          <w:szCs w:val="20"/>
          <w:color w:val="auto"/>
        </w:rPr>
        <w:t>”) is entered into this 1</w:t>
      </w:r>
      <w:r>
        <w:rPr>
          <w:rFonts w:ascii="Arial" w:cs="Arial" w:eastAsia="Arial" w:hAnsi="Arial"/>
          <w:sz w:val="13"/>
          <w:szCs w:val="13"/>
          <w:color w:val="auto"/>
        </w:rPr>
        <w:t>st</w:t>
      </w:r>
      <w:r>
        <w:rPr>
          <w:rFonts w:ascii="Arial" w:cs="Arial" w:eastAsia="Arial" w:hAnsi="Arial"/>
          <w:sz w:val="20"/>
          <w:szCs w:val="20"/>
          <w:color w:val="auto"/>
        </w:rPr>
        <w:t xml:space="preserve"> day of July, 2020, by and between Silicon Valley Bank (“</w:t>
      </w:r>
      <w:r>
        <w:rPr>
          <w:rFonts w:ascii="Arial" w:cs="Arial" w:eastAsia="Arial" w:hAnsi="Arial"/>
          <w:sz w:val="20"/>
          <w:szCs w:val="20"/>
          <w:b w:val="1"/>
          <w:bCs w:val="1"/>
          <w:color w:val="auto"/>
        </w:rPr>
        <w:t>Bank</w:t>
      </w:r>
      <w:r>
        <w:rPr>
          <w:rFonts w:ascii="Arial" w:cs="Arial" w:eastAsia="Arial" w:hAnsi="Arial"/>
          <w:sz w:val="20"/>
          <w:szCs w:val="20"/>
          <w:color w:val="auto"/>
        </w:rPr>
        <w:t>”), and Tenable, Inc., a Delaware corporation (“</w:t>
      </w:r>
      <w:r>
        <w:rPr>
          <w:rFonts w:ascii="Arial" w:cs="Arial" w:eastAsia="Arial" w:hAnsi="Arial"/>
          <w:sz w:val="20"/>
          <w:szCs w:val="20"/>
          <w:b w:val="1"/>
          <w:bCs w:val="1"/>
          <w:color w:val="auto"/>
        </w:rPr>
        <w:t>Borrower</w:t>
      </w:r>
      <w:r>
        <w:rPr>
          <w:rFonts w:ascii="Arial" w:cs="Arial" w:eastAsia="Arial" w:hAnsi="Arial"/>
          <w:sz w:val="20"/>
          <w:szCs w:val="20"/>
          <w:color w:val="auto"/>
        </w:rPr>
        <w:t>”).</w:t>
      </w:r>
    </w:p>
    <w:p>
      <w:pPr>
        <w:spacing w:after="0" w:line="102" w:lineRule="exact"/>
        <w:rPr>
          <w:sz w:val="20"/>
          <w:szCs w:val="20"/>
          <w:color w:val="auto"/>
        </w:rPr>
      </w:pPr>
    </w:p>
    <w:p>
      <w:pPr>
        <w:ind w:left="6600"/>
        <w:spacing w:after="0"/>
        <w:rPr>
          <w:sz w:val="20"/>
          <w:szCs w:val="20"/>
          <w:color w:val="auto"/>
        </w:rPr>
      </w:pPr>
      <w:r>
        <w:rPr>
          <w:rFonts w:ascii="Arial" w:cs="Arial" w:eastAsia="Arial" w:hAnsi="Arial"/>
          <w:sz w:val="22"/>
          <w:szCs w:val="22"/>
          <w:b w:val="1"/>
          <w:bCs w:val="1"/>
          <w:color w:val="auto"/>
        </w:rPr>
        <w:t>R</w:t>
      </w:r>
      <w:r>
        <w:rPr>
          <w:rFonts w:ascii="Arial" w:cs="Arial" w:eastAsia="Arial" w:hAnsi="Arial"/>
          <w:sz w:val="17"/>
          <w:szCs w:val="17"/>
          <w:b w:val="1"/>
          <w:bCs w:val="1"/>
          <w:color w:val="auto"/>
        </w:rPr>
        <w:t>ECITALS</w:t>
      </w:r>
    </w:p>
    <w:p>
      <w:pPr>
        <w:spacing w:after="0" w:line="226" w:lineRule="exact"/>
        <w:rPr>
          <w:sz w:val="20"/>
          <w:szCs w:val="20"/>
          <w:color w:val="auto"/>
        </w:rPr>
      </w:pPr>
    </w:p>
    <w:p>
      <w:pPr>
        <w:jc w:val="both"/>
        <w:ind w:firstLine="644"/>
        <w:spacing w:after="0" w:line="218" w:lineRule="auto"/>
        <w:tabs>
          <w:tab w:leader="none" w:pos="1506" w:val="left"/>
        </w:tabs>
        <w:numPr>
          <w:ilvl w:val="0"/>
          <w:numId w:val="35"/>
        </w:numPr>
        <w:rPr>
          <w:rFonts w:ascii="Arial" w:cs="Arial" w:eastAsia="Arial" w:hAnsi="Arial"/>
          <w:sz w:val="22"/>
          <w:szCs w:val="22"/>
          <w:b w:val="1"/>
          <w:bCs w:val="1"/>
          <w:color w:val="auto"/>
        </w:rPr>
      </w:pPr>
      <w:r>
        <w:rPr>
          <w:rFonts w:ascii="Arial" w:cs="Arial" w:eastAsia="Arial" w:hAnsi="Arial"/>
          <w:sz w:val="22"/>
          <w:szCs w:val="22"/>
          <w:color w:val="auto"/>
        </w:rPr>
        <w:t>Bank and Borrower have entered into that certain Loan and Security Agreement dated as of May 4, 2017 (as amended by that certain First Amendment to Loan and Security Agreement dated as of April 22, 2020 and as the same may be further amended, restated, amended and restated, supplemented or otherwise modified from time to time, the “</w:t>
      </w:r>
      <w:r>
        <w:rPr>
          <w:rFonts w:ascii="Arial" w:cs="Arial" w:eastAsia="Arial" w:hAnsi="Arial"/>
          <w:sz w:val="22"/>
          <w:szCs w:val="22"/>
          <w:b w:val="1"/>
          <w:bCs w:val="1"/>
          <w:color w:val="auto"/>
        </w:rPr>
        <w:t>Loan</w:t>
      </w:r>
      <w:r>
        <w:rPr>
          <w:rFonts w:ascii="Arial" w:cs="Arial" w:eastAsia="Arial" w:hAnsi="Arial"/>
          <w:sz w:val="22"/>
          <w:szCs w:val="22"/>
          <w:color w:val="auto"/>
        </w:rPr>
        <w:t xml:space="preserve"> </w:t>
      </w:r>
      <w:r>
        <w:rPr>
          <w:rFonts w:ascii="Arial" w:cs="Arial" w:eastAsia="Arial" w:hAnsi="Arial"/>
          <w:sz w:val="22"/>
          <w:szCs w:val="22"/>
          <w:b w:val="1"/>
          <w:bCs w:val="1"/>
          <w:color w:val="auto"/>
        </w:rPr>
        <w:t>Agreement</w:t>
      </w:r>
      <w:r>
        <w:rPr>
          <w:rFonts w:ascii="Arial" w:cs="Arial" w:eastAsia="Arial" w:hAnsi="Arial"/>
          <w:sz w:val="22"/>
          <w:szCs w:val="22"/>
          <w:color w:val="auto"/>
        </w:rPr>
        <w:t>”).</w:t>
      </w:r>
    </w:p>
    <w:p>
      <w:pPr>
        <w:spacing w:after="0" w:line="174" w:lineRule="exact"/>
        <w:rPr>
          <w:rFonts w:ascii="Arial" w:cs="Arial" w:eastAsia="Arial" w:hAnsi="Arial"/>
          <w:sz w:val="22"/>
          <w:szCs w:val="22"/>
          <w:b w:val="1"/>
          <w:bCs w:val="1"/>
          <w:color w:val="auto"/>
        </w:rPr>
      </w:pPr>
    </w:p>
    <w:p>
      <w:pPr>
        <w:ind w:left="1500" w:hanging="856"/>
        <w:spacing w:after="0"/>
        <w:tabs>
          <w:tab w:leader="none" w:pos="1500" w:val="left"/>
        </w:tabs>
        <w:numPr>
          <w:ilvl w:val="0"/>
          <w:numId w:val="35"/>
        </w:numPr>
        <w:rPr>
          <w:rFonts w:ascii="Arial" w:cs="Arial" w:eastAsia="Arial" w:hAnsi="Arial"/>
          <w:sz w:val="22"/>
          <w:szCs w:val="22"/>
          <w:b w:val="1"/>
          <w:bCs w:val="1"/>
          <w:color w:val="auto"/>
        </w:rPr>
      </w:pPr>
      <w:r>
        <w:rPr>
          <w:rFonts w:ascii="Arial" w:cs="Arial" w:eastAsia="Arial" w:hAnsi="Arial"/>
          <w:sz w:val="22"/>
          <w:szCs w:val="22"/>
          <w:color w:val="auto"/>
        </w:rPr>
        <w:t>Bank has extended credit to Borrower for the purposes permitted in the Loan Agreement.</w:t>
      </w:r>
    </w:p>
    <w:p>
      <w:pPr>
        <w:spacing w:after="0" w:line="192" w:lineRule="exact"/>
        <w:rPr>
          <w:rFonts w:ascii="Arial" w:cs="Arial" w:eastAsia="Arial" w:hAnsi="Arial"/>
          <w:sz w:val="22"/>
          <w:szCs w:val="22"/>
          <w:b w:val="1"/>
          <w:bCs w:val="1"/>
          <w:color w:val="auto"/>
        </w:rPr>
      </w:pPr>
    </w:p>
    <w:p>
      <w:pPr>
        <w:ind w:firstLine="644"/>
        <w:spacing w:after="0" w:line="232" w:lineRule="auto"/>
        <w:tabs>
          <w:tab w:leader="none" w:pos="1506" w:val="left"/>
        </w:tabs>
        <w:numPr>
          <w:ilvl w:val="0"/>
          <w:numId w:val="35"/>
        </w:numPr>
        <w:rPr>
          <w:rFonts w:ascii="Arial" w:cs="Arial" w:eastAsia="Arial" w:hAnsi="Arial"/>
          <w:sz w:val="22"/>
          <w:szCs w:val="22"/>
          <w:b w:val="1"/>
          <w:bCs w:val="1"/>
          <w:color w:val="auto"/>
        </w:rPr>
      </w:pPr>
      <w:r>
        <w:rPr>
          <w:rFonts w:ascii="Arial" w:cs="Arial" w:eastAsia="Arial" w:hAnsi="Arial"/>
          <w:sz w:val="22"/>
          <w:szCs w:val="22"/>
          <w:color w:val="auto"/>
        </w:rPr>
        <w:t>Borrower has requested that Bank amend the Loan Agreement to make certain revisions to the Loan Agreement as more fully set forth herein.</w:t>
      </w:r>
    </w:p>
    <w:p>
      <w:pPr>
        <w:spacing w:after="0" w:line="172" w:lineRule="exact"/>
        <w:rPr>
          <w:rFonts w:ascii="Arial" w:cs="Arial" w:eastAsia="Arial" w:hAnsi="Arial"/>
          <w:sz w:val="22"/>
          <w:szCs w:val="22"/>
          <w:b w:val="1"/>
          <w:bCs w:val="1"/>
          <w:color w:val="auto"/>
        </w:rPr>
      </w:pPr>
    </w:p>
    <w:p>
      <w:pPr>
        <w:ind w:firstLine="644"/>
        <w:spacing w:after="0" w:line="298" w:lineRule="auto"/>
        <w:tabs>
          <w:tab w:leader="none" w:pos="1506" w:val="left"/>
        </w:tabs>
        <w:numPr>
          <w:ilvl w:val="0"/>
          <w:numId w:val="35"/>
        </w:numPr>
        <w:rPr>
          <w:rFonts w:ascii="Arial" w:cs="Arial" w:eastAsia="Arial" w:hAnsi="Arial"/>
          <w:sz w:val="19"/>
          <w:szCs w:val="19"/>
          <w:b w:val="1"/>
          <w:bCs w:val="1"/>
          <w:color w:val="auto"/>
        </w:rPr>
      </w:pPr>
      <w:r>
        <w:rPr>
          <w:rFonts w:ascii="Arial" w:cs="Arial" w:eastAsia="Arial" w:hAnsi="Arial"/>
          <w:sz w:val="19"/>
          <w:szCs w:val="19"/>
          <w:color w:val="auto"/>
        </w:rPr>
        <w:t>Bank has agreed to so amend certain provisions of the Loan Agreement, but only to the extent, in accordance with the terms, subject to the conditions and in reliance upon the representations and warranties set forth below.</w:t>
      </w:r>
    </w:p>
    <w:p>
      <w:pPr>
        <w:spacing w:after="0" w:line="126" w:lineRule="exact"/>
        <w:rPr>
          <w:sz w:val="20"/>
          <w:szCs w:val="20"/>
          <w:color w:val="auto"/>
        </w:rPr>
      </w:pPr>
    </w:p>
    <w:p>
      <w:pPr>
        <w:ind w:left="6480"/>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7"/>
          <w:szCs w:val="17"/>
          <w:b w:val="1"/>
          <w:bCs w:val="1"/>
          <w:color w:val="auto"/>
        </w:rPr>
        <w:t>GREEMENT</w:t>
      </w:r>
    </w:p>
    <w:p>
      <w:pPr>
        <w:spacing w:after="0" w:line="247" w:lineRule="exact"/>
        <w:rPr>
          <w:sz w:val="20"/>
          <w:szCs w:val="20"/>
          <w:color w:val="auto"/>
        </w:rPr>
      </w:pPr>
    </w:p>
    <w:p>
      <w:pPr>
        <w:ind w:firstLine="648"/>
        <w:spacing w:after="0" w:line="379" w:lineRule="auto"/>
        <w:rPr>
          <w:sz w:val="20"/>
          <w:szCs w:val="20"/>
          <w:color w:val="auto"/>
        </w:rPr>
      </w:pPr>
      <w:r>
        <w:rPr>
          <w:rFonts w:ascii="Arial" w:cs="Arial" w:eastAsia="Arial" w:hAnsi="Arial"/>
          <w:sz w:val="19"/>
          <w:szCs w:val="19"/>
          <w:b w:val="1"/>
          <w:bCs w:val="1"/>
          <w:color w:val="auto"/>
        </w:rPr>
        <w:t>N</w:t>
      </w:r>
      <w:r>
        <w:rPr>
          <w:rFonts w:ascii="Arial" w:cs="Arial" w:eastAsia="Arial" w:hAnsi="Arial"/>
          <w:sz w:val="15"/>
          <w:szCs w:val="15"/>
          <w:b w:val="1"/>
          <w:bCs w:val="1"/>
          <w:color w:val="auto"/>
        </w:rPr>
        <w:t>OW</w:t>
      </w:r>
      <w:r>
        <w:rPr>
          <w:rFonts w:ascii="Arial" w:cs="Arial" w:eastAsia="Arial" w:hAnsi="Arial"/>
          <w:sz w:val="19"/>
          <w:szCs w:val="19"/>
          <w:b w:val="1"/>
          <w:bCs w:val="1"/>
          <w:color w:val="auto"/>
        </w:rPr>
        <w:t>, T</w:t>
      </w:r>
      <w:r>
        <w:rPr>
          <w:rFonts w:ascii="Arial" w:cs="Arial" w:eastAsia="Arial" w:hAnsi="Arial"/>
          <w:sz w:val="15"/>
          <w:szCs w:val="15"/>
          <w:b w:val="1"/>
          <w:bCs w:val="1"/>
          <w:color w:val="auto"/>
        </w:rPr>
        <w:t>HEREFORE</w:t>
      </w:r>
      <w:r>
        <w:rPr>
          <w:rFonts w:ascii="Arial" w:cs="Arial" w:eastAsia="Arial" w:hAnsi="Arial"/>
          <w:sz w:val="19"/>
          <w:szCs w:val="19"/>
          <w:b w:val="1"/>
          <w:bCs w:val="1"/>
          <w:color w:val="auto"/>
        </w:rPr>
        <w:t xml:space="preserve">, </w:t>
      </w:r>
      <w:r>
        <w:rPr>
          <w:rFonts w:ascii="Arial" w:cs="Arial" w:eastAsia="Arial" w:hAnsi="Arial"/>
          <w:sz w:val="19"/>
          <w:szCs w:val="19"/>
          <w:color w:val="auto"/>
        </w:rPr>
        <w:t>in consideration of the foregoing recitals and other good and valuable consideration, the receipt and</w:t>
      </w:r>
      <w:r>
        <w:rPr>
          <w:rFonts w:ascii="Arial" w:cs="Arial" w:eastAsia="Arial" w:hAnsi="Arial"/>
          <w:sz w:val="19"/>
          <w:szCs w:val="19"/>
          <w:b w:val="1"/>
          <w:bCs w:val="1"/>
          <w:color w:val="auto"/>
        </w:rPr>
        <w:t xml:space="preserve"> </w:t>
      </w:r>
      <w:r>
        <w:rPr>
          <w:rFonts w:ascii="Arial" w:cs="Arial" w:eastAsia="Arial" w:hAnsi="Arial"/>
          <w:sz w:val="19"/>
          <w:szCs w:val="19"/>
          <w:color w:val="auto"/>
        </w:rPr>
        <w:t>adequacy of which is hereby acknowledged, and intending to be legally bound, the parties hereto agree as follows:</w:t>
      </w:r>
    </w:p>
    <w:p>
      <w:pPr>
        <w:spacing w:after="0" w:line="79" w:lineRule="exact"/>
        <w:rPr>
          <w:sz w:val="20"/>
          <w:szCs w:val="20"/>
          <w:color w:val="auto"/>
        </w:rPr>
      </w:pPr>
    </w:p>
    <w:p>
      <w:pPr>
        <w:ind w:firstLine="644"/>
        <w:spacing w:after="0" w:line="282" w:lineRule="auto"/>
        <w:tabs>
          <w:tab w:leader="none" w:pos="990" w:val="left"/>
        </w:tabs>
        <w:numPr>
          <w:ilvl w:val="0"/>
          <w:numId w:val="3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Definitions. </w:t>
      </w:r>
      <w:r>
        <w:rPr>
          <w:rFonts w:ascii="Arial" w:cs="Arial" w:eastAsia="Arial" w:hAnsi="Arial"/>
          <w:sz w:val="22"/>
          <w:szCs w:val="22"/>
          <w:color w:val="auto"/>
        </w:rPr>
        <w:t>Capitalized terms used but not defined in this Amendment shall have the meanings given to them in the</w:t>
      </w:r>
      <w:r>
        <w:rPr>
          <w:rFonts w:ascii="Arial" w:cs="Arial" w:eastAsia="Arial" w:hAnsi="Arial"/>
          <w:sz w:val="22"/>
          <w:szCs w:val="22"/>
          <w:b w:val="1"/>
          <w:bCs w:val="1"/>
          <w:color w:val="auto"/>
        </w:rPr>
        <w:t xml:space="preserve"> </w:t>
      </w:r>
      <w:r>
        <w:rPr>
          <w:rFonts w:ascii="Arial" w:cs="Arial" w:eastAsia="Arial" w:hAnsi="Arial"/>
          <w:sz w:val="22"/>
          <w:szCs w:val="22"/>
          <w:color w:val="auto"/>
        </w:rPr>
        <w:t>Loan Agreement.</w:t>
      </w:r>
    </w:p>
    <w:p>
      <w:pPr>
        <w:spacing w:after="0" w:line="148" w:lineRule="exact"/>
        <w:rPr>
          <w:rFonts w:ascii="Arial" w:cs="Arial" w:eastAsia="Arial" w:hAnsi="Arial"/>
          <w:sz w:val="22"/>
          <w:szCs w:val="22"/>
          <w:b w:val="1"/>
          <w:bCs w:val="1"/>
          <w:color w:val="auto"/>
        </w:rPr>
      </w:pPr>
    </w:p>
    <w:p>
      <w:pPr>
        <w:ind w:left="1260" w:hanging="616"/>
        <w:spacing w:after="0"/>
        <w:tabs>
          <w:tab w:leader="none" w:pos="1260" w:val="left"/>
        </w:tabs>
        <w:numPr>
          <w:ilvl w:val="0"/>
          <w:numId w:val="36"/>
        </w:numPr>
        <w:rPr>
          <w:rFonts w:ascii="Arial" w:cs="Arial" w:eastAsia="Arial" w:hAnsi="Arial"/>
          <w:sz w:val="22"/>
          <w:szCs w:val="22"/>
          <w:b w:val="1"/>
          <w:bCs w:val="1"/>
          <w:color w:val="auto"/>
        </w:rPr>
      </w:pPr>
      <w:r>
        <w:rPr>
          <w:rFonts w:ascii="Arial" w:cs="Arial" w:eastAsia="Arial" w:hAnsi="Arial"/>
          <w:sz w:val="22"/>
          <w:szCs w:val="22"/>
          <w:b w:val="1"/>
          <w:bCs w:val="1"/>
          <w:color w:val="auto"/>
        </w:rPr>
        <w:t>Amendments to Loan Agreement.</w:t>
      </w:r>
    </w:p>
    <w:p>
      <w:pPr>
        <w:spacing w:after="0" w:line="112"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2"/>
          <w:szCs w:val="22"/>
          <w:b w:val="1"/>
          <w:bCs w:val="1"/>
          <w:color w:val="auto"/>
        </w:rPr>
        <w:t>2.1</w:t>
      </w:r>
      <w:r>
        <w:rPr>
          <w:sz w:val="20"/>
          <w:szCs w:val="20"/>
          <w:color w:val="auto"/>
        </w:rPr>
        <w:tab/>
      </w:r>
      <w:r>
        <w:rPr>
          <w:rFonts w:ascii="Arial" w:cs="Arial" w:eastAsia="Arial" w:hAnsi="Arial"/>
          <w:sz w:val="19"/>
          <w:szCs w:val="19"/>
          <w:b w:val="1"/>
          <w:bCs w:val="1"/>
          <w:color w:val="auto"/>
        </w:rPr>
        <w:t>[Reserved].</w:t>
      </w:r>
    </w:p>
    <w:p>
      <w:pPr>
        <w:spacing w:after="0" w:line="220"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2"/>
          <w:szCs w:val="22"/>
          <w:b w:val="1"/>
          <w:bCs w:val="1"/>
          <w:color w:val="auto"/>
        </w:rPr>
        <w:t>2.2</w:t>
      </w:r>
      <w:r>
        <w:rPr>
          <w:sz w:val="20"/>
          <w:szCs w:val="20"/>
          <w:color w:val="auto"/>
        </w:rPr>
        <w:tab/>
      </w:r>
      <w:r>
        <w:rPr>
          <w:rFonts w:ascii="Arial" w:cs="Arial" w:eastAsia="Arial" w:hAnsi="Arial"/>
          <w:sz w:val="19"/>
          <w:szCs w:val="19"/>
          <w:b w:val="1"/>
          <w:bCs w:val="1"/>
          <w:color w:val="auto"/>
        </w:rPr>
        <w:t xml:space="preserve">Section 13 </w:t>
      </w:r>
      <w:r>
        <w:rPr>
          <w:rFonts w:ascii="Arial" w:cs="Arial" w:eastAsia="Arial" w:hAnsi="Arial"/>
          <w:sz w:val="19"/>
          <w:szCs w:val="19"/>
          <w:color w:val="auto"/>
        </w:rPr>
        <w:t>(</w:t>
      </w:r>
      <w:r>
        <w:rPr>
          <w:rFonts w:ascii="Arial" w:cs="Arial" w:eastAsia="Arial" w:hAnsi="Arial"/>
          <w:sz w:val="19"/>
          <w:szCs w:val="19"/>
          <w:b w:val="1"/>
          <w:bCs w:val="1"/>
          <w:color w:val="auto"/>
        </w:rPr>
        <w:t>Definitions</w:t>
      </w:r>
      <w:r>
        <w:rPr>
          <w:rFonts w:ascii="Arial" w:cs="Arial" w:eastAsia="Arial" w:hAnsi="Arial"/>
          <w:sz w:val="19"/>
          <w:szCs w:val="19"/>
          <w:color w:val="auto"/>
        </w:rPr>
        <w:t>).</w:t>
      </w:r>
    </w:p>
    <w:p>
      <w:pPr>
        <w:spacing w:after="0" w:line="233" w:lineRule="exact"/>
        <w:rPr>
          <w:sz w:val="20"/>
          <w:szCs w:val="20"/>
          <w:color w:val="auto"/>
        </w:rPr>
      </w:pPr>
    </w:p>
    <w:p>
      <w:pPr>
        <w:ind w:firstLine="1940"/>
        <w:spacing w:after="0" w:line="282" w:lineRule="auto"/>
        <w:tabs>
          <w:tab w:leader="none" w:pos="2403" w:val="left"/>
        </w:tabs>
        <w:numPr>
          <w:ilvl w:val="0"/>
          <w:numId w:val="37"/>
        </w:numPr>
        <w:rPr>
          <w:rFonts w:ascii="Arial" w:cs="Arial" w:eastAsia="Arial" w:hAnsi="Arial"/>
          <w:sz w:val="22"/>
          <w:szCs w:val="22"/>
          <w:b w:val="1"/>
          <w:bCs w:val="1"/>
          <w:color w:val="auto"/>
        </w:rPr>
      </w:pPr>
      <w:r>
        <w:rPr>
          <w:rFonts w:ascii="Arial" w:cs="Arial" w:eastAsia="Arial" w:hAnsi="Arial"/>
          <w:sz w:val="22"/>
          <w:szCs w:val="22"/>
          <w:color w:val="auto"/>
        </w:rPr>
        <w:t>The definition of “</w:t>
      </w:r>
      <w:r>
        <w:rPr>
          <w:rFonts w:ascii="Arial" w:cs="Arial" w:eastAsia="Arial" w:hAnsi="Arial"/>
          <w:sz w:val="22"/>
          <w:szCs w:val="22"/>
          <w:b w:val="1"/>
          <w:bCs w:val="1"/>
          <w:color w:val="auto"/>
        </w:rPr>
        <w:t>Permitted Indebtedness</w:t>
      </w:r>
      <w:r>
        <w:rPr>
          <w:rFonts w:ascii="Arial" w:cs="Arial" w:eastAsia="Arial" w:hAnsi="Arial"/>
          <w:sz w:val="22"/>
          <w:szCs w:val="22"/>
          <w:color w:val="auto"/>
        </w:rPr>
        <w:t>” is hereby amended by renumbering clause (l) where it appears therein as clause (m) and inserting a new clause (l) as follows:</w:t>
      </w:r>
    </w:p>
    <w:p>
      <w:pPr>
        <w:spacing w:after="0" w:line="154" w:lineRule="exact"/>
        <w:rPr>
          <w:sz w:val="20"/>
          <w:szCs w:val="20"/>
          <w:color w:val="auto"/>
        </w:rPr>
      </w:pPr>
    </w:p>
    <w:p>
      <w:pPr>
        <w:jc w:val="both"/>
        <w:ind w:left="1300"/>
        <w:spacing w:after="0" w:line="312" w:lineRule="auto"/>
        <w:rPr>
          <w:sz w:val="20"/>
          <w:szCs w:val="20"/>
          <w:color w:val="auto"/>
        </w:rPr>
      </w:pPr>
      <w:r>
        <w:rPr>
          <w:rFonts w:ascii="Arial" w:cs="Arial" w:eastAsia="Arial" w:hAnsi="Arial"/>
          <w:sz w:val="19"/>
          <w:szCs w:val="19"/>
          <w:color w:val="auto"/>
        </w:rPr>
        <w:t>“(l) unsecured Indebtedness incurred in respect of merchant services, business credit cards and other cash management services with American Express Travel Related Services Company, Inc. in an aggregate amount, for all such Indebtedness pursuant to this clause (l) taken together, not to exceed $2,500,000;”</w:t>
      </w:r>
    </w:p>
    <w:p>
      <w:pPr>
        <w:sectPr>
          <w:pgSz w:w="11900" w:h="16838" w:orient="portrait"/>
          <w:cols w:equalWidth="0" w:num="1">
            <w:col w:w="11120"/>
          </w:cols>
          <w:pgMar w:left="440" w:top="531" w:right="339" w:bottom="1440" w:gutter="0" w:footer="0" w:header="0"/>
        </w:sectPr>
      </w:pPr>
    </w:p>
    <w:bookmarkStart w:id="63" w:name="page64"/>
    <w:bookmarkEnd w:id="63"/>
    <w:p>
      <w:pPr>
        <w:ind w:right="20" w:firstLine="1940"/>
        <w:spacing w:after="0" w:line="282" w:lineRule="auto"/>
        <w:tabs>
          <w:tab w:leader="none" w:pos="2388" w:val="left"/>
        </w:tabs>
        <w:numPr>
          <w:ilvl w:val="1"/>
          <w:numId w:val="38"/>
        </w:numPr>
        <w:rPr>
          <w:rFonts w:ascii="Arial" w:cs="Arial" w:eastAsia="Arial" w:hAnsi="Arial"/>
          <w:sz w:val="22"/>
          <w:szCs w:val="22"/>
          <w:b w:val="1"/>
          <w:bCs w:val="1"/>
          <w:color w:val="auto"/>
        </w:rPr>
      </w:pPr>
      <w:r>
        <w:rPr>
          <w:rFonts w:ascii="Arial" w:cs="Arial" w:eastAsia="Arial" w:hAnsi="Arial"/>
          <w:sz w:val="22"/>
          <w:szCs w:val="22"/>
          <w:color w:val="auto"/>
        </w:rPr>
        <w:t>The definition of “</w:t>
      </w:r>
      <w:r>
        <w:rPr>
          <w:rFonts w:ascii="Arial" w:cs="Arial" w:eastAsia="Arial" w:hAnsi="Arial"/>
          <w:sz w:val="22"/>
          <w:szCs w:val="22"/>
          <w:b w:val="1"/>
          <w:bCs w:val="1"/>
          <w:color w:val="auto"/>
        </w:rPr>
        <w:t>Revolving Line Maturity Date</w:t>
      </w:r>
      <w:r>
        <w:rPr>
          <w:rFonts w:ascii="Arial" w:cs="Arial" w:eastAsia="Arial" w:hAnsi="Arial"/>
          <w:sz w:val="22"/>
          <w:szCs w:val="22"/>
          <w:color w:val="auto"/>
        </w:rPr>
        <w:t>” is hereby amended and restated by replacing the date “July 3, 2020” set forth therein with the date “August 3, 2020” where such date appears therein.</w:t>
      </w:r>
    </w:p>
    <w:p>
      <w:pPr>
        <w:spacing w:after="0" w:line="148" w:lineRule="exact"/>
        <w:rPr>
          <w:rFonts w:ascii="Arial" w:cs="Arial" w:eastAsia="Arial" w:hAnsi="Arial"/>
          <w:sz w:val="22"/>
          <w:szCs w:val="22"/>
          <w:b w:val="1"/>
          <w:bCs w:val="1"/>
          <w:color w:val="auto"/>
        </w:rPr>
      </w:pPr>
    </w:p>
    <w:p>
      <w:pPr>
        <w:ind w:left="1260" w:hanging="616"/>
        <w:spacing w:after="0"/>
        <w:tabs>
          <w:tab w:leader="none" w:pos="1260" w:val="left"/>
        </w:tabs>
        <w:numPr>
          <w:ilvl w:val="0"/>
          <w:numId w:val="39"/>
        </w:numPr>
        <w:rPr>
          <w:rFonts w:ascii="Arial" w:cs="Arial" w:eastAsia="Arial" w:hAnsi="Arial"/>
          <w:sz w:val="22"/>
          <w:szCs w:val="22"/>
          <w:b w:val="1"/>
          <w:bCs w:val="1"/>
          <w:color w:val="auto"/>
        </w:rPr>
      </w:pPr>
      <w:r>
        <w:rPr>
          <w:rFonts w:ascii="Arial" w:cs="Arial" w:eastAsia="Arial" w:hAnsi="Arial"/>
          <w:sz w:val="22"/>
          <w:szCs w:val="22"/>
          <w:b w:val="1"/>
          <w:bCs w:val="1"/>
          <w:color w:val="auto"/>
        </w:rPr>
        <w:t>Limitation of Amendments.</w:t>
      </w:r>
    </w:p>
    <w:p>
      <w:pPr>
        <w:spacing w:after="0" w:line="220"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b w:val="1"/>
          <w:bCs w:val="1"/>
          <w:color w:val="auto"/>
        </w:rPr>
        <w:t xml:space="preserve">3.1 </w:t>
      </w:r>
      <w:r>
        <w:rPr>
          <w:rFonts w:ascii="Arial" w:cs="Arial" w:eastAsia="Arial" w:hAnsi="Arial"/>
          <w:sz w:val="22"/>
          <w:szCs w:val="22"/>
          <w:color w:val="auto"/>
        </w:rPr>
        <w:t>The amendments set forth in Section 2, above, are effective for the purposes set forth herein and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limited precisely as written and shall not be deemed to (a) be a consent to any amendment, waiver or modification of any other term or condition of any Loan Document, or (b) otherwise prejudice any right or remedy which Bank may now have or may have in the future under or in connection with any Loan Document.</w:t>
      </w:r>
    </w:p>
    <w:p>
      <w:pPr>
        <w:spacing w:after="0" w:line="190" w:lineRule="exact"/>
        <w:rPr>
          <w:sz w:val="20"/>
          <w:szCs w:val="20"/>
          <w:color w:val="auto"/>
        </w:rPr>
      </w:pPr>
    </w:p>
    <w:p>
      <w:pPr>
        <w:jc w:val="both"/>
        <w:ind w:firstLine="1296"/>
        <w:spacing w:after="0" w:line="262" w:lineRule="auto"/>
        <w:rPr>
          <w:sz w:val="20"/>
          <w:szCs w:val="20"/>
          <w:color w:val="auto"/>
        </w:rPr>
      </w:pPr>
      <w:r>
        <w:rPr>
          <w:rFonts w:ascii="Arial" w:cs="Arial" w:eastAsia="Arial" w:hAnsi="Arial"/>
          <w:sz w:val="22"/>
          <w:szCs w:val="22"/>
          <w:b w:val="1"/>
          <w:bCs w:val="1"/>
          <w:color w:val="auto"/>
        </w:rPr>
        <w:t xml:space="preserve">3.2 </w:t>
      </w:r>
      <w:r>
        <w:rPr>
          <w:rFonts w:ascii="Arial" w:cs="Arial" w:eastAsia="Arial" w:hAnsi="Arial"/>
          <w:sz w:val="22"/>
          <w:szCs w:val="22"/>
          <w:color w:val="auto"/>
        </w:rPr>
        <w:t>This Amendment shall be construed in connection with and as part of the Loan Documents and all terms,</w:t>
      </w:r>
      <w:r>
        <w:rPr>
          <w:rFonts w:ascii="Arial" w:cs="Arial" w:eastAsia="Arial" w:hAnsi="Arial"/>
          <w:sz w:val="22"/>
          <w:szCs w:val="22"/>
          <w:b w:val="1"/>
          <w:bCs w:val="1"/>
          <w:color w:val="auto"/>
        </w:rPr>
        <w:t xml:space="preserve"> </w:t>
      </w:r>
      <w:r>
        <w:rPr>
          <w:rFonts w:ascii="Arial" w:cs="Arial" w:eastAsia="Arial" w:hAnsi="Arial"/>
          <w:sz w:val="22"/>
          <w:szCs w:val="22"/>
          <w:color w:val="auto"/>
        </w:rPr>
        <w:t>conditions, representations, warranties, covenants and agreements set forth in the Loan Documents, except as herein amended, are hereby ratified and confirmed and shall remain in full force and effect.</w:t>
      </w:r>
    </w:p>
    <w:p>
      <w:pPr>
        <w:spacing w:after="0" w:line="184" w:lineRule="exact"/>
        <w:rPr>
          <w:sz w:val="20"/>
          <w:szCs w:val="20"/>
          <w:color w:val="auto"/>
        </w:rPr>
      </w:pPr>
    </w:p>
    <w:p>
      <w:pPr>
        <w:ind w:right="220" w:firstLine="644"/>
        <w:spacing w:after="0" w:line="282" w:lineRule="auto"/>
        <w:tabs>
          <w:tab w:leader="none" w:pos="990" w:val="left"/>
        </w:tabs>
        <w:numPr>
          <w:ilvl w:val="0"/>
          <w:numId w:val="40"/>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Representations and Warranties. </w:t>
      </w:r>
      <w:r>
        <w:rPr>
          <w:rFonts w:ascii="Arial" w:cs="Arial" w:eastAsia="Arial" w:hAnsi="Arial"/>
          <w:sz w:val="22"/>
          <w:szCs w:val="22"/>
          <w:color w:val="auto"/>
        </w:rPr>
        <w:t>To induce Bank to enter into this Amendment, Borrower hereby represents and</w:t>
      </w:r>
      <w:r>
        <w:rPr>
          <w:rFonts w:ascii="Arial" w:cs="Arial" w:eastAsia="Arial" w:hAnsi="Arial"/>
          <w:sz w:val="22"/>
          <w:szCs w:val="22"/>
          <w:b w:val="1"/>
          <w:bCs w:val="1"/>
          <w:color w:val="auto"/>
        </w:rPr>
        <w:t xml:space="preserve"> </w:t>
      </w:r>
      <w:r>
        <w:rPr>
          <w:rFonts w:ascii="Arial" w:cs="Arial" w:eastAsia="Arial" w:hAnsi="Arial"/>
          <w:sz w:val="22"/>
          <w:szCs w:val="22"/>
          <w:color w:val="auto"/>
        </w:rPr>
        <w:t>warrants to Bank as follows:</w:t>
      </w:r>
    </w:p>
    <w:p>
      <w:pPr>
        <w:spacing w:after="0" w:line="162"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b w:val="1"/>
          <w:bCs w:val="1"/>
          <w:color w:val="auto"/>
        </w:rPr>
        <w:t xml:space="preserve">4.1 </w:t>
      </w:r>
      <w:r>
        <w:rPr>
          <w:rFonts w:ascii="Arial" w:cs="Arial" w:eastAsia="Arial" w:hAnsi="Arial"/>
          <w:sz w:val="22"/>
          <w:szCs w:val="22"/>
          <w:color w:val="auto"/>
        </w:rPr>
        <w:t>Immediately after giving effect to this Amendment (a) the representations and warranties contained in the</w:t>
      </w:r>
      <w:r>
        <w:rPr>
          <w:rFonts w:ascii="Arial" w:cs="Arial" w:eastAsia="Arial" w:hAnsi="Arial"/>
          <w:sz w:val="22"/>
          <w:szCs w:val="22"/>
          <w:b w:val="1"/>
          <w:bCs w:val="1"/>
          <w:color w:val="auto"/>
        </w:rPr>
        <w:t xml:space="preserve"> </w:t>
      </w:r>
      <w:r>
        <w:rPr>
          <w:rFonts w:ascii="Arial" w:cs="Arial" w:eastAsia="Arial" w:hAnsi="Arial"/>
          <w:sz w:val="22"/>
          <w:szCs w:val="22"/>
          <w:color w:val="auto"/>
        </w:rPr>
        <w:t>Loan Documents are true, accurate and complete in all material respects as of the date hereof (except to the extent such representations and warranties relate to an earlier date, in which case they are true and correct as of such date), and (b) no Event of Default has occurred and is continuing;</w:t>
      </w:r>
    </w:p>
    <w:p>
      <w:pPr>
        <w:spacing w:after="0" w:line="190"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22"/>
          <w:szCs w:val="22"/>
          <w:b w:val="1"/>
          <w:bCs w:val="1"/>
          <w:color w:val="auto"/>
        </w:rPr>
        <w:t xml:space="preserve">4.2 </w:t>
      </w:r>
      <w:r>
        <w:rPr>
          <w:rFonts w:ascii="Arial" w:cs="Arial" w:eastAsia="Arial" w:hAnsi="Arial"/>
          <w:sz w:val="22"/>
          <w:szCs w:val="22"/>
          <w:color w:val="auto"/>
        </w:rPr>
        <w:t>Borrower has the power and authority to execute and deliver this Amendment and to perform its obligations</w:t>
      </w:r>
      <w:r>
        <w:rPr>
          <w:rFonts w:ascii="Arial" w:cs="Arial" w:eastAsia="Arial" w:hAnsi="Arial"/>
          <w:sz w:val="22"/>
          <w:szCs w:val="22"/>
          <w:b w:val="1"/>
          <w:bCs w:val="1"/>
          <w:color w:val="auto"/>
        </w:rPr>
        <w:t xml:space="preserve"> </w:t>
      </w:r>
      <w:r>
        <w:rPr>
          <w:rFonts w:ascii="Arial" w:cs="Arial" w:eastAsia="Arial" w:hAnsi="Arial"/>
          <w:sz w:val="22"/>
          <w:szCs w:val="22"/>
          <w:color w:val="auto"/>
        </w:rPr>
        <w:t>under the Loan Agreement, as amended by this Amendment;</w:t>
      </w:r>
    </w:p>
    <w:p>
      <w:pPr>
        <w:spacing w:after="0" w:line="148" w:lineRule="exact"/>
        <w:rPr>
          <w:sz w:val="20"/>
          <w:szCs w:val="20"/>
          <w:color w:val="auto"/>
        </w:rPr>
      </w:pPr>
    </w:p>
    <w:p>
      <w:pPr>
        <w:jc w:val="both"/>
        <w:ind w:firstLine="1296"/>
        <w:spacing w:after="0" w:line="309" w:lineRule="auto"/>
        <w:rPr>
          <w:sz w:val="20"/>
          <w:szCs w:val="20"/>
          <w:color w:val="auto"/>
        </w:rPr>
      </w:pPr>
      <w:r>
        <w:rPr>
          <w:rFonts w:ascii="Arial" w:cs="Arial" w:eastAsia="Arial" w:hAnsi="Arial"/>
          <w:sz w:val="19"/>
          <w:szCs w:val="19"/>
          <w:b w:val="1"/>
          <w:bCs w:val="1"/>
          <w:color w:val="auto"/>
        </w:rPr>
        <w:t xml:space="preserve">4.3 </w:t>
      </w:r>
      <w:r>
        <w:rPr>
          <w:rFonts w:ascii="Arial" w:cs="Arial" w:eastAsia="Arial" w:hAnsi="Arial"/>
          <w:sz w:val="19"/>
          <w:szCs w:val="19"/>
          <w:color w:val="auto"/>
        </w:rPr>
        <w:t>Except for (i) the Certificate of Amendment to Second Amended and Restated Certificate of Incorporation,</w:t>
      </w:r>
      <w:r>
        <w:rPr>
          <w:rFonts w:ascii="Arial" w:cs="Arial" w:eastAsia="Arial" w:hAnsi="Arial"/>
          <w:sz w:val="19"/>
          <w:szCs w:val="19"/>
          <w:b w:val="1"/>
          <w:bCs w:val="1"/>
          <w:color w:val="auto"/>
        </w:rPr>
        <w:t xml:space="preserve"> </w:t>
      </w:r>
      <w:r>
        <w:rPr>
          <w:rFonts w:ascii="Arial" w:cs="Arial" w:eastAsia="Arial" w:hAnsi="Arial"/>
          <w:sz w:val="19"/>
          <w:szCs w:val="19"/>
          <w:color w:val="auto"/>
        </w:rPr>
        <w:t>filed with the Secretary of State of the State of Delaware on August 10, 2017 and (ii) the resignation of John C. Huffard, Jr., the organizational documents and incumbency signatures of Borrower delivered to Bank on the Effective Date remain true, accurate and complete and have not been amended, supplemented or restated and are and continue to be in full force and effect;</w:t>
      </w:r>
    </w:p>
    <w:p>
      <w:pPr>
        <w:spacing w:after="0" w:line="130" w:lineRule="exact"/>
        <w:rPr>
          <w:sz w:val="20"/>
          <w:szCs w:val="20"/>
          <w:color w:val="auto"/>
        </w:rPr>
      </w:pPr>
    </w:p>
    <w:p>
      <w:pPr>
        <w:jc w:val="both"/>
        <w:ind w:right="20" w:firstLine="1296"/>
        <w:spacing w:after="0" w:line="282" w:lineRule="auto"/>
        <w:rPr>
          <w:sz w:val="20"/>
          <w:szCs w:val="20"/>
          <w:color w:val="auto"/>
        </w:rPr>
      </w:pPr>
      <w:r>
        <w:rPr>
          <w:rFonts w:ascii="Arial" w:cs="Arial" w:eastAsia="Arial" w:hAnsi="Arial"/>
          <w:sz w:val="22"/>
          <w:szCs w:val="22"/>
          <w:b w:val="1"/>
          <w:bCs w:val="1"/>
          <w:color w:val="auto"/>
        </w:rPr>
        <w:t xml:space="preserve">4.4 </w:t>
      </w:r>
      <w:r>
        <w:rPr>
          <w:rFonts w:ascii="Arial" w:cs="Arial" w:eastAsia="Arial" w:hAnsi="Arial"/>
          <w:sz w:val="22"/>
          <w:szCs w:val="22"/>
          <w:color w:val="auto"/>
        </w:rPr>
        <w:t>The execution and delivery by Borrower of this Amendment and the performance by Borrower of its</w:t>
      </w:r>
      <w:r>
        <w:rPr>
          <w:rFonts w:ascii="Arial" w:cs="Arial" w:eastAsia="Arial" w:hAnsi="Arial"/>
          <w:sz w:val="22"/>
          <w:szCs w:val="22"/>
          <w:b w:val="1"/>
          <w:bCs w:val="1"/>
          <w:color w:val="auto"/>
        </w:rPr>
        <w:t xml:space="preserve"> </w:t>
      </w:r>
      <w:r>
        <w:rPr>
          <w:rFonts w:ascii="Arial" w:cs="Arial" w:eastAsia="Arial" w:hAnsi="Arial"/>
          <w:sz w:val="22"/>
          <w:szCs w:val="22"/>
          <w:color w:val="auto"/>
        </w:rPr>
        <w:t>obligations under the Loan Agreement, as amended by this Amendment, have been duly authorized;</w:t>
      </w:r>
    </w:p>
    <w:p>
      <w:pPr>
        <w:spacing w:after="0" w:line="162"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b w:val="1"/>
          <w:bCs w:val="1"/>
          <w:color w:val="auto"/>
        </w:rPr>
        <w:t xml:space="preserve">4.5 </w:t>
      </w:r>
      <w:r>
        <w:rPr>
          <w:rFonts w:ascii="Arial" w:cs="Arial" w:eastAsia="Arial" w:hAnsi="Arial"/>
          <w:sz w:val="22"/>
          <w:szCs w:val="22"/>
          <w:color w:val="auto"/>
        </w:rPr>
        <w:t>The execution and delivery by Borrower of this Amendment and the performance by Borrower of its</w:t>
      </w:r>
      <w:r>
        <w:rPr>
          <w:rFonts w:ascii="Arial" w:cs="Arial" w:eastAsia="Arial" w:hAnsi="Arial"/>
          <w:sz w:val="22"/>
          <w:szCs w:val="22"/>
          <w:b w:val="1"/>
          <w:bCs w:val="1"/>
          <w:color w:val="auto"/>
        </w:rPr>
        <w:t xml:space="preserve"> </w:t>
      </w:r>
      <w:r>
        <w:rPr>
          <w:rFonts w:ascii="Arial" w:cs="Arial" w:eastAsia="Arial" w:hAnsi="Arial"/>
          <w:sz w:val="22"/>
          <w:szCs w:val="22"/>
          <w:color w:val="auto"/>
        </w:rPr>
        <w:t>obligations under the Loan Agreement, as amended by this Amendment, do not and will not contravene (a) any law or regulation binding on or affecting Borrower, (b) any contractual restriction with a Person binding on Borrower, (c) any order, judgment or decree of any court or other governmental or public body or authority, or subdivision thereof, binding on Borrower, or (d) the organizational documents of Borrower;</w:t>
      </w:r>
    </w:p>
    <w:p>
      <w:pPr>
        <w:spacing w:after="0" w:line="300" w:lineRule="exact"/>
        <w:rPr>
          <w:sz w:val="20"/>
          <w:szCs w:val="20"/>
          <w:color w:val="auto"/>
        </w:rPr>
      </w:pPr>
    </w:p>
    <w:p>
      <w:pPr>
        <w:jc w:val="both"/>
        <w:ind w:firstLine="1296"/>
        <w:spacing w:after="0" w:line="309" w:lineRule="auto"/>
        <w:rPr>
          <w:sz w:val="20"/>
          <w:szCs w:val="20"/>
          <w:color w:val="auto"/>
        </w:rPr>
      </w:pPr>
      <w:r>
        <w:rPr>
          <w:rFonts w:ascii="Arial" w:cs="Arial" w:eastAsia="Arial" w:hAnsi="Arial"/>
          <w:sz w:val="19"/>
          <w:szCs w:val="19"/>
          <w:b w:val="1"/>
          <w:bCs w:val="1"/>
          <w:color w:val="auto"/>
        </w:rPr>
        <w:t xml:space="preserve">4.6 </w:t>
      </w:r>
      <w:r>
        <w:rPr>
          <w:rFonts w:ascii="Arial" w:cs="Arial" w:eastAsia="Arial" w:hAnsi="Arial"/>
          <w:sz w:val="19"/>
          <w:szCs w:val="19"/>
          <w:color w:val="auto"/>
        </w:rPr>
        <w:t>The execution and delivery by Borrower of this Amendment and the performance by Borrower of its</w:t>
      </w:r>
      <w:r>
        <w:rPr>
          <w:rFonts w:ascii="Arial" w:cs="Arial" w:eastAsia="Arial" w:hAnsi="Arial"/>
          <w:sz w:val="19"/>
          <w:szCs w:val="19"/>
          <w:b w:val="1"/>
          <w:bCs w:val="1"/>
          <w:color w:val="auto"/>
        </w:rPr>
        <w:t xml:space="preserve"> </w:t>
      </w:r>
      <w:r>
        <w:rPr>
          <w:rFonts w:ascii="Arial" w:cs="Arial" w:eastAsia="Arial" w:hAnsi="Arial"/>
          <w:sz w:val="19"/>
          <w:szCs w:val="19"/>
          <w:color w:val="auto"/>
        </w:rPr>
        <w:t>obligations under the Loan Agreement, as amended by this Amendment, do not require any order, consent, approval, license, authorization or validation of, or filing, recording or registration with, or exemption by any governmental or public body or authority, or subdivision thereof, binding on Borrower, except as already has been obtained or made; and</w:t>
      </w:r>
    </w:p>
    <w:p>
      <w:pPr>
        <w:spacing w:after="0" w:line="130"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b w:val="1"/>
          <w:bCs w:val="1"/>
          <w:color w:val="auto"/>
        </w:rPr>
        <w:t xml:space="preserve">4.7 </w:t>
      </w:r>
      <w:r>
        <w:rPr>
          <w:rFonts w:ascii="Arial" w:cs="Arial" w:eastAsia="Arial" w:hAnsi="Arial"/>
          <w:sz w:val="22"/>
          <w:szCs w:val="22"/>
          <w:color w:val="auto"/>
        </w:rPr>
        <w:t>This Amendment has been duly executed and delivered by Borrower and is the binding obligation of</w:t>
      </w:r>
      <w:r>
        <w:rPr>
          <w:rFonts w:ascii="Arial" w:cs="Arial" w:eastAsia="Arial" w:hAnsi="Arial"/>
          <w:sz w:val="22"/>
          <w:szCs w:val="22"/>
          <w:b w:val="1"/>
          <w:bCs w:val="1"/>
          <w:color w:val="auto"/>
        </w:rPr>
        <w:t xml:space="preserve"> </w:t>
      </w:r>
      <w:r>
        <w:rPr>
          <w:rFonts w:ascii="Arial" w:cs="Arial" w:eastAsia="Arial" w:hAnsi="Arial"/>
          <w:sz w:val="22"/>
          <w:szCs w:val="22"/>
          <w:color w:val="auto"/>
        </w:rPr>
        <w:t>Borrower, enforceable against Borrower in accordance with its terms, except as such enforceability may be limited by bankruptcy, insolvency, reorganization, liquidation, moratorium or other similar laws of general application and equitable principles relating to or affecting creditors’ rights.</w:t>
      </w:r>
    </w:p>
    <w:p>
      <w:pPr>
        <w:spacing w:after="0" w:line="190" w:lineRule="exact"/>
        <w:rPr>
          <w:sz w:val="20"/>
          <w:szCs w:val="20"/>
          <w:color w:val="auto"/>
        </w:rPr>
      </w:pPr>
    </w:p>
    <w:p>
      <w:pPr>
        <w:jc w:val="both"/>
        <w:ind w:firstLine="644"/>
        <w:spacing w:after="0" w:line="256" w:lineRule="auto"/>
        <w:tabs>
          <w:tab w:leader="none" w:pos="990" w:val="left"/>
        </w:tabs>
        <w:numPr>
          <w:ilvl w:val="0"/>
          <w:numId w:val="41"/>
        </w:numPr>
        <w:rPr>
          <w:rFonts w:ascii="Arial" w:cs="Arial" w:eastAsia="Arial" w:hAnsi="Arial"/>
          <w:sz w:val="22"/>
          <w:szCs w:val="22"/>
          <w:b w:val="1"/>
          <w:bCs w:val="1"/>
          <w:color w:val="auto"/>
        </w:rPr>
      </w:pPr>
      <w:r>
        <w:rPr>
          <w:rFonts w:ascii="Arial" w:cs="Arial" w:eastAsia="Arial" w:hAnsi="Arial"/>
          <w:sz w:val="22"/>
          <w:szCs w:val="22"/>
          <w:b w:val="1"/>
          <w:bCs w:val="1"/>
          <w:color w:val="auto"/>
        </w:rPr>
        <w:t>Integration</w:t>
      </w:r>
      <w:r>
        <w:rPr>
          <w:rFonts w:ascii="Arial" w:cs="Arial" w:eastAsia="Arial" w:hAnsi="Arial"/>
          <w:sz w:val="22"/>
          <w:szCs w:val="22"/>
          <w:color w:val="auto"/>
        </w:rPr>
        <w:t>. This Amendment and the Loan Documents represent the entire agreement about this subject matter and</w:t>
      </w:r>
      <w:r>
        <w:rPr>
          <w:rFonts w:ascii="Arial" w:cs="Arial" w:eastAsia="Arial" w:hAnsi="Arial"/>
          <w:sz w:val="22"/>
          <w:szCs w:val="22"/>
          <w:b w:val="1"/>
          <w:bCs w:val="1"/>
          <w:color w:val="auto"/>
        </w:rPr>
        <w:t xml:space="preserve"> </w:t>
      </w:r>
      <w:r>
        <w:rPr>
          <w:rFonts w:ascii="Arial" w:cs="Arial" w:eastAsia="Arial" w:hAnsi="Arial"/>
          <w:sz w:val="22"/>
          <w:szCs w:val="22"/>
          <w:color w:val="auto"/>
        </w:rPr>
        <w:t>supersede prior negotiations or agreements. All prior agreements, understandings, representations, warranties, and negotiations between the parties about the subject matter of this Amendment and the Loan Documents merge into this Amendment and the Loan Documents.</w:t>
      </w:r>
    </w:p>
    <w:p>
      <w:pPr>
        <w:spacing w:after="0" w:line="189" w:lineRule="exact"/>
        <w:rPr>
          <w:rFonts w:ascii="Arial" w:cs="Arial" w:eastAsia="Arial" w:hAnsi="Arial"/>
          <w:sz w:val="22"/>
          <w:szCs w:val="22"/>
          <w:b w:val="1"/>
          <w:bCs w:val="1"/>
          <w:color w:val="auto"/>
        </w:rPr>
      </w:pPr>
    </w:p>
    <w:p>
      <w:pPr>
        <w:ind w:right="20" w:firstLine="644"/>
        <w:spacing w:after="0" w:line="282" w:lineRule="auto"/>
        <w:tabs>
          <w:tab w:leader="none" w:pos="1017" w:val="left"/>
        </w:tabs>
        <w:numPr>
          <w:ilvl w:val="0"/>
          <w:numId w:val="4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Counterparts. </w:t>
      </w:r>
      <w:r>
        <w:rPr>
          <w:rFonts w:ascii="Arial" w:cs="Arial" w:eastAsia="Arial" w:hAnsi="Arial"/>
          <w:sz w:val="22"/>
          <w:szCs w:val="22"/>
          <w:color w:val="auto"/>
        </w:rPr>
        <w:t>This Amendment may be executed in any number of counterparts and all of such counterparts taken</w:t>
      </w:r>
      <w:r>
        <w:rPr>
          <w:rFonts w:ascii="Arial" w:cs="Arial" w:eastAsia="Arial" w:hAnsi="Arial"/>
          <w:sz w:val="22"/>
          <w:szCs w:val="22"/>
          <w:b w:val="1"/>
          <w:bCs w:val="1"/>
          <w:color w:val="auto"/>
        </w:rPr>
        <w:t xml:space="preserve"> </w:t>
      </w:r>
      <w:r>
        <w:rPr>
          <w:rFonts w:ascii="Arial" w:cs="Arial" w:eastAsia="Arial" w:hAnsi="Arial"/>
          <w:sz w:val="22"/>
          <w:szCs w:val="22"/>
          <w:color w:val="auto"/>
        </w:rPr>
        <w:t>together shall be deemed to constitute one and the same instrument.</w:t>
      </w:r>
    </w:p>
    <w:p>
      <w:pPr>
        <w:spacing w:after="0" w:line="161" w:lineRule="exact"/>
        <w:rPr>
          <w:rFonts w:ascii="Arial" w:cs="Arial" w:eastAsia="Arial" w:hAnsi="Arial"/>
          <w:sz w:val="22"/>
          <w:szCs w:val="22"/>
          <w:b w:val="1"/>
          <w:bCs w:val="1"/>
          <w:color w:val="auto"/>
        </w:rPr>
      </w:pPr>
    </w:p>
    <w:p>
      <w:pPr>
        <w:jc w:val="both"/>
        <w:ind w:firstLine="644"/>
        <w:spacing w:after="0" w:line="262" w:lineRule="auto"/>
        <w:tabs>
          <w:tab w:leader="none" w:pos="1030" w:val="left"/>
        </w:tabs>
        <w:numPr>
          <w:ilvl w:val="0"/>
          <w:numId w:val="41"/>
        </w:numPr>
        <w:rPr>
          <w:rFonts w:ascii="Arial" w:cs="Arial" w:eastAsia="Arial" w:hAnsi="Arial"/>
          <w:sz w:val="22"/>
          <w:szCs w:val="22"/>
          <w:b w:val="1"/>
          <w:bCs w:val="1"/>
          <w:color w:val="auto"/>
        </w:rPr>
      </w:pPr>
      <w:r>
        <w:rPr>
          <w:rFonts w:ascii="Arial" w:cs="Arial" w:eastAsia="Arial" w:hAnsi="Arial"/>
          <w:sz w:val="22"/>
          <w:szCs w:val="22"/>
          <w:b w:val="1"/>
          <w:bCs w:val="1"/>
          <w:color w:val="auto"/>
        </w:rPr>
        <w:t>Effectiveness</w:t>
      </w:r>
      <w:r>
        <w:rPr>
          <w:rFonts w:ascii="Arial" w:cs="Arial" w:eastAsia="Arial" w:hAnsi="Arial"/>
          <w:sz w:val="22"/>
          <w:szCs w:val="22"/>
          <w:color w:val="auto"/>
        </w:rPr>
        <w:t>. This Amendment shall be deemed effective upon (a) the due execution and delivery to Bank of this</w:t>
      </w:r>
      <w:r>
        <w:rPr>
          <w:rFonts w:ascii="Arial" w:cs="Arial" w:eastAsia="Arial" w:hAnsi="Arial"/>
          <w:sz w:val="22"/>
          <w:szCs w:val="22"/>
          <w:b w:val="1"/>
          <w:bCs w:val="1"/>
          <w:color w:val="auto"/>
        </w:rPr>
        <w:t xml:space="preserve"> </w:t>
      </w:r>
      <w:r>
        <w:rPr>
          <w:rFonts w:ascii="Arial" w:cs="Arial" w:eastAsia="Arial" w:hAnsi="Arial"/>
          <w:sz w:val="22"/>
          <w:szCs w:val="22"/>
          <w:color w:val="auto"/>
        </w:rPr>
        <w:t>Amendment by each party hereto and (b) Borrower’s payment of Bank’s legal fees and expenses incurred in connection with this Amendment.</w:t>
      </w:r>
    </w:p>
    <w:p>
      <w:pPr>
        <w:spacing w:after="0" w:line="190" w:lineRule="exact"/>
        <w:rPr>
          <w:sz w:val="20"/>
          <w:szCs w:val="20"/>
          <w:color w:val="auto"/>
        </w:rPr>
      </w:pPr>
    </w:p>
    <w:p>
      <w:pPr>
        <w:ind w:left="5960"/>
        <w:spacing w:after="0"/>
        <w:rPr>
          <w:sz w:val="20"/>
          <w:szCs w:val="20"/>
          <w:color w:val="auto"/>
        </w:rPr>
      </w:pPr>
      <w:r>
        <w:rPr>
          <w:rFonts w:ascii="Arial" w:cs="Arial" w:eastAsia="Arial" w:hAnsi="Arial"/>
          <w:sz w:val="22"/>
          <w:szCs w:val="22"/>
          <w:color w:val="auto"/>
        </w:rPr>
        <w:t>[Signature page follows.]</w:t>
      </w:r>
    </w:p>
    <w:p>
      <w:pPr>
        <w:sectPr>
          <w:pgSz w:w="11900" w:h="16838" w:orient="portrait"/>
          <w:cols w:equalWidth="0" w:num="1">
            <w:col w:w="11120"/>
          </w:cols>
          <w:pgMar w:left="440" w:top="423" w:right="339" w:bottom="121" w:gutter="0" w:footer="0" w:header="0"/>
        </w:sectPr>
      </w:pPr>
    </w:p>
    <w:bookmarkStart w:id="64" w:name="page65"/>
    <w:bookmarkEnd w:id="64"/>
    <w:p>
      <w:pPr>
        <w:ind w:left="80" w:firstLine="648"/>
        <w:spacing w:after="0" w:line="295" w:lineRule="auto"/>
        <w:rPr>
          <w:sz w:val="20"/>
          <w:szCs w:val="20"/>
          <w:color w:val="auto"/>
        </w:rPr>
      </w:pPr>
      <w:r>
        <w:rPr>
          <w:rFonts w:ascii="Arial" w:cs="Arial" w:eastAsia="Arial" w:hAnsi="Arial"/>
          <w:sz w:val="22"/>
          <w:szCs w:val="22"/>
          <w:b w:val="1"/>
          <w:bCs w:val="1"/>
          <w:color w:val="auto"/>
        </w:rPr>
        <w:t>I</w:t>
      </w:r>
      <w:r>
        <w:rPr>
          <w:rFonts w:ascii="Arial" w:cs="Arial" w:eastAsia="Arial" w:hAnsi="Arial"/>
          <w:sz w:val="17"/>
          <w:szCs w:val="17"/>
          <w:b w:val="1"/>
          <w:bCs w:val="1"/>
          <w:color w:val="auto"/>
        </w:rPr>
        <w:t>N</w:t>
      </w:r>
      <w:r>
        <w:rPr>
          <w:rFonts w:ascii="Arial" w:cs="Arial" w:eastAsia="Arial" w:hAnsi="Arial"/>
          <w:sz w:val="22"/>
          <w:szCs w:val="22"/>
          <w:b w:val="1"/>
          <w:bCs w:val="1"/>
          <w:color w:val="auto"/>
        </w:rPr>
        <w:t xml:space="preserve"> W</w:t>
      </w:r>
      <w:r>
        <w:rPr>
          <w:rFonts w:ascii="Arial" w:cs="Arial" w:eastAsia="Arial" w:hAnsi="Arial"/>
          <w:sz w:val="17"/>
          <w:szCs w:val="17"/>
          <w:b w:val="1"/>
          <w:bCs w:val="1"/>
          <w:color w:val="auto"/>
        </w:rPr>
        <w:t>ITNESS</w:t>
      </w:r>
      <w:r>
        <w:rPr>
          <w:rFonts w:ascii="Arial" w:cs="Arial" w:eastAsia="Arial" w:hAnsi="Arial"/>
          <w:sz w:val="22"/>
          <w:szCs w:val="22"/>
          <w:b w:val="1"/>
          <w:bCs w:val="1"/>
          <w:color w:val="auto"/>
        </w:rPr>
        <w:t xml:space="preserve"> W</w:t>
      </w:r>
      <w:r>
        <w:rPr>
          <w:rFonts w:ascii="Arial" w:cs="Arial" w:eastAsia="Arial" w:hAnsi="Arial"/>
          <w:sz w:val="17"/>
          <w:szCs w:val="17"/>
          <w:b w:val="1"/>
          <w:bCs w:val="1"/>
          <w:color w:val="auto"/>
        </w:rPr>
        <w:t>HEREOF</w:t>
      </w:r>
      <w:r>
        <w:rPr>
          <w:rFonts w:ascii="Arial" w:cs="Arial" w:eastAsia="Arial" w:hAnsi="Arial"/>
          <w:sz w:val="22"/>
          <w:szCs w:val="22"/>
          <w:b w:val="1"/>
          <w:bCs w:val="1"/>
          <w:color w:val="auto"/>
        </w:rPr>
        <w:t xml:space="preserve">, </w:t>
      </w:r>
      <w:r>
        <w:rPr>
          <w:rFonts w:ascii="Arial" w:cs="Arial" w:eastAsia="Arial" w:hAnsi="Arial"/>
          <w:sz w:val="22"/>
          <w:szCs w:val="22"/>
          <w:color w:val="auto"/>
        </w:rPr>
        <w:t>the parties hereto have caused this Amendment to be duly executed and delivered as of the date</w:t>
      </w:r>
      <w:r>
        <w:rPr>
          <w:rFonts w:ascii="Arial" w:cs="Arial" w:eastAsia="Arial" w:hAnsi="Arial"/>
          <w:sz w:val="22"/>
          <w:szCs w:val="22"/>
          <w:b w:val="1"/>
          <w:bCs w:val="1"/>
          <w:color w:val="auto"/>
        </w:rPr>
        <w:t xml:space="preserve"> </w:t>
      </w:r>
      <w:r>
        <w:rPr>
          <w:rFonts w:ascii="Arial" w:cs="Arial" w:eastAsia="Arial" w:hAnsi="Arial"/>
          <w:sz w:val="22"/>
          <w:szCs w:val="22"/>
          <w:color w:val="auto"/>
        </w:rPr>
        <w:t>first written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179705</wp:posOffset>
            </wp:positionV>
            <wp:extent cx="6574790" cy="1534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extLst>
                    </a:blip>
                    <a:srcRect/>
                    <a:stretch>
                      <a:fillRect/>
                    </a:stretch>
                  </pic:blipFill>
                  <pic:spPr bwMode="auto">
                    <a:xfrm>
                      <a:off x="0" y="0"/>
                      <a:ext cx="6574790" cy="1534795"/>
                    </a:xfrm>
                    <a:prstGeom prst="rect">
                      <a:avLst/>
                    </a:prstGeom>
                    <a:noFill/>
                  </pic:spPr>
                </pic:pic>
              </a:graphicData>
            </a:graphic>
          </wp:anchor>
        </w:drawing>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460" w:type="dxa"/>
            <w:vAlign w:val="bottom"/>
            <w:gridSpan w:val="5"/>
          </w:tcPr>
          <w:p>
            <w:pPr>
              <w:spacing w:after="0"/>
              <w:rPr>
                <w:sz w:val="20"/>
                <w:szCs w:val="20"/>
                <w:color w:val="auto"/>
              </w:rPr>
            </w:pPr>
            <w:r>
              <w:rPr>
                <w:rFonts w:ascii="Arial" w:cs="Arial" w:eastAsia="Arial" w:hAnsi="Arial"/>
                <w:sz w:val="22"/>
                <w:szCs w:val="22"/>
                <w:b w:val="1"/>
                <w:bCs w:val="1"/>
                <w:color w:val="auto"/>
              </w:rPr>
              <w:t>BANK</w:t>
            </w:r>
          </w:p>
        </w:tc>
        <w:tc>
          <w:tcPr>
            <w:tcW w:w="4300" w:type="dxa"/>
            <w:vAlign w:val="bottom"/>
            <w:gridSpan w:val="5"/>
          </w:tcPr>
          <w:p>
            <w:pPr>
              <w:ind w:left="1720"/>
              <w:spacing w:after="0"/>
              <w:rPr>
                <w:sz w:val="20"/>
                <w:szCs w:val="20"/>
                <w:color w:val="auto"/>
              </w:rPr>
            </w:pPr>
            <w:r>
              <w:rPr>
                <w:rFonts w:ascii="Arial" w:cs="Arial" w:eastAsia="Arial" w:hAnsi="Arial"/>
                <w:sz w:val="22"/>
                <w:szCs w:val="22"/>
                <w:b w:val="1"/>
                <w:bCs w:val="1"/>
                <w:color w:val="auto"/>
              </w:rPr>
              <w:t>BORROWER</w:t>
            </w:r>
          </w:p>
        </w:tc>
      </w:tr>
      <w:tr>
        <w:trPr>
          <w:trHeight w:val="553"/>
        </w:trPr>
        <w:tc>
          <w:tcPr>
            <w:tcW w:w="3460" w:type="dxa"/>
            <w:vAlign w:val="bottom"/>
            <w:gridSpan w:val="5"/>
          </w:tcPr>
          <w:p>
            <w:pPr>
              <w:spacing w:after="0"/>
              <w:rPr>
                <w:sz w:val="20"/>
                <w:szCs w:val="20"/>
                <w:color w:val="auto"/>
              </w:rPr>
            </w:pPr>
            <w:r>
              <w:rPr>
                <w:rFonts w:ascii="Arial" w:cs="Arial" w:eastAsia="Arial" w:hAnsi="Arial"/>
                <w:sz w:val="22"/>
                <w:szCs w:val="22"/>
                <w:color w:val="auto"/>
              </w:rPr>
              <w:t>Silicon Valley Bank</w:t>
            </w:r>
          </w:p>
        </w:tc>
        <w:tc>
          <w:tcPr>
            <w:tcW w:w="4300" w:type="dxa"/>
            <w:vAlign w:val="bottom"/>
            <w:gridSpan w:val="5"/>
          </w:tcPr>
          <w:p>
            <w:pPr>
              <w:ind w:left="1720"/>
              <w:spacing w:after="0"/>
              <w:rPr>
                <w:sz w:val="20"/>
                <w:szCs w:val="20"/>
                <w:color w:val="auto"/>
              </w:rPr>
            </w:pPr>
            <w:r>
              <w:rPr>
                <w:rFonts w:ascii="Arial" w:cs="Arial" w:eastAsia="Arial" w:hAnsi="Arial"/>
                <w:sz w:val="22"/>
                <w:szCs w:val="22"/>
                <w:color w:val="auto"/>
              </w:rPr>
              <w:t>Tenable, Inc.</w:t>
            </w:r>
          </w:p>
        </w:tc>
      </w:tr>
      <w:tr>
        <w:trPr>
          <w:trHeight w:val="787"/>
        </w:trPr>
        <w:tc>
          <w:tcPr>
            <w:tcW w:w="3460" w:type="dxa"/>
            <w:vAlign w:val="bottom"/>
            <w:gridSpan w:val="5"/>
          </w:tcPr>
          <w:p>
            <w:pPr>
              <w:spacing w:after="0"/>
              <w:rPr>
                <w:sz w:val="20"/>
                <w:szCs w:val="20"/>
                <w:color w:val="auto"/>
              </w:rPr>
            </w:pPr>
            <w:r>
              <w:rPr>
                <w:rFonts w:ascii="Arial" w:cs="Arial" w:eastAsia="Arial" w:hAnsi="Arial"/>
                <w:sz w:val="22"/>
                <w:szCs w:val="22"/>
                <w:color w:val="auto"/>
              </w:rPr>
              <w:t>By: /s/ Will Deevy</w:t>
            </w:r>
          </w:p>
        </w:tc>
        <w:tc>
          <w:tcPr>
            <w:tcW w:w="4300" w:type="dxa"/>
            <w:vAlign w:val="bottom"/>
            <w:gridSpan w:val="5"/>
          </w:tcPr>
          <w:p>
            <w:pPr>
              <w:ind w:left="1720"/>
              <w:spacing w:after="0"/>
              <w:rPr>
                <w:sz w:val="20"/>
                <w:szCs w:val="20"/>
                <w:color w:val="auto"/>
              </w:rPr>
            </w:pPr>
            <w:r>
              <w:rPr>
                <w:rFonts w:ascii="Arial" w:cs="Arial" w:eastAsia="Arial" w:hAnsi="Arial"/>
                <w:sz w:val="22"/>
                <w:szCs w:val="22"/>
                <w:color w:val="auto"/>
              </w:rPr>
              <w:t>By:  /s/ Steve Vintz</w:t>
            </w:r>
          </w:p>
        </w:tc>
      </w:tr>
      <w:tr>
        <w:trPr>
          <w:trHeight w:val="20"/>
        </w:trPr>
        <w:tc>
          <w:tcPr>
            <w:tcW w:w="380" w:type="dxa"/>
            <w:vAlign w:val="bottom"/>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20" w:type="dxa"/>
            <w:vAlign w:val="bottom"/>
            <w:tcBorders>
              <w:left w:val="single" w:sz="8" w:color="auto"/>
            </w:tcBorders>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331"/>
        </w:trPr>
        <w:tc>
          <w:tcPr>
            <w:tcW w:w="3460" w:type="dxa"/>
            <w:vAlign w:val="bottom"/>
            <w:gridSpan w:val="5"/>
          </w:tcPr>
          <w:p>
            <w:pPr>
              <w:spacing w:after="0"/>
              <w:rPr>
                <w:sz w:val="20"/>
                <w:szCs w:val="20"/>
                <w:color w:val="auto"/>
              </w:rPr>
            </w:pPr>
            <w:r>
              <w:rPr>
                <w:rFonts w:ascii="Arial" w:cs="Arial" w:eastAsia="Arial" w:hAnsi="Arial"/>
                <w:sz w:val="22"/>
                <w:szCs w:val="22"/>
                <w:color w:val="auto"/>
              </w:rPr>
              <w:t>Name: Will Deevy</w:t>
            </w:r>
          </w:p>
        </w:tc>
        <w:tc>
          <w:tcPr>
            <w:tcW w:w="4300" w:type="dxa"/>
            <w:vAlign w:val="bottom"/>
            <w:gridSpan w:val="5"/>
          </w:tcPr>
          <w:p>
            <w:pPr>
              <w:ind w:left="1720"/>
              <w:spacing w:after="0"/>
              <w:rPr>
                <w:sz w:val="20"/>
                <w:szCs w:val="20"/>
                <w:color w:val="auto"/>
              </w:rPr>
            </w:pPr>
            <w:r>
              <w:rPr>
                <w:rFonts w:ascii="Arial" w:cs="Arial" w:eastAsia="Arial" w:hAnsi="Arial"/>
                <w:sz w:val="22"/>
                <w:szCs w:val="22"/>
                <w:color w:val="auto"/>
              </w:rPr>
              <w:t>Name: Steve Vintz</w:t>
            </w:r>
          </w:p>
        </w:tc>
      </w:tr>
      <w:tr>
        <w:trPr>
          <w:trHeight w:val="20"/>
        </w:trPr>
        <w:tc>
          <w:tcPr>
            <w:tcW w:w="640" w:type="dxa"/>
            <w:vAlign w:val="bottom"/>
            <w:gridSpan w:val="2"/>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331"/>
        </w:trPr>
        <w:tc>
          <w:tcPr>
            <w:tcW w:w="3460" w:type="dxa"/>
            <w:vAlign w:val="bottom"/>
            <w:gridSpan w:val="5"/>
          </w:tcPr>
          <w:p>
            <w:pPr>
              <w:spacing w:after="0"/>
              <w:rPr>
                <w:sz w:val="20"/>
                <w:szCs w:val="20"/>
                <w:color w:val="auto"/>
              </w:rPr>
            </w:pPr>
            <w:r>
              <w:rPr>
                <w:rFonts w:ascii="Arial" w:cs="Arial" w:eastAsia="Arial" w:hAnsi="Arial"/>
                <w:sz w:val="22"/>
                <w:szCs w:val="22"/>
                <w:color w:val="auto"/>
              </w:rPr>
              <w:t>Title:  Director</w:t>
            </w:r>
          </w:p>
        </w:tc>
        <w:tc>
          <w:tcPr>
            <w:tcW w:w="4300" w:type="dxa"/>
            <w:vAlign w:val="bottom"/>
            <w:gridSpan w:val="5"/>
          </w:tcPr>
          <w:p>
            <w:pPr>
              <w:ind w:left="1720"/>
              <w:spacing w:after="0"/>
              <w:rPr>
                <w:sz w:val="20"/>
                <w:szCs w:val="20"/>
                <w:color w:val="auto"/>
              </w:rPr>
            </w:pPr>
            <w:r>
              <w:rPr>
                <w:rFonts w:ascii="Arial" w:cs="Arial" w:eastAsia="Arial" w:hAnsi="Arial"/>
                <w:sz w:val="22"/>
                <w:szCs w:val="22"/>
                <w:color w:val="auto"/>
                <w:w w:val="94"/>
              </w:rPr>
              <w:t>Title: Chief Financial Officer</w:t>
            </w:r>
          </w:p>
        </w:tc>
      </w:tr>
      <w:tr>
        <w:trPr>
          <w:trHeight w:val="20"/>
        </w:trPr>
        <w:tc>
          <w:tcPr>
            <w:tcW w:w="38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r>
    </w:tbl>
    <w:p>
      <w:pPr>
        <w:sectPr>
          <w:pgSz w:w="11900" w:h="16838" w:orient="portrait"/>
          <w:cols w:equalWidth="0" w:num="1">
            <w:col w:w="11120"/>
          </w:cols>
          <w:pgMar w:left="360" w:top="423" w:right="41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31.1</w:t>
      </w:r>
    </w:p>
    <w:p>
      <w:pPr>
        <w:spacing w:after="0" w:line="332" w:lineRule="exact"/>
        <w:rPr>
          <w:sz w:val="20"/>
          <w:szCs w:val="20"/>
          <w:color w:val="auto"/>
        </w:rPr>
      </w:pPr>
    </w:p>
    <w:p>
      <w:pPr>
        <w:jc w:val="center"/>
        <w:ind w:left="340" w:right="1940"/>
        <w:spacing w:after="0" w:line="268" w:lineRule="auto"/>
        <w:rPr>
          <w:sz w:val="20"/>
          <w:szCs w:val="20"/>
          <w:color w:val="auto"/>
        </w:rPr>
      </w:pPr>
      <w:r>
        <w:rPr>
          <w:rFonts w:ascii="Arial" w:cs="Arial" w:eastAsia="Arial" w:hAnsi="Arial"/>
          <w:sz w:val="18"/>
          <w:szCs w:val="18"/>
          <w:b w:val="1"/>
          <w:bCs w:val="1"/>
          <w:color w:val="auto"/>
        </w:rPr>
        <w:t>CERTIFICATION OF PRINCIPAL EXECUTIVE OFFICER PURSUANT TO EXCHANGE ACT RULES 13a-14(a) AND 15d-14(a) AS ADOPTED PURSUANT TO SECTION 302 OF THE SARBANES-OXLEY ACT OF 2002</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I, Amit Yoran, certify that:</w:t>
      </w:r>
    </w:p>
    <w:p>
      <w:pPr>
        <w:spacing w:after="0" w:line="225" w:lineRule="exact"/>
        <w:rPr>
          <w:sz w:val="20"/>
          <w:szCs w:val="20"/>
          <w:color w:val="auto"/>
        </w:rPr>
      </w:pPr>
    </w:p>
    <w:p>
      <w:pPr>
        <w:ind w:left="500" w:hanging="465"/>
        <w:spacing w:after="0"/>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Tenable Holdings, Inc.;</w:t>
      </w:r>
    </w:p>
    <w:p>
      <w:pPr>
        <w:spacing w:after="0" w:line="225" w:lineRule="exact"/>
        <w:rPr>
          <w:rFonts w:ascii="Arial" w:cs="Arial" w:eastAsia="Arial" w:hAnsi="Arial"/>
          <w:sz w:val="18"/>
          <w:szCs w:val="18"/>
          <w:color w:val="auto"/>
        </w:rPr>
      </w:pPr>
    </w:p>
    <w:p>
      <w:pPr>
        <w:ind w:left="500" w:right="100" w:hanging="465"/>
        <w:spacing w:after="0"/>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Arial" w:cs="Arial" w:eastAsia="Arial" w:hAnsi="Arial"/>
          <w:sz w:val="18"/>
          <w:szCs w:val="18"/>
          <w:color w:val="auto"/>
        </w:rPr>
      </w:pPr>
    </w:p>
    <w:p>
      <w:pPr>
        <w:ind w:left="500" w:right="280" w:hanging="465"/>
        <w:spacing w:after="0"/>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2" w:lineRule="exact"/>
        <w:rPr>
          <w:rFonts w:ascii="Arial" w:cs="Arial" w:eastAsia="Arial" w:hAnsi="Arial"/>
          <w:sz w:val="18"/>
          <w:szCs w:val="18"/>
          <w:color w:val="auto"/>
        </w:rPr>
      </w:pPr>
    </w:p>
    <w:p>
      <w:pPr>
        <w:ind w:left="500" w:right="80" w:hanging="465"/>
        <w:spacing w:after="0" w:line="246" w:lineRule="auto"/>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96" w:lineRule="exact"/>
        <w:rPr>
          <w:rFonts w:ascii="Arial" w:cs="Arial" w:eastAsia="Arial" w:hAnsi="Arial"/>
          <w:sz w:val="18"/>
          <w:szCs w:val="18"/>
          <w:color w:val="auto"/>
        </w:rPr>
      </w:pPr>
    </w:p>
    <w:p>
      <w:pPr>
        <w:ind w:left="1040" w:right="260" w:hanging="546"/>
        <w:spacing w:after="0"/>
        <w:tabs>
          <w:tab w:leader="none" w:pos="104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Arial" w:cs="Arial" w:eastAsia="Arial" w:hAnsi="Arial"/>
          <w:sz w:val="18"/>
          <w:szCs w:val="18"/>
          <w:color w:val="auto"/>
        </w:rPr>
      </w:pPr>
    </w:p>
    <w:p>
      <w:pPr>
        <w:jc w:val="both"/>
        <w:ind w:left="1040" w:right="180" w:hanging="546"/>
        <w:spacing w:after="0"/>
        <w:tabs>
          <w:tab w:leader="none" w:pos="1040" w:val="left"/>
        </w:tabs>
        <w:numPr>
          <w:ilvl w:val="1"/>
          <w:numId w:val="4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2" w:lineRule="exact"/>
        <w:rPr>
          <w:rFonts w:ascii="Arial" w:cs="Arial" w:eastAsia="Arial" w:hAnsi="Arial"/>
          <w:sz w:val="18"/>
          <w:szCs w:val="18"/>
          <w:color w:val="auto"/>
        </w:rPr>
      </w:pPr>
    </w:p>
    <w:p>
      <w:pPr>
        <w:ind w:left="1040" w:right="320" w:hanging="546"/>
        <w:spacing w:after="0"/>
        <w:tabs>
          <w:tab w:leader="none" w:pos="104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Arial" w:cs="Arial" w:eastAsia="Arial" w:hAnsi="Arial"/>
          <w:sz w:val="18"/>
          <w:szCs w:val="18"/>
          <w:color w:val="auto"/>
        </w:rPr>
      </w:pPr>
    </w:p>
    <w:p>
      <w:pPr>
        <w:ind w:left="500" w:right="300" w:hanging="465"/>
        <w:spacing w:after="0"/>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2" w:lineRule="exact"/>
        <w:rPr>
          <w:rFonts w:ascii="Arial" w:cs="Arial" w:eastAsia="Arial" w:hAnsi="Arial"/>
          <w:sz w:val="18"/>
          <w:szCs w:val="18"/>
          <w:color w:val="auto"/>
        </w:rPr>
      </w:pPr>
    </w:p>
    <w:p>
      <w:pPr>
        <w:ind w:left="1040" w:right="180" w:hanging="546"/>
        <w:spacing w:after="0"/>
        <w:tabs>
          <w:tab w:leader="none" w:pos="104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2" w:lineRule="exact"/>
        <w:rPr>
          <w:rFonts w:ascii="Arial" w:cs="Arial" w:eastAsia="Arial" w:hAnsi="Arial"/>
          <w:sz w:val="18"/>
          <w:szCs w:val="18"/>
          <w:color w:val="auto"/>
        </w:rPr>
      </w:pPr>
    </w:p>
    <w:p>
      <w:pPr>
        <w:ind w:left="1040" w:right="100" w:hanging="546"/>
        <w:spacing w:after="0" w:line="246" w:lineRule="auto"/>
        <w:tabs>
          <w:tab w:leader="none" w:pos="104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40"/>
        <w:spacing w:after="0"/>
        <w:tabs>
          <w:tab w:leader="none" w:pos="700" w:val="left"/>
          <w:tab w:leader="none" w:pos="5760" w:val="left"/>
          <w:tab w:leader="none" w:pos="6200" w:val="left"/>
        </w:tabs>
        <w:rPr>
          <w:sz w:val="20"/>
          <w:szCs w:val="20"/>
          <w:color w:val="auto"/>
        </w:rPr>
      </w:pPr>
      <w:r>
        <w:rPr>
          <w:rFonts w:ascii="Arial" w:cs="Arial" w:eastAsia="Arial" w:hAnsi="Arial"/>
          <w:sz w:val="18"/>
          <w:szCs w:val="18"/>
          <w:color w:val="auto"/>
        </w:rPr>
        <w:t>Date:</w:t>
        <w:tab/>
        <w:t>July 30,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Amit Yoran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4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Amit Yoran</w:t>
      </w:r>
    </w:p>
    <w:p>
      <w:pPr>
        <w:spacing w:after="0" w:line="6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Chairman and Chief Executive Officer</w:t>
      </w:r>
    </w:p>
    <w:p>
      <w:pPr>
        <w:spacing w:after="0" w:line="45" w:lineRule="exact"/>
        <w:rPr>
          <w:sz w:val="20"/>
          <w:szCs w:val="20"/>
          <w:color w:val="auto"/>
        </w:rPr>
      </w:pPr>
    </w:p>
    <w:p>
      <w:pPr>
        <w:ind w:left="622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118"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31.2</w:t>
      </w:r>
    </w:p>
    <w:p>
      <w:pPr>
        <w:spacing w:after="0" w:line="278" w:lineRule="exact"/>
        <w:rPr>
          <w:sz w:val="20"/>
          <w:szCs w:val="20"/>
          <w:color w:val="auto"/>
        </w:rPr>
      </w:pPr>
    </w:p>
    <w:p>
      <w:pPr>
        <w:jc w:val="center"/>
        <w:ind w:left="340" w:right="1940"/>
        <w:spacing w:after="0" w:line="268" w:lineRule="auto"/>
        <w:rPr>
          <w:sz w:val="20"/>
          <w:szCs w:val="20"/>
          <w:color w:val="auto"/>
        </w:rPr>
      </w:pPr>
      <w:r>
        <w:rPr>
          <w:rFonts w:ascii="Arial" w:cs="Arial" w:eastAsia="Arial" w:hAnsi="Arial"/>
          <w:sz w:val="18"/>
          <w:szCs w:val="18"/>
          <w:b w:val="1"/>
          <w:bCs w:val="1"/>
          <w:color w:val="auto"/>
        </w:rPr>
        <w:t>CERTIFICATION OF PRINCIPAL FINANCIAL OFFICER PURSUANT TO EXCHANGE ACT RULES 13a-14(a) AND 15d-14(a) AS ADOPTED PURSUANT TO SECTION 302 OF THE SARBANES-OXLEY ACT OF 2002</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I, Stephen A. Vintz, certify that:</w:t>
      </w:r>
    </w:p>
    <w:p>
      <w:pPr>
        <w:spacing w:after="0" w:line="225" w:lineRule="exact"/>
        <w:rPr>
          <w:sz w:val="20"/>
          <w:szCs w:val="20"/>
          <w:color w:val="auto"/>
        </w:rPr>
      </w:pPr>
    </w:p>
    <w:p>
      <w:pPr>
        <w:ind w:left="500" w:hanging="465"/>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Tenable Holdings, Inc.;</w:t>
      </w:r>
    </w:p>
    <w:p>
      <w:pPr>
        <w:spacing w:after="0" w:line="225" w:lineRule="exact"/>
        <w:rPr>
          <w:rFonts w:ascii="Arial" w:cs="Arial" w:eastAsia="Arial" w:hAnsi="Arial"/>
          <w:sz w:val="18"/>
          <w:szCs w:val="18"/>
          <w:color w:val="auto"/>
        </w:rPr>
      </w:pPr>
    </w:p>
    <w:p>
      <w:pPr>
        <w:ind w:left="500" w:right="100" w:hanging="465"/>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Arial" w:cs="Arial" w:eastAsia="Arial" w:hAnsi="Arial"/>
          <w:sz w:val="18"/>
          <w:szCs w:val="18"/>
          <w:color w:val="auto"/>
        </w:rPr>
      </w:pPr>
    </w:p>
    <w:p>
      <w:pPr>
        <w:ind w:left="500" w:right="280" w:hanging="465"/>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2" w:lineRule="exact"/>
        <w:rPr>
          <w:rFonts w:ascii="Arial" w:cs="Arial" w:eastAsia="Arial" w:hAnsi="Arial"/>
          <w:sz w:val="18"/>
          <w:szCs w:val="18"/>
          <w:color w:val="auto"/>
        </w:rPr>
      </w:pPr>
    </w:p>
    <w:p>
      <w:pPr>
        <w:ind w:left="500" w:right="80" w:hanging="465"/>
        <w:spacing w:after="0" w:line="246" w:lineRule="auto"/>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96" w:lineRule="exact"/>
        <w:rPr>
          <w:rFonts w:ascii="Arial" w:cs="Arial" w:eastAsia="Arial" w:hAnsi="Arial"/>
          <w:sz w:val="18"/>
          <w:szCs w:val="18"/>
          <w:color w:val="auto"/>
        </w:rPr>
      </w:pPr>
    </w:p>
    <w:p>
      <w:pPr>
        <w:ind w:left="1040" w:right="260" w:hanging="546"/>
        <w:spacing w:after="0"/>
        <w:tabs>
          <w:tab w:leader="none" w:pos="10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Arial" w:cs="Arial" w:eastAsia="Arial" w:hAnsi="Arial"/>
          <w:sz w:val="18"/>
          <w:szCs w:val="18"/>
          <w:color w:val="auto"/>
        </w:rPr>
      </w:pPr>
    </w:p>
    <w:p>
      <w:pPr>
        <w:jc w:val="both"/>
        <w:ind w:left="1040" w:right="180" w:hanging="546"/>
        <w:spacing w:after="0"/>
        <w:tabs>
          <w:tab w:leader="none" w:pos="10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2" w:lineRule="exact"/>
        <w:rPr>
          <w:rFonts w:ascii="Arial" w:cs="Arial" w:eastAsia="Arial" w:hAnsi="Arial"/>
          <w:sz w:val="18"/>
          <w:szCs w:val="18"/>
          <w:color w:val="auto"/>
        </w:rPr>
      </w:pPr>
    </w:p>
    <w:p>
      <w:pPr>
        <w:ind w:left="1040" w:right="320" w:hanging="546"/>
        <w:spacing w:after="0"/>
        <w:tabs>
          <w:tab w:leader="none" w:pos="10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Arial" w:cs="Arial" w:eastAsia="Arial" w:hAnsi="Arial"/>
          <w:sz w:val="18"/>
          <w:szCs w:val="18"/>
          <w:color w:val="auto"/>
        </w:rPr>
      </w:pPr>
    </w:p>
    <w:p>
      <w:pPr>
        <w:ind w:left="500" w:right="300" w:hanging="465"/>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2" w:lineRule="exact"/>
        <w:rPr>
          <w:rFonts w:ascii="Arial" w:cs="Arial" w:eastAsia="Arial" w:hAnsi="Arial"/>
          <w:sz w:val="18"/>
          <w:szCs w:val="18"/>
          <w:color w:val="auto"/>
        </w:rPr>
      </w:pPr>
    </w:p>
    <w:p>
      <w:pPr>
        <w:ind w:left="1040" w:right="180" w:hanging="546"/>
        <w:spacing w:after="0"/>
        <w:tabs>
          <w:tab w:leader="none" w:pos="10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2" w:lineRule="exact"/>
        <w:rPr>
          <w:rFonts w:ascii="Arial" w:cs="Arial" w:eastAsia="Arial" w:hAnsi="Arial"/>
          <w:sz w:val="18"/>
          <w:szCs w:val="18"/>
          <w:color w:val="auto"/>
        </w:rPr>
      </w:pPr>
    </w:p>
    <w:p>
      <w:pPr>
        <w:ind w:left="1040" w:right="100" w:hanging="546"/>
        <w:spacing w:after="0" w:line="246" w:lineRule="auto"/>
        <w:tabs>
          <w:tab w:leader="none" w:pos="10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40"/>
        <w:spacing w:after="0"/>
        <w:tabs>
          <w:tab w:leader="none" w:pos="700" w:val="left"/>
          <w:tab w:leader="none" w:pos="5760" w:val="left"/>
          <w:tab w:leader="none" w:pos="6200" w:val="left"/>
        </w:tabs>
        <w:rPr>
          <w:sz w:val="20"/>
          <w:szCs w:val="20"/>
          <w:color w:val="auto"/>
        </w:rPr>
      </w:pPr>
      <w:r>
        <w:rPr>
          <w:rFonts w:ascii="Arial" w:cs="Arial" w:eastAsia="Arial" w:hAnsi="Arial"/>
          <w:sz w:val="18"/>
          <w:szCs w:val="18"/>
          <w:color w:val="auto"/>
        </w:rPr>
        <w:t>Date:</w:t>
        <w:tab/>
        <w:t>July 30,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Stephen A. Vintz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4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Stephen A. Vintz</w:t>
      </w:r>
    </w:p>
    <w:p>
      <w:pPr>
        <w:spacing w:after="0" w:line="6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Chief Financial Officer</w:t>
      </w:r>
    </w:p>
    <w:p>
      <w:pPr>
        <w:spacing w:after="0" w:line="45" w:lineRule="exact"/>
        <w:rPr>
          <w:sz w:val="20"/>
          <w:szCs w:val="20"/>
          <w:color w:val="auto"/>
        </w:rPr>
      </w:pPr>
    </w:p>
    <w:p>
      <w:pPr>
        <w:ind w:left="6220"/>
        <w:spacing w:after="0"/>
        <w:rPr>
          <w:sz w:val="20"/>
          <w:szCs w:val="20"/>
          <w:color w:val="auto"/>
        </w:rPr>
      </w:pPr>
      <w:r>
        <w:rPr>
          <w:rFonts w:ascii="Arial" w:cs="Arial" w:eastAsia="Arial" w:hAnsi="Arial"/>
          <w:sz w:val="18"/>
          <w:szCs w:val="18"/>
          <w:i w:val="1"/>
          <w:iCs w:val="1"/>
          <w:color w:val="auto"/>
        </w:rPr>
        <w:t>(Principal Financial Officer and Principal Accounting Officer)</w:t>
      </w:r>
    </w:p>
    <w:p>
      <w:pPr>
        <w:sectPr>
          <w:pgSz w:w="11900" w:h="16838" w:orient="portrait"/>
          <w:cols w:equalWidth="0" w:num="1">
            <w:col w:w="11240"/>
          </w:cols>
          <w:pgMar w:left="320" w:top="118"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32.1</w:t>
      </w:r>
    </w:p>
    <w:p>
      <w:pPr>
        <w:spacing w:after="0" w:line="278"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CERTIFICATIONS OF PRINCIPAL EXECUTIVE OFFICER AND PRINCIPAL FINANCIAL OFFICER</w:t>
      </w:r>
    </w:p>
    <w:p>
      <w:pPr>
        <w:spacing w:after="0" w:line="63"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w:t>
      </w:r>
    </w:p>
    <w:p>
      <w:pPr>
        <w:spacing w:after="0" w:line="63"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18 U.S.C. SECTION 1350,</w:t>
      </w:r>
    </w:p>
    <w:p>
      <w:pPr>
        <w:spacing w:after="0" w:line="63"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AS ADOPTED PURSUANT TO</w:t>
      </w:r>
    </w:p>
    <w:p>
      <w:pPr>
        <w:spacing w:after="0" w:line="63"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5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Each of the undersigned hereby certifies, pursuant to 18 U.S.C. Section 1350, as adopted pursuant to Section 906 of the Sarbanes-Oxley Act of 2002, that the Quarterly Report on Form 10-Q of Tenable Holdings, Inc. for the fiscal quarter ended June 30, 2020 fully complies with the requirements of Section 13(a) or 15(d) of the Securities Exchange Act of 1934 and that information contained in such Quarterly Report on Form 10-Q fairly presents, in all material respects, the financial condition and results of operations of Tenable Holdings, Inc.</w:t>
      </w:r>
    </w:p>
    <w:p>
      <w:pPr>
        <w:spacing w:after="0" w:line="366" w:lineRule="exact"/>
        <w:rPr>
          <w:sz w:val="20"/>
          <w:szCs w:val="20"/>
          <w:color w:val="auto"/>
        </w:rPr>
      </w:pPr>
    </w:p>
    <w:p>
      <w:pPr>
        <w:ind w:left="40"/>
        <w:spacing w:after="0"/>
        <w:tabs>
          <w:tab w:leader="none" w:pos="700" w:val="left"/>
          <w:tab w:leader="none" w:pos="5760" w:val="left"/>
          <w:tab w:leader="none" w:pos="6200" w:val="left"/>
        </w:tabs>
        <w:rPr>
          <w:sz w:val="20"/>
          <w:szCs w:val="20"/>
          <w:color w:val="auto"/>
        </w:rPr>
      </w:pPr>
      <w:r>
        <w:rPr>
          <w:rFonts w:ascii="Arial" w:cs="Arial" w:eastAsia="Arial" w:hAnsi="Arial"/>
          <w:sz w:val="18"/>
          <w:szCs w:val="18"/>
          <w:color w:val="auto"/>
        </w:rPr>
        <w:t>Date:</w:t>
        <w:tab/>
        <w:t>July 30,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Amit Yoran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4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Amit Yoran</w:t>
      </w:r>
    </w:p>
    <w:p>
      <w:pPr>
        <w:spacing w:after="0" w:line="6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Chairman and Chief Executive Officer</w:t>
      </w:r>
    </w:p>
    <w:p>
      <w:pPr>
        <w:spacing w:after="0" w:line="45" w:lineRule="exact"/>
        <w:rPr>
          <w:sz w:val="20"/>
          <w:szCs w:val="20"/>
          <w:color w:val="auto"/>
        </w:rPr>
      </w:pPr>
    </w:p>
    <w:p>
      <w:pPr>
        <w:ind w:left="6220"/>
        <w:spacing w:after="0"/>
        <w:rPr>
          <w:sz w:val="20"/>
          <w:szCs w:val="20"/>
          <w:color w:val="auto"/>
        </w:rPr>
      </w:pPr>
      <w:r>
        <w:rPr>
          <w:rFonts w:ascii="Arial" w:cs="Arial" w:eastAsia="Arial" w:hAnsi="Arial"/>
          <w:sz w:val="18"/>
          <w:szCs w:val="18"/>
          <w:i w:val="1"/>
          <w:iCs w:val="1"/>
          <w:color w:val="auto"/>
        </w:rPr>
        <w:t>(Principal Executive Officer)</w:t>
      </w:r>
    </w:p>
    <w:p>
      <w:pPr>
        <w:spacing w:after="0" w:line="392" w:lineRule="exact"/>
        <w:rPr>
          <w:sz w:val="20"/>
          <w:szCs w:val="20"/>
          <w:color w:val="auto"/>
        </w:rPr>
      </w:pPr>
    </w:p>
    <w:p>
      <w:pPr>
        <w:ind w:left="40"/>
        <w:spacing w:after="0"/>
        <w:tabs>
          <w:tab w:leader="none" w:pos="700" w:val="left"/>
          <w:tab w:leader="none" w:pos="5760" w:val="left"/>
          <w:tab w:leader="none" w:pos="6200" w:val="left"/>
        </w:tabs>
        <w:rPr>
          <w:sz w:val="20"/>
          <w:szCs w:val="20"/>
          <w:color w:val="auto"/>
        </w:rPr>
      </w:pPr>
      <w:r>
        <w:rPr>
          <w:rFonts w:ascii="Arial" w:cs="Arial" w:eastAsia="Arial" w:hAnsi="Arial"/>
          <w:sz w:val="18"/>
          <w:szCs w:val="18"/>
          <w:color w:val="auto"/>
        </w:rPr>
        <w:t>Date:</w:t>
        <w:tab/>
        <w:t>July 30,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Stephen A. Vintz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4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Stephen A. Vintz</w:t>
      </w:r>
    </w:p>
    <w:p>
      <w:pPr>
        <w:spacing w:after="0" w:line="6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Chief Financial Officer</w:t>
      </w:r>
    </w:p>
    <w:p>
      <w:pPr>
        <w:spacing w:after="0" w:line="45" w:lineRule="exact"/>
        <w:rPr>
          <w:sz w:val="20"/>
          <w:szCs w:val="20"/>
          <w:color w:val="auto"/>
        </w:rPr>
      </w:pPr>
    </w:p>
    <w:p>
      <w:pPr>
        <w:ind w:left="6220"/>
        <w:spacing w:after="0"/>
        <w:rPr>
          <w:sz w:val="20"/>
          <w:szCs w:val="20"/>
          <w:color w:val="auto"/>
        </w:rPr>
      </w:pPr>
      <w:r>
        <w:rPr>
          <w:rFonts w:ascii="Arial" w:cs="Arial" w:eastAsia="Arial" w:hAnsi="Arial"/>
          <w:sz w:val="18"/>
          <w:szCs w:val="18"/>
          <w:i w:val="1"/>
          <w:iCs w:val="1"/>
          <w:color w:val="auto"/>
        </w:rPr>
        <w:t>(Principal Financial Officer and Principal Accounting Officer)</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1."/>
      <w:numFmt w:val="decimal"/>
      <w:start w:val="1"/>
    </w:lvl>
  </w:abstractNum>
  <w:abstractNum w:abstractNumId="3">
    <w:nsid w:val="6763845E"/>
    <w:multiLevelType w:val="hybridMultilevel"/>
    <w:lvl w:ilvl="0">
      <w:lvlJc w:val="left"/>
      <w:lvlText w:val="%1."/>
      <w:numFmt w:val="decimal"/>
      <w:start w:val="2"/>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1)"/>
      <w:numFmt w:val="decimal"/>
      <w:start w:val="1"/>
    </w:lvl>
  </w:abstractNum>
  <w:abstractNum w:abstractNumId="6">
    <w:nsid w:val="79838CB2"/>
    <w:multiLevelType w:val="hybridMultilevel"/>
    <w:lvl w:ilvl="0">
      <w:lvlJc w:val="left"/>
      <w:lvlText w:val="(%1)"/>
      <w:numFmt w:val="decimal"/>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1)"/>
      <w:numFmt w:val="decimal"/>
      <w:start w:val="1"/>
    </w:lvl>
  </w:abstractNum>
  <w:abstractNum w:abstractNumId="9">
    <w:nsid w:val="189A769B"/>
    <w:multiLevelType w:val="hybridMultilevel"/>
    <w:lvl w:ilvl="0">
      <w:lvlJc w:val="left"/>
      <w:lvlText w:val="(%1)"/>
      <w:numFmt w:val="decimal"/>
      <w:start w:val="1"/>
    </w:lvl>
  </w:abstractNum>
  <w:abstractNum w:abstractNumId="10">
    <w:nsid w:val="54E49EB4"/>
    <w:multiLevelType w:val="hybridMultilevel"/>
    <w:lvl w:ilvl="0">
      <w:lvlJc w:val="left"/>
      <w:lvlText w:val="(%1)"/>
      <w:numFmt w:val="decimal"/>
      <w:start w:val="1"/>
    </w:lvl>
  </w:abstractNum>
  <w:abstractNum w:abstractNumId="11">
    <w:nsid w:val="71F32454"/>
    <w:multiLevelType w:val="hybridMultilevel"/>
    <w:lvl w:ilvl="0">
      <w:lvlJc w:val="left"/>
      <w:lvlText w:val="(%1)"/>
      <w:numFmt w:val="decimal"/>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
      <w:numFmt w:val="bullet"/>
      <w:start w:val="1"/>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
      <w:numFmt w:val="bullet"/>
      <w:start w:val="1"/>
    </w:lvl>
  </w:abstractNum>
  <w:abstractNum w:abstractNumId="33">
    <w:nsid w:val="2463B9EA"/>
    <w:multiLevelType w:val="hybridMultilevel"/>
    <w:lvl w:ilvl="0">
      <w:lvlJc w:val="left"/>
      <w:lvlText w:val="(*)"/>
      <w:numFmt w:val="bullet"/>
      <w:start w:val="1"/>
    </w:lvl>
  </w:abstractNum>
  <w:abstractNum w:abstractNumId="34">
    <w:nsid w:val="5E884ADC"/>
    <w:multiLevelType w:val="hybridMultilevel"/>
    <w:lvl w:ilvl="0">
      <w:lvlJc w:val="left"/>
      <w:lvlText w:val="%1."/>
      <w:numFmt w:val="upperLetter"/>
      <w:start w:val="1"/>
    </w:lvl>
  </w:abstractNum>
  <w:abstractNum w:abstractNumId="35">
    <w:nsid w:val="51EAD36B"/>
    <w:multiLevelType w:val="hybridMultilevel"/>
    <w:lvl w:ilvl="0">
      <w:lvlJc w:val="left"/>
      <w:lvlText w:val="%1."/>
      <w:numFmt w:val="decimal"/>
      <w:start w:val="1"/>
    </w:lvl>
  </w:abstractNum>
  <w:abstractNum w:abstractNumId="36">
    <w:nsid w:val="2D517796"/>
    <w:multiLevelType w:val="hybridMultilevel"/>
    <w:lvl w:ilvl="0">
      <w:lvlJc w:val="left"/>
      <w:lvlText w:val="(%1)"/>
      <w:numFmt w:val="lowerLetter"/>
      <w:start w:val="1"/>
    </w:lvl>
  </w:abstractNum>
  <w:abstractNum w:abstractNumId="37">
    <w:nsid w:val="580BD78F"/>
    <w:multiLevelType w:val="hybridMultilevel"/>
    <w:lvl w:ilvl="0">
      <w:lvlJc w:val="left"/>
      <w:lvlText w:val="%1"/>
      <w:numFmt w:val="decimal"/>
      <w:start w:val="1"/>
    </w:lvl>
    <w:lvl w:ilvl="1">
      <w:lvlJc w:val="left"/>
      <w:lvlText w:val="(%2)"/>
      <w:numFmt w:val="lowerLetter"/>
      <w:start w:val="2"/>
    </w:lvl>
  </w:abstractNum>
  <w:abstractNum w:abstractNumId="38">
    <w:nsid w:val="153EA438"/>
    <w:multiLevelType w:val="hybridMultilevel"/>
    <w:lvl w:ilvl="0">
      <w:lvlJc w:val="left"/>
      <w:lvlText w:val="%1."/>
      <w:numFmt w:val="decimal"/>
      <w:start w:val="3"/>
    </w:lvl>
    <w:lvl w:ilvl="1">
      <w:lvlJc w:val="left"/>
      <w:lvlText w:val="%2"/>
      <w:numFmt w:val="lowerLetter"/>
      <w:start w:val="1"/>
    </w:lvl>
  </w:abstractNum>
  <w:abstractNum w:abstractNumId="39">
    <w:nsid w:val="3855585C"/>
    <w:multiLevelType w:val="hybridMultilevel"/>
    <w:lvl w:ilvl="0">
      <w:lvlJc w:val="left"/>
      <w:lvlText w:val="%1."/>
      <w:numFmt w:val="decimal"/>
      <w:start w:val="4"/>
    </w:lvl>
  </w:abstractNum>
  <w:abstractNum w:abstractNumId="40">
    <w:nsid w:val="70A64E2A"/>
    <w:multiLevelType w:val="hybridMultilevel"/>
    <w:lvl w:ilvl="0">
      <w:lvlJc w:val="left"/>
      <w:lvlText w:val="%1."/>
      <w:numFmt w:val="decimal"/>
      <w:start w:val="5"/>
    </w:lvl>
  </w:abstractNum>
  <w:abstractNum w:abstractNumId="41">
    <w:nsid w:val="6A2342EC"/>
    <w:multiLevelType w:val="hybridMultilevel"/>
    <w:lvl w:ilvl="0">
      <w:lvlJc w:val="left"/>
      <w:lvlText w:val="%1."/>
      <w:numFmt w:val="decimal"/>
      <w:start w:val="1"/>
    </w:lvl>
    <w:lvl w:ilvl="1">
      <w:lvlJc w:val="left"/>
      <w:lvlText w:val="(%2)"/>
      <w:numFmt w:val="lowerLetter"/>
      <w:start w:val="1"/>
    </w:lvl>
  </w:abstractNum>
  <w:abstractNum w:abstractNumId="42">
    <w:nsid w:val="2A487CB0"/>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9" Type="http://schemas.openxmlformats.org/officeDocument/2006/relationships/hyperlink" Target="http://www.sec.gov/Archives/edgar/data/1660280/000119312518231446/d562353dex31.htm" TargetMode="External"/><Relationship Id="rId10" Type="http://schemas.openxmlformats.org/officeDocument/2006/relationships/hyperlink" Target="http://www.sec.gov/Archives/edgar/data/1660280/000119312518209705/d548092dex34.htm" TargetMode="External"/><Relationship Id="rId11" Type="http://schemas.openxmlformats.org/officeDocument/2006/relationships/hyperlink" Target="http://www.sec.gov/Archives/edgar/data/1660280/000119312518218215/d548092dex41.htm" TargetMode="External"/><Relationship Id="rId12" Type="http://schemas.openxmlformats.org/officeDocument/2006/relationships/hyperlink" Target="http://www.sec.gov/Archives/edgar/data/1660280/000166028020000090/a2020creditagreem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2020-07-30T05:34:06Z</dcterms:created>
  <dcterms:modified xsi:type="dcterms:W3CDTF">2020-07-30T05:34:06Z</dcterms:modified>
</cp:coreProperties>
</file>