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8682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82355"/>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Thurmond Mark 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49"/>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409" w:lineRule="exact"/>
        <w:rPr>
          <w:sz w:val="24"/>
          <w:szCs w:val="24"/>
          <w:color w:val="auto"/>
        </w:rPr>
      </w:pPr>
    </w:p>
    <w:p>
      <w:pPr>
        <w:sectPr>
          <w:pgSz w:w="11900" w:h="16838" w:orient="portrait"/>
          <w:cols w:equalWidth="0" w:num="3">
            <w:col w:w="3180" w:space="720"/>
            <w:col w:w="3111" w:space="720"/>
            <w:col w:w="3349"/>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21044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2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ind w:right="9"/>
              <w:spacing w:after="0"/>
              <w:rPr>
                <w:sz w:val="20"/>
                <w:szCs w:val="20"/>
                <w:color w:val="auto"/>
              </w:rPr>
            </w:pPr>
            <w:r>
              <w:rPr>
                <w:rFonts w:ascii="Arial" w:cs="Arial" w:eastAsia="Arial" w:hAnsi="Arial"/>
                <w:sz w:val="12"/>
                <w:szCs w:val="12"/>
                <w:b w:val="1"/>
                <w:bCs w:val="1"/>
                <w:color w:val="auto"/>
                <w:w w:val="92"/>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3"/>
              </w:rPr>
              <w:t>1,162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Borders>
              <w:bottom w:val="single" w:sz="8" w:color="2C2C2C"/>
            </w:tcBorders>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170,249</w:t>
            </w:r>
            <w:r>
              <w:rPr>
                <w:rFonts w:ascii="Times New Roman" w:cs="Times New Roman" w:eastAsia="Times New Roman" w:hAnsi="Times New Roman"/>
                <w:sz w:val="21"/>
                <w:szCs w:val="21"/>
                <w:color w:val="008000"/>
                <w:w w:val="92"/>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85"/>
              </w:rPr>
              <w:t>562</w:t>
            </w:r>
            <w:r>
              <w:rPr>
                <w:rFonts w:ascii="Times New Roman" w:cs="Times New Roman" w:eastAsia="Times New Roman" w:hAnsi="Times New Roman"/>
                <w:sz w:val="21"/>
                <w:szCs w:val="21"/>
                <w:color w:val="008000"/>
                <w:w w:val="8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169,687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2,267</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171,954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1,097</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170,857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6,095</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176,952</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2,947</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174,005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3,713</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177,718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1,796</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175,922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7,764</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183,686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3,754</w:t>
            </w:r>
            <w:r>
              <w:rPr>
                <w:rFonts w:ascii="Times New Roman" w:cs="Times New Roman" w:eastAsia="Times New Roman" w:hAnsi="Times New Roman"/>
                <w:sz w:val="21"/>
                <w:szCs w:val="21"/>
                <w:color w:val="008000"/>
                <w:w w:val="95"/>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179,932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4,368</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184,300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87"/>
              </w:rPr>
              <w:t>2,112</w:t>
            </w:r>
            <w:r>
              <w:rPr>
                <w:rFonts w:ascii="Times New Roman" w:cs="Times New Roman" w:eastAsia="Times New Roman" w:hAnsi="Times New Roman"/>
                <w:sz w:val="21"/>
                <w:szCs w:val="21"/>
                <w:color w:val="008000"/>
                <w:w w:val="87"/>
                <w:vertAlign w:val="superscript"/>
              </w:rPr>
              <w:t>(2)</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182,188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jc w:val="center"/>
              <w:ind w:right="40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29"/>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1,162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7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1,162</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5"/>
              </w:rPr>
              <w:t>3,492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7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2,267</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15,873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7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6,095</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67,052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3,713</w:t>
            </w:r>
          </w:p>
        </w:tc>
        <w:tc>
          <w:tcPr>
            <w:tcW w:w="800" w:type="dxa"/>
            <w:vAlign w:val="bottom"/>
            <w:gridSpan w:val="2"/>
          </w:tcPr>
          <w:p>
            <w:pPr>
              <w:jc w:val="right"/>
              <w:ind w:right="317"/>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3,713</w:t>
            </w:r>
          </w:p>
        </w:tc>
        <w:tc>
          <w:tcPr>
            <w:tcW w:w="60" w:type="dxa"/>
            <w:vAlign w:val="bottom"/>
          </w:tcPr>
          <w:p>
            <w:pPr>
              <w:spacing w:after="0"/>
              <w:rPr>
                <w:sz w:val="20"/>
                <w:szCs w:val="20"/>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w w:val="94"/>
              </w:rPr>
              <w:t>11,139</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05/22/2026</w:t>
            </w:r>
          </w:p>
        </w:tc>
        <w:tc>
          <w:tcPr>
            <w:tcW w:w="110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7,764</w:t>
            </w:r>
          </w:p>
        </w:tc>
        <w:tc>
          <w:tcPr>
            <w:tcW w:w="800" w:type="dxa"/>
            <w:vAlign w:val="bottom"/>
            <w:gridSpan w:val="2"/>
          </w:tcPr>
          <w:p>
            <w:pPr>
              <w:jc w:val="right"/>
              <w:ind w:right="317"/>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7,764</w:t>
            </w:r>
          </w:p>
        </w:tc>
        <w:tc>
          <w:tcPr>
            <w:tcW w:w="60" w:type="dxa"/>
            <w:vAlign w:val="bottom"/>
          </w:tcPr>
          <w:p>
            <w:pPr>
              <w:spacing w:after="0"/>
              <w:rPr>
                <w:sz w:val="20"/>
                <w:szCs w:val="20"/>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85,408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-3316605</wp:posOffset>
            </wp:positionV>
            <wp:extent cx="29210" cy="351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134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00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0002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76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76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232"/>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05/22/2026</w:t>
            </w:r>
          </w:p>
        </w:tc>
        <w:tc>
          <w:tcPr>
            <w:tcW w:w="110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4,368</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4,368</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30,576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r>
      <w:tr>
        <w:trPr>
          <w:trHeight w:val="167"/>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820 shares were acquired under the Issuer's Employee Stock Purchase Plan in transactions that were exempt under both Rule 16b-3(d) and Rule 16b-3(c).</w:t>
      </w:r>
    </w:p>
    <w:p>
      <w:pPr>
        <w:spacing w:after="0" w:line="43" w:lineRule="exact"/>
        <w:rPr>
          <w:rFonts w:ascii="Times New Roman" w:cs="Times New Roman" w:eastAsia="Times New Roman" w:hAnsi="Times New Roman"/>
          <w:sz w:val="13"/>
          <w:szCs w:val="13"/>
          <w:color w:val="008000"/>
        </w:rPr>
      </w:pPr>
    </w:p>
    <w:p>
      <w:pPr>
        <w:ind w:left="20" w:right="18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21, 2024, the Compensation Committee of the Issuer's Board of Directors certified the achievement of the Performance Restricted Stock Units (PRSUs) granted on February 22, 2023 and determined a 93.9% payout for the measurement period based on the Issuer's fiscal year 2023 criteria. 25% of the shares underlying the PRSUs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13, 2025, the Compensation Committee of the Issuer's Board of Directors certified the achievement of the Performance Restricted Stock Units (PRSUs) granted on February 22, 2024 and determined a 96.4% payout for the measurement period based on the Issuer's fiscal year 2024 criteria. 25% of the shares underlying the PRSUs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2026, the Compensation Committee of the Issuer's Board of Directors certified the achievement of the Performance Restricted Stock Units (PRSUs) granted on February 21, 2025 and determined a 97.2% payout for the measurement period based on the Issuer's fiscal year 2025 criteria. 25% of the shares underlying the PRSUs vested on February 25, 2026,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rFonts w:ascii="Times New Roman" w:cs="Times New Roman" w:eastAsia="Times New Roman" w:hAnsi="Times New Roman"/>
          <w:sz w:val="13"/>
          <w:szCs w:val="13"/>
          <w:color w:val="008000"/>
        </w:rPr>
      </w:pPr>
    </w:p>
    <w:p>
      <w:pPr>
        <w:ind w:left="20" w:right="5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August 22, 2025, 25% on February 22, 2026,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4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1579"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2026-05-26T18:02:34Z</dcterms:created>
  <dcterms:modified xsi:type="dcterms:W3CDTF">2026-05-26T18:02:34Z</dcterms:modified>
</cp:coreProperties>
</file>