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231F20"/>
        </w:rPr>
        <w:t>UNITED STATES</w:t>
      </w:r>
    </w:p>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231F20"/>
        </w:rPr>
        <w:t>SECURITIES AND EXCHANGE COMMISSION</w:t>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231F20"/>
        </w:rPr>
        <w:t>Washington, D.C. 20549</w:t>
      </w:r>
    </w:p>
    <w:p>
      <w:pPr>
        <w:ind w:left="4720"/>
        <w:spacing w:after="0"/>
        <w:rPr>
          <w:sz w:val="20"/>
          <w:szCs w:val="20"/>
          <w:color w:val="auto"/>
        </w:rPr>
      </w:pPr>
      <w:r>
        <w:rPr>
          <w:rFonts w:ascii="Arial" w:cs="Arial" w:eastAsia="Arial" w:hAnsi="Arial"/>
          <w:sz w:val="18"/>
          <w:szCs w:val="18"/>
          <w:b w:val="1"/>
          <w:bCs w:val="1"/>
          <w:color w:val="auto"/>
        </w:rPr>
        <w:t>__________________</w:t>
      </w:r>
    </w:p>
    <w:p>
      <w:pPr>
        <w:spacing w:after="0" w:line="78"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231F20"/>
        </w:rPr>
        <w:t>FORM 10-Q</w:t>
      </w:r>
    </w:p>
    <w:p>
      <w:pPr>
        <w:spacing w:after="0" w:line="43"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231F20"/>
        </w:rPr>
        <w:t>__________________</w:t>
      </w:r>
    </w:p>
    <w:p>
      <w:pPr>
        <w:spacing w:after="0" w:line="163" w:lineRule="exact"/>
        <w:rPr>
          <w:sz w:val="24"/>
          <w:szCs w:val="24"/>
          <w:color w:val="auto"/>
        </w:rPr>
      </w:pPr>
    </w:p>
    <w:p>
      <w:pPr>
        <w:ind w:left="580" w:hanging="545"/>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35"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For the Quarterly Period Ended March 31, 2020</w:t>
      </w:r>
    </w:p>
    <w:p>
      <w:pPr>
        <w:spacing w:after="0" w:line="59"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or</w:t>
      </w:r>
    </w:p>
    <w:p>
      <w:pPr>
        <w:spacing w:after="0" w:line="176" w:lineRule="exact"/>
        <w:rPr>
          <w:sz w:val="24"/>
          <w:szCs w:val="24"/>
          <w:color w:val="auto"/>
        </w:rPr>
      </w:pPr>
    </w:p>
    <w:p>
      <w:pPr>
        <w:ind w:left="580" w:hanging="545"/>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81" w:lineRule="exact"/>
        <w:rPr>
          <w:rFonts w:ascii="MS PGothic" w:cs="MS PGothic" w:eastAsia="MS PGothic" w:hAnsi="MS PGothic"/>
          <w:sz w:val="18"/>
          <w:szCs w:val="18"/>
          <w:color w:val="auto"/>
        </w:rPr>
      </w:pPr>
    </w:p>
    <w:p>
      <w:pPr>
        <w:ind w:left="39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transition period from _____ to _____</w:t>
      </w:r>
    </w:p>
    <w:p>
      <w:pPr>
        <w:spacing w:after="0" w:line="11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Commission file number 001-38600</w:t>
      </w:r>
    </w:p>
    <w:p>
      <w:pPr>
        <w:spacing w:after="0" w:line="22"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231F20"/>
        </w:rPr>
        <w:t>__________________</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231F20"/>
        </w:rPr>
        <w:t>TENABLE HOLDINGS, INC.</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231F20"/>
        </w:rPr>
        <w:t>(Exact name of registrant as specified in its charter)</w:t>
      </w:r>
    </w:p>
    <w:p>
      <w:pPr>
        <w:ind w:left="4720"/>
        <w:spacing w:after="0"/>
        <w:rPr>
          <w:sz w:val="20"/>
          <w:szCs w:val="20"/>
          <w:color w:val="auto"/>
        </w:rPr>
      </w:pPr>
      <w:r>
        <w:rPr>
          <w:rFonts w:ascii="Arial" w:cs="Arial" w:eastAsia="Arial" w:hAnsi="Arial"/>
          <w:sz w:val="18"/>
          <w:szCs w:val="18"/>
          <w:b w:val="1"/>
          <w:bCs w:val="1"/>
          <w:color w:val="231F20"/>
        </w:rPr>
        <w:t>__________________</w:t>
      </w:r>
    </w:p>
    <w:p>
      <w:pPr>
        <w:sectPr>
          <w:pgSz w:w="11900" w:h="16838" w:orient="portrait"/>
          <w:cols w:equalWidth="0" w:num="1">
            <w:col w:w="11200"/>
          </w:cols>
          <w:pgMar w:left="320" w:top="433" w:right="379" w:bottom="1440" w:gutter="0" w:footer="0" w:header="0"/>
        </w:sectPr>
      </w:pPr>
    </w:p>
    <w:p>
      <w:pPr>
        <w:spacing w:after="0" w:line="154" w:lineRule="exact"/>
        <w:rPr>
          <w:sz w:val="24"/>
          <w:szCs w:val="24"/>
          <w:color w:val="auto"/>
        </w:rPr>
      </w:pPr>
    </w:p>
    <w:p>
      <w:pPr>
        <w:ind w:left="19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47-5580846</w:t>
      </w:r>
    </w:p>
    <w:p>
      <w:pPr>
        <w:spacing w:after="0" w:line="122" w:lineRule="exact"/>
        <w:rPr>
          <w:sz w:val="24"/>
          <w:szCs w:val="24"/>
          <w:color w:val="auto"/>
        </w:rPr>
      </w:pPr>
    </w:p>
    <w:p>
      <w:pPr>
        <w:sectPr>
          <w:pgSz w:w="11900" w:h="16838" w:orient="portrait"/>
          <w:cols w:equalWidth="0" w:num="2">
            <w:col w:w="7740" w:space="720"/>
            <w:col w:w="2740"/>
          </w:cols>
          <w:pgMar w:left="320" w:top="433" w:right="379" w:bottom="1440" w:gutter="0" w:footer="0" w:header="0"/>
          <w:type w:val="continuous"/>
        </w:sectPr>
      </w:pPr>
    </w:p>
    <w:p>
      <w:pPr>
        <w:ind w:left="46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Number)</w:t>
      </w:r>
    </w:p>
    <w:p>
      <w:pPr>
        <w:spacing w:after="0" w:line="113" w:lineRule="exact"/>
        <w:rPr>
          <w:sz w:val="24"/>
          <w:szCs w:val="24"/>
          <w:color w:val="auto"/>
        </w:rPr>
      </w:pPr>
    </w:p>
    <w:p>
      <w:pPr>
        <w:sectPr>
          <w:pgSz w:w="11900" w:h="16838" w:orient="portrait"/>
          <w:cols w:equalWidth="0" w:num="2">
            <w:col w:w="6920" w:space="720"/>
            <w:col w:w="3560"/>
          </w:cols>
          <w:pgMar w:left="320" w:top="433" w:right="379" w:bottom="1440" w:gutter="0" w:footer="0" w:header="0"/>
          <w:type w:val="continuous"/>
        </w:sectPr>
      </w:pPr>
    </w:p>
    <w:p>
      <w:pPr>
        <w:jc w:val="center"/>
        <w:ind w:right="-39"/>
        <w:spacing w:after="0"/>
        <w:rPr>
          <w:sz w:val="20"/>
          <w:szCs w:val="20"/>
          <w:color w:val="auto"/>
        </w:rPr>
      </w:pPr>
      <w:r>
        <w:rPr>
          <w:rFonts w:ascii="Arial" w:cs="Arial" w:eastAsia="Arial" w:hAnsi="Arial"/>
          <w:sz w:val="16"/>
          <w:szCs w:val="16"/>
          <w:b w:val="1"/>
          <w:bCs w:val="1"/>
          <w:color w:val="auto"/>
        </w:rPr>
        <w:t>7021 Columbia Gateway Drive, Suite 500, Columbia, Maryland, 21046</w:t>
      </w:r>
    </w:p>
    <w:p>
      <w:pPr>
        <w:spacing w:after="0" w:line="28"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86"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(410) 872-0555</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(Registrant’s telephone number, including area code)</w:t>
      </w:r>
    </w:p>
    <w:p>
      <w:pPr>
        <w:ind w:left="4720"/>
        <w:spacing w:after="0"/>
        <w:rPr>
          <w:sz w:val="20"/>
          <w:szCs w:val="20"/>
          <w:color w:val="auto"/>
        </w:rPr>
      </w:pPr>
      <w:r>
        <w:rPr>
          <w:rFonts w:ascii="Arial" w:cs="Arial" w:eastAsia="Arial" w:hAnsi="Arial"/>
          <w:sz w:val="18"/>
          <w:szCs w:val="18"/>
          <w:b w:val="1"/>
          <w:bCs w:val="1"/>
          <w:color w:val="231F20"/>
        </w:rPr>
        <w:t>__________________</w:t>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00"/>
          </w:cols>
          <w:pgMar w:left="320" w:top="433" w:right="379" w:bottom="1440" w:gutter="0" w:footer="0" w:header="0"/>
          <w:type w:val="continuous"/>
        </w:sectPr>
      </w:pPr>
    </w:p>
    <w:p>
      <w:pPr>
        <w:spacing w:after="0" w:line="167" w:lineRule="exact"/>
        <w:rPr>
          <w:sz w:val="24"/>
          <w:szCs w:val="24"/>
          <w:color w:val="auto"/>
        </w:rPr>
      </w:pPr>
    </w:p>
    <w:p>
      <w:pPr>
        <w:ind w:left="144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color w:val="auto"/>
        </w:rPr>
        <w:t>Trading Symbol(s)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59" w:lineRule="exact"/>
        <w:rPr>
          <w:sz w:val="24"/>
          <w:szCs w:val="24"/>
          <w:color w:val="auto"/>
        </w:rPr>
      </w:pPr>
    </w:p>
    <w:p>
      <w:pPr>
        <w:sectPr>
          <w:pgSz w:w="11900" w:h="16838" w:orient="portrait"/>
          <w:cols w:equalWidth="0" w:num="3">
            <w:col w:w="4260" w:space="720"/>
            <w:col w:w="1860" w:space="720"/>
            <w:col w:w="3640"/>
          </w:cols>
          <w:pgMar w:left="320" w:top="433" w:right="379" w:bottom="1440" w:gutter="0" w:footer="0" w:header="0"/>
          <w:type w:val="continuous"/>
        </w:sectPr>
      </w:pPr>
    </w:p>
    <w:p>
      <w:pPr>
        <w:ind w:left="560"/>
        <w:spacing w:after="0"/>
        <w:rPr>
          <w:sz w:val="20"/>
          <w:szCs w:val="20"/>
          <w:color w:val="auto"/>
        </w:rPr>
      </w:pPr>
      <w:r>
        <w:rPr>
          <w:rFonts w:ascii="Arial" w:cs="Arial" w:eastAsia="Arial" w:hAnsi="Arial"/>
          <w:sz w:val="16"/>
          <w:szCs w:val="16"/>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TENB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The Nasdaq Stock Market LLC</w:t>
      </w:r>
    </w:p>
    <w:p>
      <w:pPr>
        <w:spacing w:after="0" w:line="140" w:lineRule="exact"/>
        <w:rPr>
          <w:sz w:val="24"/>
          <w:szCs w:val="24"/>
          <w:color w:val="auto"/>
        </w:rPr>
      </w:pPr>
    </w:p>
    <w:p>
      <w:pPr>
        <w:sectPr>
          <w:pgSz w:w="11900" w:h="16838" w:orient="portrait"/>
          <w:cols w:equalWidth="0" w:num="3">
            <w:col w:w="4700" w:space="720"/>
            <w:col w:w="1920" w:space="720"/>
            <w:col w:w="3140"/>
          </w:cols>
          <w:pgMar w:left="320" w:top="433" w:right="379" w:bottom="1440" w:gutter="0" w:footer="0" w:header="0"/>
          <w:type w:val="continuous"/>
        </w:sectPr>
      </w:pPr>
    </w:p>
    <w:p>
      <w:pPr>
        <w:jc w:val="both"/>
        <w:ind w:right="36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6" w:lineRule="exact"/>
        <w:rPr>
          <w:sz w:val="24"/>
          <w:szCs w:val="24"/>
          <w:color w:val="auto"/>
        </w:rPr>
      </w:pPr>
    </w:p>
    <w:p>
      <w:pPr>
        <w:ind w:right="44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6" w:lineRule="exact"/>
        <w:rPr>
          <w:sz w:val="24"/>
          <w:szCs w:val="24"/>
          <w:color w:val="auto"/>
        </w:rPr>
      </w:pPr>
    </w:p>
    <w:p>
      <w:pPr>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5"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34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100" w:type="dxa"/>
            <w:vAlign w:val="bottom"/>
          </w:tcPr>
          <w:p>
            <w:pPr>
              <w:ind w:left="1520"/>
              <w:spacing w:after="0" w:line="161" w:lineRule="exact"/>
              <w:rPr>
                <w:sz w:val="20"/>
                <w:szCs w:val="20"/>
                <w:color w:val="auto"/>
              </w:rPr>
            </w:pPr>
            <w:r>
              <w:rPr>
                <w:rFonts w:ascii="MS PGothic" w:cs="MS PGothic" w:eastAsia="MS PGothic" w:hAnsi="MS PGothic"/>
                <w:sz w:val="16"/>
                <w:szCs w:val="16"/>
                <w:color w:val="auto"/>
              </w:rPr>
              <w:t>☒</w:t>
            </w:r>
          </w:p>
        </w:tc>
        <w:tc>
          <w:tcPr>
            <w:tcW w:w="3800" w:type="dxa"/>
            <w:vAlign w:val="bottom"/>
          </w:tcPr>
          <w:p>
            <w:pPr>
              <w:ind w:left="420"/>
              <w:spacing w:after="0"/>
              <w:rPr>
                <w:sz w:val="20"/>
                <w:szCs w:val="20"/>
                <w:color w:val="auto"/>
              </w:rPr>
            </w:pPr>
            <w:r>
              <w:rPr>
                <w:rFonts w:ascii="Arial" w:cs="Arial" w:eastAsia="Arial" w:hAnsi="Arial"/>
                <w:sz w:val="16"/>
                <w:szCs w:val="16"/>
                <w:color w:val="auto"/>
              </w:rPr>
              <w:t>Accelerated filer</w:t>
            </w:r>
          </w:p>
        </w:tc>
        <w:tc>
          <w:tcPr>
            <w:tcW w:w="1600" w:type="dxa"/>
            <w:vAlign w:val="bottom"/>
          </w:tcPr>
          <w:p>
            <w:pPr>
              <w:ind w:left="1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3440" w:type="dxa"/>
            <w:vAlign w:val="bottom"/>
          </w:tcPr>
          <w:p>
            <w:pPr>
              <w:spacing w:after="0"/>
              <w:rPr>
                <w:sz w:val="20"/>
                <w:szCs w:val="20"/>
                <w:color w:val="auto"/>
              </w:rPr>
            </w:pPr>
            <w:r>
              <w:rPr>
                <w:rFonts w:ascii="Arial" w:cs="Arial" w:eastAsia="Arial" w:hAnsi="Arial"/>
                <w:sz w:val="16"/>
                <w:szCs w:val="16"/>
                <w:color w:val="auto"/>
              </w:rPr>
              <w:t>Non-accelerated filer</w:t>
            </w:r>
          </w:p>
        </w:tc>
        <w:tc>
          <w:tcPr>
            <w:tcW w:w="2100" w:type="dxa"/>
            <w:vAlign w:val="bottom"/>
          </w:tcPr>
          <w:p>
            <w:pPr>
              <w:ind w:left="1520"/>
              <w:spacing w:after="0" w:line="161" w:lineRule="exact"/>
              <w:rPr>
                <w:sz w:val="20"/>
                <w:szCs w:val="20"/>
                <w:color w:val="auto"/>
              </w:rPr>
            </w:pPr>
            <w:r>
              <w:rPr>
                <w:rFonts w:ascii="MS PGothic" w:cs="MS PGothic" w:eastAsia="MS PGothic" w:hAnsi="MS PGothic"/>
                <w:sz w:val="16"/>
                <w:szCs w:val="16"/>
                <w:color w:val="auto"/>
              </w:rPr>
              <w:t>☐</w:t>
            </w:r>
          </w:p>
        </w:tc>
        <w:tc>
          <w:tcPr>
            <w:tcW w:w="38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70"/>
        </w:trPr>
        <w:tc>
          <w:tcPr>
            <w:tcW w:w="34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100" w:type="dxa"/>
            <w:vAlign w:val="bottom"/>
          </w:tcPr>
          <w:p>
            <w:pPr>
              <w:ind w:left="1520"/>
              <w:spacing w:after="0" w:line="161" w:lineRule="exact"/>
              <w:rPr>
                <w:sz w:val="20"/>
                <w:szCs w:val="20"/>
                <w:color w:val="auto"/>
              </w:rPr>
            </w:pPr>
            <w:r>
              <w:rPr>
                <w:rFonts w:ascii="MS PGothic" w:cs="MS PGothic" w:eastAsia="MS PGothic" w:hAnsi="MS PGothic"/>
                <w:sz w:val="16"/>
                <w:szCs w:val="16"/>
                <w:color w:val="auto"/>
              </w:rPr>
              <w:t>☐</w:t>
            </w:r>
          </w:p>
        </w:tc>
        <w:tc>
          <w:tcPr>
            <w:tcW w:w="3800" w:type="dxa"/>
            <w:vAlign w:val="bottom"/>
          </w:tcPr>
          <w:p>
            <w:pPr>
              <w:ind w:left="420"/>
              <w:spacing w:after="0"/>
              <w:rPr>
                <w:sz w:val="20"/>
                <w:szCs w:val="20"/>
                <w:color w:val="auto"/>
              </w:rPr>
            </w:pPr>
            <w:r>
              <w:rPr>
                <w:rFonts w:ascii="Arial" w:cs="Arial" w:eastAsia="Arial" w:hAnsi="Arial"/>
                <w:sz w:val="16"/>
                <w:szCs w:val="16"/>
                <w:color w:val="auto"/>
              </w:rPr>
              <w:t>Smaller reporting company</w:t>
            </w:r>
          </w:p>
        </w:tc>
        <w:tc>
          <w:tcPr>
            <w:tcW w:w="1600" w:type="dxa"/>
            <w:vAlign w:val="bottom"/>
          </w:tcPr>
          <w:p>
            <w:pPr>
              <w:ind w:left="14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7" w:lineRule="exact"/>
        <w:rPr>
          <w:sz w:val="24"/>
          <w:szCs w:val="24"/>
          <w:color w:val="auto"/>
        </w:rPr>
      </w:pPr>
    </w:p>
    <w:p>
      <w:pPr>
        <w:ind w:left="40" w:right="60"/>
        <w:spacing w:after="0" w:line="212"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6" w:lineRule="exact"/>
        <w:rPr>
          <w:sz w:val="24"/>
          <w:szCs w:val="24"/>
          <w:color w:val="auto"/>
        </w:rPr>
      </w:pPr>
    </w:p>
    <w:p>
      <w:pPr>
        <w:ind w:right="1560"/>
        <w:spacing w:after="0" w:line="26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the Registrant's common stock outstanding as of May 1, 2020 was 100,080,320.</w:t>
      </w:r>
    </w:p>
    <w:p>
      <w:pPr>
        <w:sectPr>
          <w:pgSz w:w="11900" w:h="16838" w:orient="portrait"/>
          <w:cols w:equalWidth="0" w:num="1">
            <w:col w:w="11200"/>
          </w:cols>
          <w:pgMar w:left="320" w:top="433" w:right="3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960" w:type="dxa"/>
            <w:vAlign w:val="bottom"/>
          </w:tcPr>
          <w:p>
            <w:pPr>
              <w:jc w:val="center"/>
              <w:ind w:left="470"/>
              <w:spacing w:after="0"/>
              <w:rPr>
                <w:sz w:val="20"/>
                <w:szCs w:val="20"/>
                <w:color w:val="auto"/>
              </w:rPr>
            </w:pPr>
            <w:r>
              <w:rPr>
                <w:rFonts w:ascii="Arial" w:cs="Arial" w:eastAsia="Arial" w:hAnsi="Arial"/>
                <w:sz w:val="18"/>
                <w:szCs w:val="18"/>
                <w:b w:val="1"/>
                <w:bCs w:val="1"/>
                <w:color w:val="auto"/>
              </w:rPr>
              <w:t>TENABLE HOLDINGS, INC.</w:t>
            </w: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39"/>
        </w:trPr>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960" w:type="dxa"/>
            <w:vAlign w:val="bottom"/>
          </w:tcPr>
          <w:p>
            <w:pPr>
              <w:jc w:val="center"/>
              <w:ind w:left="470"/>
              <w:spacing w:after="0"/>
              <w:rPr>
                <w:sz w:val="20"/>
                <w:szCs w:val="20"/>
                <w:color w:val="auto"/>
              </w:rPr>
            </w:pPr>
            <w:r>
              <w:rPr>
                <w:rFonts w:ascii="Arial" w:cs="Arial" w:eastAsia="Arial" w:hAnsi="Arial"/>
                <w:sz w:val="18"/>
                <w:szCs w:val="18"/>
                <w:b w:val="1"/>
                <w:bCs w:val="1"/>
                <w:color w:val="auto"/>
                <w:w w:val="98"/>
              </w:rPr>
              <w:t>TABLE OF CONTENTS</w:t>
            </w: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567"/>
        </w:trPr>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1700" w:type="dxa"/>
            <w:vAlign w:val="bottom"/>
            <w:gridSpan w:val="2"/>
          </w:tcPr>
          <w:p>
            <w:pPr>
              <w:ind w:left="1280"/>
              <w:spacing w:after="0"/>
              <w:rPr>
                <w:sz w:val="20"/>
                <w:szCs w:val="20"/>
                <w:color w:val="auto"/>
              </w:rPr>
            </w:pPr>
            <w:r>
              <w:rPr>
                <w:rFonts w:ascii="Arial" w:cs="Arial" w:eastAsia="Arial" w:hAnsi="Arial"/>
                <w:sz w:val="18"/>
                <w:szCs w:val="18"/>
                <w:color w:val="auto"/>
                <w:w w:val="95"/>
              </w:rPr>
              <w:t>Page</w:t>
            </w:r>
          </w:p>
        </w:tc>
      </w:tr>
      <w:tr>
        <w:trPr>
          <w:trHeight w:val="277"/>
        </w:trPr>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960" w:type="dxa"/>
            <w:vAlign w:val="bottom"/>
          </w:tcPr>
          <w:p>
            <w:pPr>
              <w:jc w:val="center"/>
              <w:ind w:left="490"/>
              <w:spacing w:after="0"/>
              <w:rPr>
                <w:rFonts w:ascii="Arial" w:cs="Arial" w:eastAsia="Arial" w:hAnsi="Arial"/>
                <w:sz w:val="18"/>
                <w:szCs w:val="18"/>
                <w:b w:val="1"/>
                <w:bCs w:val="1"/>
                <w:u w:val="single" w:color="auto"/>
                <w:color w:val="0000EE"/>
                <w:w w:val="99"/>
              </w:rPr>
            </w:pPr>
            <w:hyperlink w:anchor="page3">
              <w:r>
                <w:rPr>
                  <w:rFonts w:ascii="Arial" w:cs="Arial" w:eastAsia="Arial" w:hAnsi="Arial"/>
                  <w:sz w:val="18"/>
                  <w:szCs w:val="18"/>
                  <w:b w:val="1"/>
                  <w:bCs w:val="1"/>
                  <w:u w:val="single" w:color="auto"/>
                  <w:color w:val="0000EE"/>
                  <w:w w:val="99"/>
                </w:rPr>
                <w:t>PART I – FINANCIAL INFORMATION</w:t>
              </w:r>
            </w:hyperlink>
          </w:p>
        </w:tc>
        <w:tc>
          <w:tcPr>
            <w:tcW w:w="128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r>
      <w:tr>
        <w:trPr>
          <w:trHeight w:val="270"/>
        </w:trPr>
        <w:tc>
          <w:tcPr>
            <w:tcW w:w="78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8500" w:type="dxa"/>
            <w:vAlign w:val="bottom"/>
            <w:gridSpan w:val="2"/>
          </w:tcPr>
          <w:p>
            <w:pPr>
              <w:ind w:left="1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128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70"/>
        </w:trPr>
        <w:tc>
          <w:tcPr>
            <w:tcW w:w="780" w:type="dxa"/>
            <w:vAlign w:val="bottom"/>
          </w:tcPr>
          <w:p>
            <w:pPr>
              <w:spacing w:after="0"/>
              <w:rPr>
                <w:sz w:val="23"/>
                <w:szCs w:val="23"/>
                <w:color w:val="auto"/>
              </w:rPr>
            </w:pPr>
          </w:p>
        </w:tc>
        <w:tc>
          <w:tcPr>
            <w:tcW w:w="8500" w:type="dxa"/>
            <w:vAlign w:val="bottom"/>
            <w:gridSpan w:val="2"/>
          </w:tcPr>
          <w:p>
            <w:pPr>
              <w:ind w:left="1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Balance Sheets</w:t>
              </w:r>
            </w:hyperlink>
          </w:p>
        </w:tc>
        <w:tc>
          <w:tcPr>
            <w:tcW w:w="1700" w:type="dxa"/>
            <w:vAlign w:val="bottom"/>
            <w:gridSpan w:val="2"/>
          </w:tcPr>
          <w:p>
            <w:pPr>
              <w:ind w:left="12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3</w:t>
              </w:r>
            </w:hyperlink>
          </w:p>
        </w:tc>
      </w:tr>
      <w:tr>
        <w:trPr>
          <w:trHeight w:val="270"/>
        </w:trPr>
        <w:tc>
          <w:tcPr>
            <w:tcW w:w="780" w:type="dxa"/>
            <w:vAlign w:val="bottom"/>
          </w:tcPr>
          <w:p>
            <w:pPr>
              <w:spacing w:after="0"/>
              <w:rPr>
                <w:sz w:val="23"/>
                <w:szCs w:val="23"/>
                <w:color w:val="auto"/>
              </w:rPr>
            </w:pPr>
          </w:p>
        </w:tc>
        <w:tc>
          <w:tcPr>
            <w:tcW w:w="8500" w:type="dxa"/>
            <w:vAlign w:val="bottom"/>
            <w:gridSpan w:val="2"/>
          </w:tcPr>
          <w:p>
            <w:pPr>
              <w:ind w:left="1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Operations</w:t>
              </w:r>
            </w:hyperlink>
          </w:p>
        </w:tc>
        <w:tc>
          <w:tcPr>
            <w:tcW w:w="1700" w:type="dxa"/>
            <w:vAlign w:val="bottom"/>
            <w:gridSpan w:val="2"/>
          </w:tcPr>
          <w:p>
            <w:pPr>
              <w:ind w:left="12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4</w:t>
              </w:r>
            </w:hyperlink>
          </w:p>
        </w:tc>
      </w:tr>
      <w:tr>
        <w:trPr>
          <w:trHeight w:val="270"/>
        </w:trPr>
        <w:tc>
          <w:tcPr>
            <w:tcW w:w="780" w:type="dxa"/>
            <w:vAlign w:val="bottom"/>
          </w:tcPr>
          <w:p>
            <w:pPr>
              <w:spacing w:after="0"/>
              <w:rPr>
                <w:sz w:val="23"/>
                <w:szCs w:val="23"/>
                <w:color w:val="auto"/>
              </w:rPr>
            </w:pPr>
          </w:p>
        </w:tc>
        <w:tc>
          <w:tcPr>
            <w:tcW w:w="8500" w:type="dxa"/>
            <w:vAlign w:val="bottom"/>
            <w:gridSpan w:val="2"/>
          </w:tcPr>
          <w:p>
            <w:pPr>
              <w:ind w:left="1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Comprehensive Loss</w:t>
              </w:r>
            </w:hyperlink>
          </w:p>
        </w:tc>
        <w:tc>
          <w:tcPr>
            <w:tcW w:w="1700" w:type="dxa"/>
            <w:vAlign w:val="bottom"/>
            <w:gridSpan w:val="2"/>
          </w:tcPr>
          <w:p>
            <w:pPr>
              <w:ind w:left="12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5</w:t>
              </w:r>
            </w:hyperlink>
          </w:p>
        </w:tc>
      </w:tr>
      <w:tr>
        <w:trPr>
          <w:trHeight w:val="270"/>
        </w:trPr>
        <w:tc>
          <w:tcPr>
            <w:tcW w:w="780" w:type="dxa"/>
            <w:vAlign w:val="bottom"/>
          </w:tcPr>
          <w:p>
            <w:pPr>
              <w:spacing w:after="0"/>
              <w:rPr>
                <w:sz w:val="23"/>
                <w:szCs w:val="23"/>
                <w:color w:val="auto"/>
              </w:rPr>
            </w:pPr>
          </w:p>
        </w:tc>
        <w:tc>
          <w:tcPr>
            <w:tcW w:w="8500" w:type="dxa"/>
            <w:vAlign w:val="bottom"/>
            <w:gridSpan w:val="2"/>
          </w:tcPr>
          <w:p>
            <w:pPr>
              <w:ind w:left="1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Statements of Stockholders' Equity</w:t>
              </w:r>
            </w:hyperlink>
          </w:p>
        </w:tc>
        <w:tc>
          <w:tcPr>
            <w:tcW w:w="1700" w:type="dxa"/>
            <w:vAlign w:val="bottom"/>
            <w:gridSpan w:val="2"/>
          </w:tcPr>
          <w:p>
            <w:pPr>
              <w:ind w:left="12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6</w:t>
              </w:r>
            </w:hyperlink>
          </w:p>
        </w:tc>
      </w:tr>
      <w:tr>
        <w:trPr>
          <w:trHeight w:val="270"/>
        </w:trPr>
        <w:tc>
          <w:tcPr>
            <w:tcW w:w="780" w:type="dxa"/>
            <w:vAlign w:val="bottom"/>
          </w:tcPr>
          <w:p>
            <w:pPr>
              <w:spacing w:after="0"/>
              <w:rPr>
                <w:sz w:val="23"/>
                <w:szCs w:val="23"/>
                <w:color w:val="auto"/>
              </w:rPr>
            </w:pPr>
          </w:p>
        </w:tc>
        <w:tc>
          <w:tcPr>
            <w:tcW w:w="8500" w:type="dxa"/>
            <w:vAlign w:val="bottom"/>
            <w:gridSpan w:val="2"/>
          </w:tcPr>
          <w:p>
            <w:pPr>
              <w:ind w:left="1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Statements of Cash Flows</w:t>
              </w:r>
            </w:hyperlink>
          </w:p>
        </w:tc>
        <w:tc>
          <w:tcPr>
            <w:tcW w:w="1700" w:type="dxa"/>
            <w:vAlign w:val="bottom"/>
            <w:gridSpan w:val="2"/>
          </w:tcPr>
          <w:p>
            <w:pPr>
              <w:ind w:left="12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7</w:t>
              </w:r>
            </w:hyperlink>
          </w:p>
        </w:tc>
      </w:tr>
      <w:tr>
        <w:trPr>
          <w:trHeight w:val="270"/>
        </w:trPr>
        <w:tc>
          <w:tcPr>
            <w:tcW w:w="780" w:type="dxa"/>
            <w:vAlign w:val="bottom"/>
          </w:tcPr>
          <w:p>
            <w:pPr>
              <w:spacing w:after="0"/>
              <w:rPr>
                <w:sz w:val="23"/>
                <w:szCs w:val="23"/>
                <w:color w:val="auto"/>
              </w:rPr>
            </w:pPr>
          </w:p>
        </w:tc>
        <w:tc>
          <w:tcPr>
            <w:tcW w:w="8500" w:type="dxa"/>
            <w:vAlign w:val="bottom"/>
            <w:gridSpan w:val="2"/>
          </w:tcPr>
          <w:p>
            <w:pPr>
              <w:ind w:left="1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Consolidated Financial Statements</w:t>
              </w:r>
            </w:hyperlink>
          </w:p>
        </w:tc>
        <w:tc>
          <w:tcPr>
            <w:tcW w:w="1700" w:type="dxa"/>
            <w:vAlign w:val="bottom"/>
            <w:gridSpan w:val="2"/>
          </w:tcPr>
          <w:p>
            <w:pPr>
              <w:ind w:left="12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8</w:t>
              </w:r>
            </w:hyperlink>
          </w:p>
        </w:tc>
      </w:tr>
      <w:tr>
        <w:trPr>
          <w:trHeight w:val="270"/>
        </w:trPr>
        <w:tc>
          <w:tcPr>
            <w:tcW w:w="780" w:type="dxa"/>
            <w:vAlign w:val="bottom"/>
          </w:tcPr>
          <w:p>
            <w:pPr>
              <w:spacing w:after="0"/>
              <w:rPr>
                <w:sz w:val="23"/>
                <w:szCs w:val="23"/>
                <w:color w:val="auto"/>
              </w:rPr>
            </w:pPr>
          </w:p>
        </w:tc>
        <w:tc>
          <w:tcPr>
            <w:tcW w:w="540" w:type="dxa"/>
            <w:vAlign w:val="bottom"/>
          </w:tcPr>
          <w:p>
            <w:pPr>
              <w:ind w:left="36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1.</w:t>
              </w:r>
            </w:hyperlink>
          </w:p>
        </w:tc>
        <w:tc>
          <w:tcPr>
            <w:tcW w:w="7960" w:type="dxa"/>
            <w:vAlign w:val="bottom"/>
          </w:tcPr>
          <w:p>
            <w:pPr>
              <w:ind w:left="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Business and Summary of Significant Accounting Policies</w:t>
              </w:r>
            </w:hyperlink>
          </w:p>
        </w:tc>
        <w:tc>
          <w:tcPr>
            <w:tcW w:w="1700" w:type="dxa"/>
            <w:vAlign w:val="bottom"/>
            <w:gridSpan w:val="2"/>
          </w:tcPr>
          <w:p>
            <w:pPr>
              <w:ind w:left="12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8</w:t>
              </w:r>
            </w:hyperlink>
          </w:p>
        </w:tc>
      </w:tr>
      <w:tr>
        <w:trPr>
          <w:trHeight w:val="270"/>
        </w:trPr>
        <w:tc>
          <w:tcPr>
            <w:tcW w:w="780" w:type="dxa"/>
            <w:vAlign w:val="bottom"/>
          </w:tcPr>
          <w:p>
            <w:pPr>
              <w:spacing w:after="0"/>
              <w:rPr>
                <w:sz w:val="23"/>
                <w:szCs w:val="23"/>
                <w:color w:val="auto"/>
              </w:rPr>
            </w:pPr>
          </w:p>
        </w:tc>
        <w:tc>
          <w:tcPr>
            <w:tcW w:w="540" w:type="dxa"/>
            <w:vAlign w:val="bottom"/>
          </w:tcPr>
          <w:p>
            <w:pPr>
              <w:ind w:left="36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2.</w:t>
              </w:r>
            </w:hyperlink>
          </w:p>
        </w:tc>
        <w:tc>
          <w:tcPr>
            <w:tcW w:w="7960" w:type="dxa"/>
            <w:vAlign w:val="bottom"/>
          </w:tcPr>
          <w:p>
            <w:pPr>
              <w:ind w:left="2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Revenue Recognition</w:t>
              </w:r>
            </w:hyperlink>
          </w:p>
        </w:tc>
        <w:tc>
          <w:tcPr>
            <w:tcW w:w="1700" w:type="dxa"/>
            <w:vAlign w:val="bottom"/>
            <w:gridSpan w:val="2"/>
          </w:tcPr>
          <w:p>
            <w:pPr>
              <w:ind w:left="128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9</w:t>
              </w:r>
            </w:hyperlink>
          </w:p>
        </w:tc>
      </w:tr>
      <w:tr>
        <w:trPr>
          <w:trHeight w:val="270"/>
        </w:trPr>
        <w:tc>
          <w:tcPr>
            <w:tcW w:w="780" w:type="dxa"/>
            <w:vAlign w:val="bottom"/>
          </w:tcPr>
          <w:p>
            <w:pPr>
              <w:spacing w:after="0"/>
              <w:rPr>
                <w:sz w:val="23"/>
                <w:szCs w:val="23"/>
                <w:color w:val="auto"/>
              </w:rPr>
            </w:pPr>
          </w:p>
        </w:tc>
        <w:tc>
          <w:tcPr>
            <w:tcW w:w="540" w:type="dxa"/>
            <w:vAlign w:val="bottom"/>
          </w:tcPr>
          <w:p>
            <w:pPr>
              <w:ind w:left="3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3.</w:t>
              </w:r>
            </w:hyperlink>
          </w:p>
        </w:tc>
        <w:tc>
          <w:tcPr>
            <w:tcW w:w="7960" w:type="dxa"/>
            <w:vAlign w:val="bottom"/>
          </w:tcPr>
          <w:p>
            <w:pPr>
              <w:ind w:left="2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Cash and Cash Equivalents and Short-Term Investments</w:t>
              </w:r>
            </w:hyperlink>
          </w:p>
        </w:tc>
        <w:tc>
          <w:tcPr>
            <w:tcW w:w="1700" w:type="dxa"/>
            <w:vAlign w:val="bottom"/>
            <w:gridSpan w:val="2"/>
          </w:tcPr>
          <w:p>
            <w:pPr>
              <w:ind w:left="128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10</w:t>
              </w:r>
            </w:hyperlink>
          </w:p>
        </w:tc>
      </w:tr>
      <w:tr>
        <w:trPr>
          <w:trHeight w:val="270"/>
        </w:trPr>
        <w:tc>
          <w:tcPr>
            <w:tcW w:w="780" w:type="dxa"/>
            <w:vAlign w:val="bottom"/>
          </w:tcPr>
          <w:p>
            <w:pPr>
              <w:spacing w:after="0"/>
              <w:rPr>
                <w:sz w:val="23"/>
                <w:szCs w:val="23"/>
                <w:color w:val="auto"/>
              </w:rPr>
            </w:pPr>
          </w:p>
        </w:tc>
        <w:tc>
          <w:tcPr>
            <w:tcW w:w="540" w:type="dxa"/>
            <w:vAlign w:val="bottom"/>
          </w:tcPr>
          <w:p>
            <w:pPr>
              <w:ind w:left="3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4.</w:t>
              </w:r>
            </w:hyperlink>
          </w:p>
        </w:tc>
        <w:tc>
          <w:tcPr>
            <w:tcW w:w="7960" w:type="dxa"/>
            <w:vAlign w:val="bottom"/>
          </w:tcPr>
          <w:p>
            <w:pPr>
              <w:ind w:left="2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Fair Value Measurements</w:t>
              </w:r>
            </w:hyperlink>
          </w:p>
        </w:tc>
        <w:tc>
          <w:tcPr>
            <w:tcW w:w="1700" w:type="dxa"/>
            <w:vAlign w:val="bottom"/>
            <w:gridSpan w:val="2"/>
          </w:tcPr>
          <w:p>
            <w:pPr>
              <w:ind w:left="128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10</w:t>
              </w:r>
            </w:hyperlink>
          </w:p>
        </w:tc>
      </w:tr>
      <w:tr>
        <w:trPr>
          <w:trHeight w:val="270"/>
        </w:trPr>
        <w:tc>
          <w:tcPr>
            <w:tcW w:w="780" w:type="dxa"/>
            <w:vAlign w:val="bottom"/>
          </w:tcPr>
          <w:p>
            <w:pPr>
              <w:spacing w:after="0"/>
              <w:rPr>
                <w:sz w:val="23"/>
                <w:szCs w:val="23"/>
                <w:color w:val="auto"/>
              </w:rPr>
            </w:pPr>
          </w:p>
        </w:tc>
        <w:tc>
          <w:tcPr>
            <w:tcW w:w="540" w:type="dxa"/>
            <w:vAlign w:val="bottom"/>
          </w:tcPr>
          <w:p>
            <w:pPr>
              <w:ind w:left="3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5.</w:t>
              </w:r>
            </w:hyperlink>
          </w:p>
        </w:tc>
        <w:tc>
          <w:tcPr>
            <w:tcW w:w="7960" w:type="dxa"/>
            <w:vAlign w:val="bottom"/>
          </w:tcPr>
          <w:p>
            <w:pPr>
              <w:ind w:left="2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Property and Equipment, Net</w:t>
              </w:r>
            </w:hyperlink>
          </w:p>
        </w:tc>
        <w:tc>
          <w:tcPr>
            <w:tcW w:w="1700" w:type="dxa"/>
            <w:vAlign w:val="bottom"/>
            <w:gridSpan w:val="2"/>
          </w:tcPr>
          <w:p>
            <w:pPr>
              <w:ind w:left="128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12</w:t>
              </w:r>
            </w:hyperlink>
          </w:p>
        </w:tc>
      </w:tr>
      <w:tr>
        <w:trPr>
          <w:trHeight w:val="270"/>
        </w:trPr>
        <w:tc>
          <w:tcPr>
            <w:tcW w:w="780" w:type="dxa"/>
            <w:vAlign w:val="bottom"/>
          </w:tcPr>
          <w:p>
            <w:pPr>
              <w:spacing w:after="0"/>
              <w:rPr>
                <w:sz w:val="23"/>
                <w:szCs w:val="23"/>
                <w:color w:val="auto"/>
              </w:rPr>
            </w:pPr>
          </w:p>
        </w:tc>
        <w:tc>
          <w:tcPr>
            <w:tcW w:w="540" w:type="dxa"/>
            <w:vAlign w:val="bottom"/>
          </w:tcPr>
          <w:p>
            <w:pPr>
              <w:ind w:left="3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6.</w:t>
              </w:r>
            </w:hyperlink>
          </w:p>
        </w:tc>
        <w:tc>
          <w:tcPr>
            <w:tcW w:w="7960" w:type="dxa"/>
            <w:vAlign w:val="bottom"/>
          </w:tcPr>
          <w:p>
            <w:pPr>
              <w:ind w:left="2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Goodwill and Acquired Intangible Assets</w:t>
              </w:r>
            </w:hyperlink>
          </w:p>
        </w:tc>
        <w:tc>
          <w:tcPr>
            <w:tcW w:w="1700" w:type="dxa"/>
            <w:vAlign w:val="bottom"/>
            <w:gridSpan w:val="2"/>
          </w:tcPr>
          <w:p>
            <w:pPr>
              <w:ind w:left="128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12</w:t>
              </w:r>
            </w:hyperlink>
          </w:p>
        </w:tc>
      </w:tr>
      <w:tr>
        <w:trPr>
          <w:trHeight w:val="270"/>
        </w:trPr>
        <w:tc>
          <w:tcPr>
            <w:tcW w:w="780" w:type="dxa"/>
            <w:vAlign w:val="bottom"/>
          </w:tcPr>
          <w:p>
            <w:pPr>
              <w:spacing w:after="0"/>
              <w:rPr>
                <w:sz w:val="23"/>
                <w:szCs w:val="23"/>
                <w:color w:val="auto"/>
              </w:rPr>
            </w:pPr>
          </w:p>
        </w:tc>
        <w:tc>
          <w:tcPr>
            <w:tcW w:w="540" w:type="dxa"/>
            <w:vAlign w:val="bottom"/>
          </w:tcPr>
          <w:p>
            <w:pPr>
              <w:ind w:left="36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7.</w:t>
              </w:r>
            </w:hyperlink>
          </w:p>
        </w:tc>
        <w:tc>
          <w:tcPr>
            <w:tcW w:w="7960" w:type="dxa"/>
            <w:vAlign w:val="bottom"/>
          </w:tcPr>
          <w:p>
            <w:pPr>
              <w:ind w:left="2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Leases</w:t>
              </w:r>
            </w:hyperlink>
          </w:p>
        </w:tc>
        <w:tc>
          <w:tcPr>
            <w:tcW w:w="1700" w:type="dxa"/>
            <w:vAlign w:val="bottom"/>
            <w:gridSpan w:val="2"/>
          </w:tcPr>
          <w:p>
            <w:pPr>
              <w:ind w:left="128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13</w:t>
              </w:r>
            </w:hyperlink>
          </w:p>
        </w:tc>
      </w:tr>
      <w:tr>
        <w:trPr>
          <w:trHeight w:val="270"/>
        </w:trPr>
        <w:tc>
          <w:tcPr>
            <w:tcW w:w="780" w:type="dxa"/>
            <w:vAlign w:val="bottom"/>
          </w:tcPr>
          <w:p>
            <w:pPr>
              <w:spacing w:after="0"/>
              <w:rPr>
                <w:sz w:val="23"/>
                <w:szCs w:val="23"/>
                <w:color w:val="auto"/>
              </w:rPr>
            </w:pPr>
          </w:p>
        </w:tc>
        <w:tc>
          <w:tcPr>
            <w:tcW w:w="540" w:type="dxa"/>
            <w:vAlign w:val="bottom"/>
          </w:tcPr>
          <w:p>
            <w:pPr>
              <w:ind w:left="36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8.</w:t>
              </w:r>
            </w:hyperlink>
          </w:p>
        </w:tc>
        <w:tc>
          <w:tcPr>
            <w:tcW w:w="7960" w:type="dxa"/>
            <w:vAlign w:val="bottom"/>
          </w:tcPr>
          <w:p>
            <w:pPr>
              <w:ind w:left="2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Debt</w:t>
              </w:r>
            </w:hyperlink>
          </w:p>
        </w:tc>
        <w:tc>
          <w:tcPr>
            <w:tcW w:w="1700" w:type="dxa"/>
            <w:vAlign w:val="bottom"/>
            <w:gridSpan w:val="2"/>
          </w:tcPr>
          <w:p>
            <w:pPr>
              <w:ind w:left="128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13</w:t>
              </w:r>
            </w:hyperlink>
          </w:p>
        </w:tc>
      </w:tr>
      <w:tr>
        <w:trPr>
          <w:trHeight w:val="270"/>
        </w:trPr>
        <w:tc>
          <w:tcPr>
            <w:tcW w:w="780" w:type="dxa"/>
            <w:vAlign w:val="bottom"/>
          </w:tcPr>
          <w:p>
            <w:pPr>
              <w:spacing w:after="0"/>
              <w:rPr>
                <w:sz w:val="23"/>
                <w:szCs w:val="23"/>
                <w:color w:val="auto"/>
              </w:rPr>
            </w:pPr>
          </w:p>
        </w:tc>
        <w:tc>
          <w:tcPr>
            <w:tcW w:w="540" w:type="dxa"/>
            <w:vAlign w:val="bottom"/>
          </w:tcPr>
          <w:p>
            <w:pPr>
              <w:ind w:left="36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9.</w:t>
              </w:r>
            </w:hyperlink>
          </w:p>
        </w:tc>
        <w:tc>
          <w:tcPr>
            <w:tcW w:w="7960" w:type="dxa"/>
            <w:vAlign w:val="bottom"/>
          </w:tcPr>
          <w:p>
            <w:pPr>
              <w:ind w:left="2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Stock-Based Compensation</w:t>
              </w:r>
            </w:hyperlink>
          </w:p>
        </w:tc>
        <w:tc>
          <w:tcPr>
            <w:tcW w:w="1700" w:type="dxa"/>
            <w:vAlign w:val="bottom"/>
            <w:gridSpan w:val="2"/>
          </w:tcPr>
          <w:p>
            <w:pPr>
              <w:ind w:left="128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14</w:t>
              </w:r>
            </w:hyperlink>
          </w:p>
        </w:tc>
      </w:tr>
      <w:tr>
        <w:trPr>
          <w:trHeight w:val="270"/>
        </w:trPr>
        <w:tc>
          <w:tcPr>
            <w:tcW w:w="780" w:type="dxa"/>
            <w:vAlign w:val="bottom"/>
          </w:tcPr>
          <w:p>
            <w:pPr>
              <w:spacing w:after="0"/>
              <w:rPr>
                <w:sz w:val="23"/>
                <w:szCs w:val="23"/>
                <w:color w:val="auto"/>
              </w:rPr>
            </w:pPr>
          </w:p>
        </w:tc>
        <w:tc>
          <w:tcPr>
            <w:tcW w:w="8500" w:type="dxa"/>
            <w:vAlign w:val="bottom"/>
            <w:gridSpan w:val="2"/>
          </w:tcPr>
          <w:p>
            <w:pPr>
              <w:ind w:left="36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10. Net Loss Per Share</w:t>
              </w:r>
            </w:hyperlink>
          </w:p>
        </w:tc>
        <w:tc>
          <w:tcPr>
            <w:tcW w:w="1700" w:type="dxa"/>
            <w:vAlign w:val="bottom"/>
            <w:gridSpan w:val="2"/>
          </w:tcPr>
          <w:p>
            <w:pPr>
              <w:ind w:left="128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15</w:t>
              </w:r>
            </w:hyperlink>
          </w:p>
        </w:tc>
      </w:tr>
      <w:tr>
        <w:trPr>
          <w:trHeight w:val="270"/>
        </w:trPr>
        <w:tc>
          <w:tcPr>
            <w:tcW w:w="780" w:type="dxa"/>
            <w:vAlign w:val="bottom"/>
          </w:tcPr>
          <w:p>
            <w:pPr>
              <w:spacing w:after="0"/>
              <w:rPr>
                <w:sz w:val="23"/>
                <w:szCs w:val="23"/>
                <w:color w:val="auto"/>
              </w:rPr>
            </w:pPr>
          </w:p>
        </w:tc>
        <w:tc>
          <w:tcPr>
            <w:tcW w:w="8500" w:type="dxa"/>
            <w:vAlign w:val="bottom"/>
            <w:gridSpan w:val="2"/>
          </w:tcPr>
          <w:p>
            <w:pPr>
              <w:ind w:left="36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11. Geographic Information</w:t>
              </w:r>
            </w:hyperlink>
          </w:p>
        </w:tc>
        <w:tc>
          <w:tcPr>
            <w:tcW w:w="1700" w:type="dxa"/>
            <w:vAlign w:val="bottom"/>
            <w:gridSpan w:val="2"/>
          </w:tcPr>
          <w:p>
            <w:pPr>
              <w:ind w:left="128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16</w:t>
              </w:r>
            </w:hyperlink>
          </w:p>
        </w:tc>
      </w:tr>
      <w:tr>
        <w:trPr>
          <w:trHeight w:val="581"/>
        </w:trPr>
        <w:tc>
          <w:tcPr>
            <w:tcW w:w="780" w:type="dxa"/>
            <w:vAlign w:val="bottom"/>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Item 2.</w:t>
              </w:r>
            </w:hyperlink>
          </w:p>
        </w:tc>
        <w:tc>
          <w:tcPr>
            <w:tcW w:w="8500" w:type="dxa"/>
            <w:vAlign w:val="bottom"/>
            <w:gridSpan w:val="2"/>
          </w:tcPr>
          <w:p>
            <w:pPr>
              <w:ind w:left="12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Management’s Discussion and Analysis of Financial Condition and Results of Operations</w:t>
              </w:r>
            </w:hyperlink>
          </w:p>
        </w:tc>
        <w:tc>
          <w:tcPr>
            <w:tcW w:w="1700" w:type="dxa"/>
            <w:vAlign w:val="bottom"/>
            <w:gridSpan w:val="2"/>
          </w:tcPr>
          <w:p>
            <w:pPr>
              <w:ind w:left="128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17</w:t>
              </w:r>
            </w:hyperlink>
          </w:p>
        </w:tc>
      </w:tr>
      <w:tr>
        <w:trPr>
          <w:trHeight w:val="256"/>
        </w:trPr>
        <w:tc>
          <w:tcPr>
            <w:tcW w:w="780" w:type="dxa"/>
            <w:vAlign w:val="bottom"/>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Item 3.</w:t>
              </w:r>
            </w:hyperlink>
          </w:p>
        </w:tc>
        <w:tc>
          <w:tcPr>
            <w:tcW w:w="8500" w:type="dxa"/>
            <w:vAlign w:val="bottom"/>
            <w:gridSpan w:val="2"/>
          </w:tcPr>
          <w:p>
            <w:pPr>
              <w:ind w:left="12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Quantitative and Qualitative Disclosures About Market Risk</w:t>
              </w:r>
            </w:hyperlink>
          </w:p>
        </w:tc>
        <w:tc>
          <w:tcPr>
            <w:tcW w:w="1700" w:type="dxa"/>
            <w:vAlign w:val="bottom"/>
            <w:gridSpan w:val="2"/>
          </w:tcPr>
          <w:p>
            <w:pPr>
              <w:ind w:left="128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31</w:t>
              </w:r>
            </w:hyperlink>
          </w:p>
        </w:tc>
      </w:tr>
      <w:tr>
        <w:trPr>
          <w:trHeight w:val="257"/>
        </w:trPr>
        <w:tc>
          <w:tcPr>
            <w:tcW w:w="780" w:type="dxa"/>
            <w:vAlign w:val="bottom"/>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Item 4.</w:t>
              </w:r>
            </w:hyperlink>
          </w:p>
        </w:tc>
        <w:tc>
          <w:tcPr>
            <w:tcW w:w="8500" w:type="dxa"/>
            <w:vAlign w:val="bottom"/>
            <w:gridSpan w:val="2"/>
          </w:tcPr>
          <w:p>
            <w:pPr>
              <w:ind w:left="12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Controls and Procedures</w:t>
              </w:r>
            </w:hyperlink>
          </w:p>
        </w:tc>
        <w:tc>
          <w:tcPr>
            <w:tcW w:w="1700" w:type="dxa"/>
            <w:vAlign w:val="bottom"/>
            <w:gridSpan w:val="2"/>
          </w:tcPr>
          <w:p>
            <w:pPr>
              <w:ind w:left="128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31</w:t>
              </w:r>
            </w:hyperlink>
          </w:p>
        </w:tc>
      </w:tr>
      <w:tr>
        <w:trPr>
          <w:trHeight w:val="257"/>
        </w:trPr>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960" w:type="dxa"/>
            <w:vAlign w:val="bottom"/>
          </w:tcPr>
          <w:p>
            <w:pPr>
              <w:ind w:left="2960"/>
              <w:spacing w:after="0"/>
              <w:rPr>
                <w:rFonts w:ascii="Arial" w:cs="Arial" w:eastAsia="Arial" w:hAnsi="Arial"/>
                <w:sz w:val="18"/>
                <w:szCs w:val="18"/>
                <w:b w:val="1"/>
                <w:bCs w:val="1"/>
                <w:u w:val="single" w:color="auto"/>
                <w:color w:val="0000EE"/>
              </w:rPr>
            </w:pPr>
            <w:hyperlink w:anchor="page33">
              <w:r>
                <w:rPr>
                  <w:rFonts w:ascii="Arial" w:cs="Arial" w:eastAsia="Arial" w:hAnsi="Arial"/>
                  <w:sz w:val="18"/>
                  <w:szCs w:val="18"/>
                  <w:b w:val="1"/>
                  <w:bCs w:val="1"/>
                  <w:u w:val="single" w:color="auto"/>
                  <w:color w:val="0000EE"/>
                </w:rPr>
                <w:t>PART II – OTHER INFORMATION</w:t>
              </w:r>
            </w:hyperlink>
          </w:p>
        </w:tc>
        <w:tc>
          <w:tcPr>
            <w:tcW w:w="128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6"/>
        </w:trPr>
        <w:tc>
          <w:tcPr>
            <w:tcW w:w="780" w:type="dxa"/>
            <w:vAlign w:val="bottom"/>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1.</w:t>
              </w:r>
            </w:hyperlink>
          </w:p>
        </w:tc>
        <w:tc>
          <w:tcPr>
            <w:tcW w:w="8500" w:type="dxa"/>
            <w:vAlign w:val="bottom"/>
            <w:gridSpan w:val="2"/>
          </w:tcPr>
          <w:p>
            <w:pPr>
              <w:ind w:left="12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Legal Proceedings</w:t>
              </w:r>
            </w:hyperlink>
          </w:p>
        </w:tc>
        <w:tc>
          <w:tcPr>
            <w:tcW w:w="1700" w:type="dxa"/>
            <w:vAlign w:val="bottom"/>
            <w:gridSpan w:val="2"/>
          </w:tcPr>
          <w:p>
            <w:pPr>
              <w:ind w:left="128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33</w:t>
              </w:r>
            </w:hyperlink>
          </w:p>
        </w:tc>
      </w:tr>
      <w:tr>
        <w:trPr>
          <w:trHeight w:val="257"/>
        </w:trPr>
        <w:tc>
          <w:tcPr>
            <w:tcW w:w="780" w:type="dxa"/>
            <w:vAlign w:val="bottom"/>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1A.</w:t>
              </w:r>
            </w:hyperlink>
          </w:p>
        </w:tc>
        <w:tc>
          <w:tcPr>
            <w:tcW w:w="8500" w:type="dxa"/>
            <w:vAlign w:val="bottom"/>
            <w:gridSpan w:val="2"/>
          </w:tcPr>
          <w:p>
            <w:pPr>
              <w:ind w:left="12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Risk Factors</w:t>
              </w:r>
            </w:hyperlink>
          </w:p>
        </w:tc>
        <w:tc>
          <w:tcPr>
            <w:tcW w:w="1700" w:type="dxa"/>
            <w:vAlign w:val="bottom"/>
            <w:gridSpan w:val="2"/>
          </w:tcPr>
          <w:p>
            <w:pPr>
              <w:ind w:left="128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33</w:t>
              </w:r>
            </w:hyperlink>
          </w:p>
        </w:tc>
      </w:tr>
      <w:tr>
        <w:trPr>
          <w:trHeight w:val="256"/>
        </w:trPr>
        <w:tc>
          <w:tcPr>
            <w:tcW w:w="780" w:type="dxa"/>
            <w:vAlign w:val="bottom"/>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Item 2.</w:t>
              </w:r>
            </w:hyperlink>
          </w:p>
        </w:tc>
        <w:tc>
          <w:tcPr>
            <w:tcW w:w="8500" w:type="dxa"/>
            <w:vAlign w:val="bottom"/>
            <w:gridSpan w:val="2"/>
          </w:tcPr>
          <w:p>
            <w:pPr>
              <w:ind w:left="12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Unregistered Sales of Equity Securities and Use of Proceeds</w:t>
              </w:r>
            </w:hyperlink>
          </w:p>
        </w:tc>
        <w:tc>
          <w:tcPr>
            <w:tcW w:w="1700" w:type="dxa"/>
            <w:vAlign w:val="bottom"/>
            <w:gridSpan w:val="2"/>
          </w:tcPr>
          <w:p>
            <w:pPr>
              <w:ind w:left="128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57</w:t>
              </w:r>
            </w:hyperlink>
          </w:p>
        </w:tc>
      </w:tr>
      <w:tr>
        <w:trPr>
          <w:trHeight w:val="257"/>
        </w:trPr>
        <w:tc>
          <w:tcPr>
            <w:tcW w:w="780" w:type="dxa"/>
            <w:vAlign w:val="bottom"/>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Item 6.</w:t>
              </w:r>
            </w:hyperlink>
          </w:p>
        </w:tc>
        <w:tc>
          <w:tcPr>
            <w:tcW w:w="8500" w:type="dxa"/>
            <w:vAlign w:val="bottom"/>
            <w:gridSpan w:val="2"/>
          </w:tcPr>
          <w:p>
            <w:pPr>
              <w:ind w:left="12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Exhibits</w:t>
              </w:r>
            </w:hyperlink>
          </w:p>
        </w:tc>
        <w:tc>
          <w:tcPr>
            <w:tcW w:w="1700" w:type="dxa"/>
            <w:vAlign w:val="bottom"/>
            <w:gridSpan w:val="2"/>
          </w:tcPr>
          <w:p>
            <w:pPr>
              <w:ind w:left="128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59</w:t>
              </w:r>
            </w:hyperlink>
          </w:p>
        </w:tc>
      </w:tr>
      <w:tr>
        <w:trPr>
          <w:trHeight w:val="256"/>
        </w:trPr>
        <w:tc>
          <w:tcPr>
            <w:tcW w:w="780" w:type="dxa"/>
            <w:vAlign w:val="bottom"/>
          </w:tcPr>
          <w:p>
            <w:pPr>
              <w:spacing w:after="0"/>
              <w:rPr>
                <w:sz w:val="22"/>
                <w:szCs w:val="22"/>
                <w:color w:val="auto"/>
              </w:rPr>
            </w:pPr>
          </w:p>
        </w:tc>
        <w:tc>
          <w:tcPr>
            <w:tcW w:w="8500" w:type="dxa"/>
            <w:vAlign w:val="bottom"/>
            <w:gridSpan w:val="2"/>
          </w:tcPr>
          <w:p>
            <w:pPr>
              <w:ind w:left="12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Signatures</w:t>
              </w:r>
            </w:hyperlink>
          </w:p>
        </w:tc>
        <w:tc>
          <w:tcPr>
            <w:tcW w:w="1700" w:type="dxa"/>
            <w:vAlign w:val="bottom"/>
            <w:gridSpan w:val="2"/>
          </w:tcPr>
          <w:p>
            <w:pPr>
              <w:ind w:left="128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60</w:t>
              </w:r>
            </w:hyperlink>
          </w:p>
        </w:tc>
      </w:tr>
      <w:tr>
        <w:trPr>
          <w:trHeight w:val="662"/>
        </w:trPr>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960" w:type="dxa"/>
            <w:vAlign w:val="bottom"/>
          </w:tcPr>
          <w:p>
            <w:pPr>
              <w:jc w:val="center"/>
              <w:ind w:left="490"/>
              <w:spacing w:after="0"/>
              <w:rPr>
                <w:sz w:val="20"/>
                <w:szCs w:val="20"/>
                <w:color w:val="auto"/>
              </w:rPr>
            </w:pPr>
            <w:r>
              <w:rPr>
                <w:rFonts w:ascii="Arial" w:cs="Arial" w:eastAsia="Arial" w:hAnsi="Arial"/>
                <w:sz w:val="18"/>
                <w:szCs w:val="18"/>
                <w:color w:val="auto"/>
                <w:w w:val="99"/>
              </w:rPr>
              <w:t>2</w:t>
            </w: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0980"/>
          </w:cols>
          <w:pgMar w:left="360" w:top="333" w:right="5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00" w:type="dxa"/>
            <w:vAlign w:val="bottom"/>
            <w:gridSpan w:val="2"/>
          </w:tcPr>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432"/>
        </w:trPr>
        <w:tc>
          <w:tcPr>
            <w:tcW w:w="860" w:type="dxa"/>
            <w:vAlign w:val="bottom"/>
          </w:tcPr>
          <w:p>
            <w:pPr>
              <w:spacing w:after="0"/>
              <w:rPr>
                <w:sz w:val="24"/>
                <w:szCs w:val="24"/>
                <w:color w:val="auto"/>
              </w:rPr>
            </w:pPr>
          </w:p>
        </w:tc>
        <w:tc>
          <w:tcPr>
            <w:tcW w:w="7440" w:type="dxa"/>
            <w:vAlign w:val="bottom"/>
          </w:tcPr>
          <w:p>
            <w:pPr>
              <w:jc w:val="center"/>
              <w:ind w:left="1990"/>
              <w:spacing w:after="0"/>
              <w:rPr>
                <w:sz w:val="20"/>
                <w:szCs w:val="20"/>
                <w:color w:val="auto"/>
              </w:rPr>
            </w:pPr>
            <w:r>
              <w:rPr>
                <w:rFonts w:ascii="Arial" w:cs="Arial" w:eastAsia="Arial" w:hAnsi="Arial"/>
                <w:sz w:val="18"/>
                <w:szCs w:val="18"/>
                <w:b w:val="1"/>
                <w:bCs w:val="1"/>
                <w:color w:val="auto"/>
                <w:w w:val="99"/>
              </w:rPr>
              <w:t>PART I. FINANCIAL INFORMATION</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01"/>
        </w:trPr>
        <w:tc>
          <w:tcPr>
            <w:tcW w:w="8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440" w:type="dxa"/>
            <w:vAlign w:val="bottom"/>
          </w:tcPr>
          <w:p>
            <w:pPr>
              <w:ind w:left="120"/>
              <w:spacing w:after="0"/>
              <w:rPr>
                <w:sz w:val="20"/>
                <w:szCs w:val="20"/>
                <w:color w:val="auto"/>
              </w:rPr>
            </w:pPr>
            <w:r>
              <w:rPr>
                <w:rFonts w:ascii="Arial" w:cs="Arial" w:eastAsia="Arial" w:hAnsi="Arial"/>
                <w:sz w:val="18"/>
                <w:szCs w:val="18"/>
                <w:b w:val="1"/>
                <w:bCs w:val="1"/>
                <w:color w:val="auto"/>
              </w:rPr>
              <w:t>Financial Statements</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860" w:type="dxa"/>
            <w:vAlign w:val="bottom"/>
          </w:tcPr>
          <w:p>
            <w:pPr>
              <w:spacing w:after="0"/>
              <w:rPr>
                <w:sz w:val="18"/>
                <w:szCs w:val="18"/>
                <w:color w:val="auto"/>
              </w:rPr>
            </w:pPr>
          </w:p>
        </w:tc>
        <w:tc>
          <w:tcPr>
            <w:tcW w:w="7440" w:type="dxa"/>
            <w:vAlign w:val="bottom"/>
          </w:tcPr>
          <w:p>
            <w:pPr>
              <w:jc w:val="center"/>
              <w:ind w:left="1990"/>
              <w:spacing w:after="0"/>
              <w:rPr>
                <w:sz w:val="20"/>
                <w:szCs w:val="20"/>
                <w:color w:val="auto"/>
              </w:rPr>
            </w:pPr>
            <w:r>
              <w:rPr>
                <w:rFonts w:ascii="Arial" w:cs="Arial" w:eastAsia="Arial" w:hAnsi="Arial"/>
                <w:sz w:val="18"/>
                <w:szCs w:val="18"/>
                <w:b w:val="1"/>
                <w:bCs w:val="1"/>
                <w:color w:val="auto"/>
              </w:rPr>
              <w:t>TENABLE HOLDINGS, INC.</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9"/>
        </w:trPr>
        <w:tc>
          <w:tcPr>
            <w:tcW w:w="860" w:type="dxa"/>
            <w:vAlign w:val="bottom"/>
          </w:tcPr>
          <w:p>
            <w:pPr>
              <w:spacing w:after="0"/>
              <w:rPr>
                <w:sz w:val="20"/>
                <w:szCs w:val="20"/>
                <w:color w:val="auto"/>
              </w:rPr>
            </w:pPr>
          </w:p>
        </w:tc>
        <w:tc>
          <w:tcPr>
            <w:tcW w:w="7440" w:type="dxa"/>
            <w:vAlign w:val="bottom"/>
          </w:tcPr>
          <w:p>
            <w:pPr>
              <w:jc w:val="center"/>
              <w:ind w:left="1990"/>
              <w:spacing w:after="0"/>
              <w:rPr>
                <w:sz w:val="20"/>
                <w:szCs w:val="20"/>
                <w:color w:val="auto"/>
              </w:rPr>
            </w:pPr>
            <w:r>
              <w:rPr>
                <w:rFonts w:ascii="Arial" w:cs="Arial" w:eastAsia="Arial" w:hAnsi="Arial"/>
                <w:sz w:val="18"/>
                <w:szCs w:val="18"/>
                <w:b w:val="1"/>
                <w:bCs w:val="1"/>
                <w:color w:val="auto"/>
                <w:w w:val="99"/>
              </w:rPr>
              <w:t>CONSOLIDATED BALANCE SHEETS</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3"/>
        </w:trPr>
        <w:tc>
          <w:tcPr>
            <w:tcW w:w="86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71"/>
              <w:spacing w:after="0"/>
              <w:rPr>
                <w:sz w:val="20"/>
                <w:szCs w:val="20"/>
                <w:color w:val="auto"/>
              </w:rPr>
            </w:pPr>
            <w:r>
              <w:rPr>
                <w:rFonts w:ascii="Arial" w:cs="Arial" w:eastAsia="Arial" w:hAnsi="Arial"/>
                <w:sz w:val="16"/>
                <w:szCs w:val="16"/>
                <w:b w:val="1"/>
                <w:bCs w:val="1"/>
                <w:color w:val="auto"/>
                <w:w w:val="99"/>
              </w:rPr>
              <w:t>December 31,</w:t>
            </w:r>
          </w:p>
        </w:tc>
      </w:tr>
      <w:tr>
        <w:trPr>
          <w:trHeight w:val="228"/>
        </w:trPr>
        <w:tc>
          <w:tcPr>
            <w:tcW w:w="860" w:type="dxa"/>
            <w:vAlign w:val="bottom"/>
          </w:tcPr>
          <w:p>
            <w:pPr>
              <w:spacing w:after="0"/>
              <w:rPr>
                <w:sz w:val="19"/>
                <w:szCs w:val="19"/>
                <w:color w:val="auto"/>
              </w:rPr>
            </w:pPr>
          </w:p>
        </w:tc>
        <w:tc>
          <w:tcPr>
            <w:tcW w:w="7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51"/>
              <w:spacing w:after="0"/>
              <w:rPr>
                <w:sz w:val="20"/>
                <w:szCs w:val="20"/>
                <w:color w:val="auto"/>
              </w:rPr>
            </w:pPr>
            <w:r>
              <w:rPr>
                <w:rFonts w:ascii="Arial" w:cs="Arial" w:eastAsia="Arial" w:hAnsi="Arial"/>
                <w:sz w:val="16"/>
                <w:szCs w:val="16"/>
                <w:b w:val="1"/>
                <w:bCs w:val="1"/>
                <w:color w:val="auto"/>
              </w:rPr>
              <w:t>March 31, 2020</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r>
      <w:tr>
        <w:trPr>
          <w:trHeight w:val="260"/>
        </w:trPr>
        <w:tc>
          <w:tcPr>
            <w:tcW w:w="830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40" w:type="dxa"/>
            <w:vAlign w:val="bottom"/>
          </w:tcPr>
          <w:p>
            <w:pPr>
              <w:spacing w:after="0"/>
              <w:rPr>
                <w:sz w:val="22"/>
                <w:szCs w:val="22"/>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(unaudited)</w:t>
            </w: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8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7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3"/>
        </w:trPr>
        <w:tc>
          <w:tcPr>
            <w:tcW w:w="830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7"/>
        </w:trPr>
        <w:tc>
          <w:tcPr>
            <w:tcW w:w="8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107,769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74,363</w:t>
            </w:r>
          </w:p>
        </w:tc>
      </w:tr>
      <w:tr>
        <w:trPr>
          <w:trHeight w:val="263"/>
        </w:trPr>
        <w:tc>
          <w:tcPr>
            <w:tcW w:w="8300" w:type="dxa"/>
            <w:vAlign w:val="bottom"/>
            <w:gridSpan w:val="2"/>
          </w:tcPr>
          <w:p>
            <w:pPr>
              <w:ind w:left="18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118,924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137,904</w:t>
            </w:r>
          </w:p>
        </w:tc>
      </w:tr>
      <w:tr>
        <w:trPr>
          <w:trHeight w:val="235"/>
        </w:trPr>
        <w:tc>
          <w:tcPr>
            <w:tcW w:w="8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 for doubtful accounts of $399 and $764 at March 31, 2020 and</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83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December 31, 2019, respectively)</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74,378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94,827</w:t>
            </w:r>
          </w:p>
        </w:tc>
      </w:tr>
      <w:tr>
        <w:trPr>
          <w:trHeight w:val="263"/>
        </w:trPr>
        <w:tc>
          <w:tcPr>
            <w:tcW w:w="8300" w:type="dxa"/>
            <w:vAlign w:val="bottom"/>
            <w:gridSpan w:val="2"/>
          </w:tcPr>
          <w:p>
            <w:pPr>
              <w:ind w:left="180"/>
              <w:spacing w:after="0"/>
              <w:rPr>
                <w:sz w:val="20"/>
                <w:szCs w:val="20"/>
                <w:color w:val="auto"/>
              </w:rPr>
            </w:pPr>
            <w:r>
              <w:rPr>
                <w:rFonts w:ascii="Arial" w:cs="Arial" w:eastAsia="Arial" w:hAnsi="Arial"/>
                <w:sz w:val="18"/>
                <w:szCs w:val="18"/>
                <w:color w:val="auto"/>
              </w:rPr>
              <w:t>Deferred commissions</w:t>
            </w:r>
          </w:p>
        </w:tc>
        <w:tc>
          <w:tcPr>
            <w:tcW w:w="14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28,751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28,499</w:t>
            </w:r>
          </w:p>
        </w:tc>
      </w:tr>
      <w:tr>
        <w:trPr>
          <w:trHeight w:val="270"/>
        </w:trPr>
        <w:tc>
          <w:tcPr>
            <w:tcW w:w="8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25,632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27,369</w:t>
            </w:r>
          </w:p>
        </w:tc>
      </w:tr>
      <w:tr>
        <w:trPr>
          <w:trHeight w:val="250"/>
        </w:trPr>
        <w:tc>
          <w:tcPr>
            <w:tcW w:w="830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355,454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362,962</w:t>
            </w:r>
          </w:p>
        </w:tc>
      </w:tr>
      <w:tr>
        <w:trPr>
          <w:trHeight w:val="277"/>
        </w:trPr>
        <w:tc>
          <w:tcPr>
            <w:tcW w:w="8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30,534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26,847</w:t>
            </w:r>
          </w:p>
        </w:tc>
      </w:tr>
      <w:tr>
        <w:trPr>
          <w:trHeight w:val="263"/>
        </w:trPr>
        <w:tc>
          <w:tcPr>
            <w:tcW w:w="8300" w:type="dxa"/>
            <w:vAlign w:val="bottom"/>
            <w:gridSpan w:val="2"/>
          </w:tcPr>
          <w:p>
            <w:pPr>
              <w:ind w:left="40"/>
              <w:spacing w:after="0"/>
              <w:rPr>
                <w:sz w:val="20"/>
                <w:szCs w:val="20"/>
                <w:color w:val="auto"/>
              </w:rPr>
            </w:pPr>
            <w:r>
              <w:rPr>
                <w:rFonts w:ascii="Arial" w:cs="Arial" w:eastAsia="Arial" w:hAnsi="Arial"/>
                <w:sz w:val="18"/>
                <w:szCs w:val="18"/>
                <w:color w:val="auto"/>
              </w:rPr>
              <w:t>Deferred commissions (net of current portion)</w:t>
            </w:r>
          </w:p>
        </w:tc>
        <w:tc>
          <w:tcPr>
            <w:tcW w:w="14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41,991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43,766</w:t>
            </w:r>
          </w:p>
        </w:tc>
      </w:tr>
      <w:tr>
        <w:trPr>
          <w:trHeight w:val="277"/>
        </w:trPr>
        <w:tc>
          <w:tcPr>
            <w:tcW w:w="8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41,283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42,847</w:t>
            </w:r>
          </w:p>
        </w:tc>
      </w:tr>
      <w:tr>
        <w:trPr>
          <w:trHeight w:val="263"/>
        </w:trPr>
        <w:tc>
          <w:tcPr>
            <w:tcW w:w="8300" w:type="dxa"/>
            <w:vAlign w:val="bottom"/>
            <w:gridSpan w:val="2"/>
          </w:tcPr>
          <w:p>
            <w:pPr>
              <w:ind w:left="40"/>
              <w:spacing w:after="0"/>
              <w:rPr>
                <w:sz w:val="20"/>
                <w:szCs w:val="20"/>
                <w:color w:val="auto"/>
              </w:rPr>
            </w:pPr>
            <w:r>
              <w:rPr>
                <w:rFonts w:ascii="Arial" w:cs="Arial" w:eastAsia="Arial" w:hAnsi="Arial"/>
                <w:sz w:val="18"/>
                <w:szCs w:val="18"/>
                <w:color w:val="auto"/>
              </w:rPr>
              <w:t>Acquired intangible assets, net</w:t>
            </w:r>
          </w:p>
        </w:tc>
        <w:tc>
          <w:tcPr>
            <w:tcW w:w="14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14,929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15,508</w:t>
            </w:r>
          </w:p>
        </w:tc>
      </w:tr>
      <w:tr>
        <w:trPr>
          <w:trHeight w:val="277"/>
        </w:trPr>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7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54,138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54,138</w:t>
            </w:r>
          </w:p>
        </w:tc>
      </w:tr>
      <w:tr>
        <w:trPr>
          <w:trHeight w:val="263"/>
        </w:trPr>
        <w:tc>
          <w:tcPr>
            <w:tcW w:w="83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11,245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12,544</w:t>
            </w:r>
          </w:p>
        </w:tc>
      </w:tr>
      <w:tr>
        <w:trPr>
          <w:trHeight w:val="257"/>
        </w:trPr>
        <w:tc>
          <w:tcPr>
            <w:tcW w:w="8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549,574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558,612</w:t>
            </w:r>
          </w:p>
        </w:tc>
      </w:tr>
      <w:tr>
        <w:trPr>
          <w:trHeight w:val="20"/>
        </w:trPr>
        <w:tc>
          <w:tcPr>
            <w:tcW w:w="830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64"/>
        </w:trPr>
        <w:tc>
          <w:tcPr>
            <w:tcW w:w="860" w:type="dxa"/>
            <w:vAlign w:val="bottom"/>
          </w:tcPr>
          <w:p>
            <w:pPr>
              <w:spacing w:after="0"/>
              <w:rPr>
                <w:sz w:val="22"/>
                <w:szCs w:val="22"/>
                <w:color w:val="auto"/>
              </w:rPr>
            </w:pPr>
          </w:p>
        </w:tc>
        <w:tc>
          <w:tcPr>
            <w:tcW w:w="7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0"/>
        </w:trPr>
        <w:tc>
          <w:tcPr>
            <w:tcW w:w="830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3"/>
        </w:trPr>
        <w:tc>
          <w:tcPr>
            <w:tcW w:w="830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7"/>
        </w:trPr>
        <w:tc>
          <w:tcPr>
            <w:tcW w:w="8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4,404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1,732</w:t>
            </w:r>
          </w:p>
        </w:tc>
      </w:tr>
      <w:tr>
        <w:trPr>
          <w:trHeight w:val="263"/>
        </w:trPr>
        <w:tc>
          <w:tcPr>
            <w:tcW w:w="830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14,536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8,436</w:t>
            </w:r>
          </w:p>
        </w:tc>
      </w:tr>
      <w:tr>
        <w:trPr>
          <w:trHeight w:val="277"/>
        </w:trPr>
        <w:tc>
          <w:tcPr>
            <w:tcW w:w="8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compensation</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23,357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36,634</w:t>
            </w:r>
          </w:p>
        </w:tc>
      </w:tr>
      <w:tr>
        <w:trPr>
          <w:trHeight w:val="263"/>
        </w:trPr>
        <w:tc>
          <w:tcPr>
            <w:tcW w:w="8300" w:type="dxa"/>
            <w:vAlign w:val="bottom"/>
            <w:gridSpan w:val="2"/>
          </w:tcPr>
          <w:p>
            <w:pPr>
              <w:ind w:left="18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270,916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274,348</w:t>
            </w:r>
          </w:p>
        </w:tc>
      </w:tr>
      <w:tr>
        <w:trPr>
          <w:trHeight w:val="277"/>
        </w:trPr>
        <w:tc>
          <w:tcPr>
            <w:tcW w:w="8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lease liabilities</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4,866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5,209</w:t>
            </w:r>
          </w:p>
        </w:tc>
      </w:tr>
      <w:tr>
        <w:trPr>
          <w:trHeight w:val="264"/>
        </w:trPr>
        <w:tc>
          <w:tcPr>
            <w:tcW w:w="83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750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1,284</w:t>
            </w:r>
          </w:p>
        </w:tc>
      </w:tr>
      <w:tr>
        <w:trPr>
          <w:trHeight w:val="256"/>
        </w:trPr>
        <w:tc>
          <w:tcPr>
            <w:tcW w:w="8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318,829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327,643</w:t>
            </w:r>
          </w:p>
        </w:tc>
      </w:tr>
      <w:tr>
        <w:trPr>
          <w:trHeight w:val="263"/>
        </w:trPr>
        <w:tc>
          <w:tcPr>
            <w:tcW w:w="8300" w:type="dxa"/>
            <w:vAlign w:val="bottom"/>
            <w:gridSpan w:val="2"/>
          </w:tcPr>
          <w:p>
            <w:pPr>
              <w:ind w:left="40"/>
              <w:spacing w:after="0"/>
              <w:rPr>
                <w:sz w:val="20"/>
                <w:szCs w:val="20"/>
                <w:color w:val="auto"/>
              </w:rPr>
            </w:pPr>
            <w:r>
              <w:rPr>
                <w:rFonts w:ascii="Arial" w:cs="Arial" w:eastAsia="Arial" w:hAnsi="Arial"/>
                <w:sz w:val="18"/>
                <w:szCs w:val="18"/>
                <w:color w:val="auto"/>
              </w:rPr>
              <w:t>Deferred revenue (net of current portion)</w:t>
            </w:r>
          </w:p>
        </w:tc>
        <w:tc>
          <w:tcPr>
            <w:tcW w:w="14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87,175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88,779</w:t>
            </w:r>
          </w:p>
        </w:tc>
      </w:tr>
      <w:tr>
        <w:trPr>
          <w:trHeight w:val="277"/>
        </w:trPr>
        <w:tc>
          <w:tcPr>
            <w:tcW w:w="8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liabilities (net of current portion)</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40,301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40,663</w:t>
            </w:r>
          </w:p>
        </w:tc>
      </w:tr>
      <w:tr>
        <w:trPr>
          <w:trHeight w:val="263"/>
        </w:trPr>
        <w:tc>
          <w:tcPr>
            <w:tcW w:w="83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2,893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2,622</w:t>
            </w:r>
          </w:p>
        </w:tc>
      </w:tr>
      <w:tr>
        <w:trPr>
          <w:trHeight w:val="257"/>
        </w:trPr>
        <w:tc>
          <w:tcPr>
            <w:tcW w:w="8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449,198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459,707</w:t>
            </w:r>
          </w:p>
        </w:tc>
      </w:tr>
      <w:tr>
        <w:trPr>
          <w:trHeight w:val="283"/>
        </w:trPr>
        <w:tc>
          <w:tcPr>
            <w:tcW w:w="830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8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29"/>
        </w:trPr>
        <w:tc>
          <w:tcPr>
            <w:tcW w:w="8300" w:type="dxa"/>
            <w:vAlign w:val="bottom"/>
            <w:gridSpan w:val="2"/>
          </w:tcPr>
          <w:p>
            <w:pPr>
              <w:ind w:left="180"/>
              <w:spacing w:after="0"/>
              <w:rPr>
                <w:sz w:val="20"/>
                <w:szCs w:val="20"/>
                <w:color w:val="auto"/>
              </w:rPr>
            </w:pPr>
            <w:r>
              <w:rPr>
                <w:rFonts w:ascii="Arial" w:cs="Arial" w:eastAsia="Arial" w:hAnsi="Arial"/>
                <w:sz w:val="18"/>
                <w:szCs w:val="18"/>
                <w:color w:val="auto"/>
              </w:rPr>
              <w:t>Common stock (par value: $0.01; 500,000 shares authorized; 100,003 and 98,587 shares issued and</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4"/>
        </w:trPr>
        <w:tc>
          <w:tcPr>
            <w:tcW w:w="8300" w:type="dxa"/>
            <w:vAlign w:val="bottom"/>
            <w:gridSpan w:val="2"/>
          </w:tcPr>
          <w:p>
            <w:pPr>
              <w:ind w:left="260"/>
              <w:spacing w:after="0"/>
              <w:rPr>
                <w:sz w:val="20"/>
                <w:szCs w:val="20"/>
                <w:color w:val="auto"/>
              </w:rPr>
            </w:pPr>
            <w:r>
              <w:rPr>
                <w:rFonts w:ascii="Arial" w:cs="Arial" w:eastAsia="Arial" w:hAnsi="Arial"/>
                <w:sz w:val="18"/>
                <w:szCs w:val="18"/>
                <w:color w:val="auto"/>
              </w:rPr>
              <w:t>outstanding at March 31, 2020 and December 31, 2019, respectively)</w:t>
            </w:r>
          </w:p>
        </w:tc>
        <w:tc>
          <w:tcPr>
            <w:tcW w:w="140" w:type="dxa"/>
            <w:vAlign w:val="bottom"/>
          </w:tcPr>
          <w:p>
            <w:pPr>
              <w:spacing w:after="0"/>
              <w:rPr>
                <w:sz w:val="19"/>
                <w:szCs w:val="19"/>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986</w:t>
            </w:r>
          </w:p>
        </w:tc>
      </w:tr>
      <w:tr>
        <w:trPr>
          <w:trHeight w:val="277"/>
        </w:trPr>
        <w:tc>
          <w:tcPr>
            <w:tcW w:w="8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687,311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662,990</w:t>
            </w:r>
          </w:p>
        </w:tc>
      </w:tr>
      <w:tr>
        <w:trPr>
          <w:trHeight w:val="263"/>
        </w:trPr>
        <w:tc>
          <w:tcPr>
            <w:tcW w:w="8300" w:type="dxa"/>
            <w:vAlign w:val="bottom"/>
            <w:gridSpan w:val="2"/>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50</w:t>
            </w:r>
          </w:p>
        </w:tc>
      </w:tr>
      <w:tr>
        <w:trPr>
          <w:trHeight w:val="270"/>
        </w:trPr>
        <w:tc>
          <w:tcPr>
            <w:tcW w:w="8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(588,098)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(565,121)</w:t>
            </w:r>
          </w:p>
        </w:tc>
      </w:tr>
      <w:tr>
        <w:trPr>
          <w:trHeight w:val="250"/>
        </w:trPr>
        <w:tc>
          <w:tcPr>
            <w:tcW w:w="83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100,376</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98,905</w:t>
            </w:r>
          </w:p>
        </w:tc>
      </w:tr>
      <w:tr>
        <w:trPr>
          <w:trHeight w:val="256"/>
        </w:trPr>
        <w:tc>
          <w:tcPr>
            <w:tcW w:w="8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549,574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558,612</w:t>
            </w:r>
          </w:p>
        </w:tc>
      </w:tr>
      <w:tr>
        <w:trPr>
          <w:trHeight w:val="20"/>
        </w:trPr>
        <w:tc>
          <w:tcPr>
            <w:tcW w:w="86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240"/>
          </w:cols>
          <w:pgMar w:left="320" w:top="140"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140" w:right="339" w:bottom="1440" w:gutter="0" w:footer="0" w:header="0"/>
          <w:type w:val="continuous"/>
        </w:sectPr>
      </w:pPr>
    </w:p>
    <w:bookmarkStart w:id="3" w:name="page4"/>
    <w:bookmarkEnd w:id="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ind w:right="231"/>
              <w:spacing w:after="0"/>
              <w:rPr>
                <w:sz w:val="20"/>
                <w:szCs w:val="20"/>
                <w:color w:val="auto"/>
              </w:rPr>
            </w:pPr>
            <w:r>
              <w:rPr>
                <w:rFonts w:ascii="Arial" w:cs="Arial" w:eastAsia="Arial" w:hAnsi="Arial"/>
                <w:sz w:val="16"/>
                <w:szCs w:val="16"/>
                <w:b w:val="1"/>
                <w:bCs w:val="1"/>
                <w:color w:val="auto"/>
              </w:rPr>
              <w:t>Three Months Ended March 31,</w:t>
            </w:r>
          </w:p>
        </w:tc>
      </w:tr>
      <w:tr>
        <w:trPr>
          <w:trHeight w:val="263"/>
        </w:trPr>
        <w:tc>
          <w:tcPr>
            <w:tcW w:w="81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2019</w:t>
            </w:r>
          </w:p>
        </w:tc>
      </w:tr>
      <w:tr>
        <w:trPr>
          <w:trHeight w:val="257"/>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102,648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80,301</w:t>
            </w:r>
          </w:p>
        </w:tc>
      </w:tr>
      <w:tr>
        <w:trPr>
          <w:trHeight w:val="263"/>
        </w:trPr>
        <w:tc>
          <w:tcPr>
            <w:tcW w:w="8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revenue</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18,701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13,226</w:t>
            </w:r>
          </w:p>
        </w:tc>
      </w:tr>
      <w:tr>
        <w:trPr>
          <w:trHeight w:val="257"/>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83,947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67,075</w:t>
            </w:r>
          </w:p>
        </w:tc>
      </w:tr>
      <w:tr>
        <w:trPr>
          <w:trHeight w:val="263"/>
        </w:trPr>
        <w:tc>
          <w:tcPr>
            <w:tcW w:w="81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8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59,855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52,689</w:t>
            </w:r>
          </w:p>
        </w:tc>
      </w:tr>
      <w:tr>
        <w:trPr>
          <w:trHeight w:val="263"/>
        </w:trPr>
        <w:tc>
          <w:tcPr>
            <w:tcW w:w="818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26,831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21,935</w:t>
            </w:r>
          </w:p>
        </w:tc>
      </w:tr>
      <w:tr>
        <w:trPr>
          <w:trHeight w:val="270"/>
        </w:trPr>
        <w:tc>
          <w:tcPr>
            <w:tcW w:w="8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18,933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15,136</w:t>
            </w:r>
          </w:p>
        </w:tc>
      </w:tr>
      <w:tr>
        <w:trPr>
          <w:trHeight w:val="250"/>
        </w:trPr>
        <w:tc>
          <w:tcPr>
            <w:tcW w:w="8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105,619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89,760</w:t>
            </w:r>
          </w:p>
        </w:tc>
      </w:tr>
      <w:tr>
        <w:trPr>
          <w:trHeight w:val="257"/>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(22,685)</w:t>
            </w:r>
          </w:p>
        </w:tc>
      </w:tr>
      <w:tr>
        <w:trPr>
          <w:trHeight w:val="263"/>
        </w:trPr>
        <w:tc>
          <w:tcPr>
            <w:tcW w:w="8180" w:type="dxa"/>
            <w:vAlign w:val="bottom"/>
          </w:tcPr>
          <w:p>
            <w:pPr>
              <w:ind w:left="280"/>
              <w:spacing w:after="0"/>
              <w:rPr>
                <w:sz w:val="20"/>
                <w:szCs w:val="20"/>
                <w:color w:val="auto"/>
              </w:rPr>
            </w:pPr>
            <w:r>
              <w:rPr>
                <w:rFonts w:ascii="Arial" w:cs="Arial" w:eastAsia="Arial" w:hAnsi="Arial"/>
                <w:sz w:val="18"/>
                <w:szCs w:val="18"/>
                <w:color w:val="auto"/>
              </w:rPr>
              <w:t>Interest income, net</w:t>
            </w:r>
          </w:p>
        </w:tc>
        <w:tc>
          <w:tcPr>
            <w:tcW w:w="2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1,556</w:t>
            </w:r>
          </w:p>
        </w:tc>
      </w:tr>
      <w:tr>
        <w:trPr>
          <w:trHeight w:val="270"/>
        </w:trPr>
        <w:tc>
          <w:tcPr>
            <w:tcW w:w="8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expense, net</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50"/>
        </w:trPr>
        <w:tc>
          <w:tcPr>
            <w:tcW w:w="818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(21,898)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(21,343)</w:t>
            </w:r>
          </w:p>
        </w:tc>
      </w:tr>
      <w:tr>
        <w:trPr>
          <w:trHeight w:val="270"/>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1,079</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97</w:t>
            </w:r>
          </w:p>
        </w:tc>
      </w:tr>
      <w:tr>
        <w:trPr>
          <w:trHeight w:val="297"/>
        </w:trPr>
        <w:tc>
          <w:tcPr>
            <w:tcW w:w="8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(22,977)</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(21,440)</w:t>
            </w:r>
          </w:p>
        </w:tc>
      </w:tr>
      <w:tr>
        <w:trPr>
          <w:trHeight w:val="304"/>
        </w:trPr>
        <w:tc>
          <w:tcPr>
            <w:tcW w:w="8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97"/>
        </w:trPr>
        <w:tc>
          <w:tcPr>
            <w:tcW w:w="8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per share, basic and diluted</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r>
      <w:tr>
        <w:trPr>
          <w:trHeight w:val="237"/>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used to compute net loss per share, basic and diluted</w:t>
            </w:r>
          </w:p>
        </w:tc>
        <w:tc>
          <w:tcPr>
            <w:tcW w:w="2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98,855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93,738</w:t>
            </w:r>
          </w:p>
        </w:tc>
      </w:tr>
      <w:tr>
        <w:trPr>
          <w:trHeight w:val="20"/>
        </w:trPr>
        <w:tc>
          <w:tcPr>
            <w:tcW w:w="8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0" w:right="339" w:bottom="1440" w:gutter="0" w:footer="0" w:header="0"/>
        </w:sectPr>
      </w:pPr>
    </w:p>
    <w:bookmarkStart w:id="4" w:name="page5"/>
    <w:bookmarkEnd w:id="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63"/>
        </w:trPr>
        <w:tc>
          <w:tcPr>
            <w:tcW w:w="48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3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57"/>
        </w:trPr>
        <w:tc>
          <w:tcPr>
            <w:tcW w:w="4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(21,440)</w:t>
            </w:r>
          </w:p>
        </w:tc>
        <w:tc>
          <w:tcPr>
            <w:tcW w:w="0" w:type="dxa"/>
            <w:vAlign w:val="bottom"/>
          </w:tcPr>
          <w:p>
            <w:pPr>
              <w:spacing w:after="0"/>
              <w:rPr>
                <w:sz w:val="1"/>
                <w:szCs w:val="1"/>
                <w:color w:val="auto"/>
              </w:rPr>
            </w:pPr>
          </w:p>
        </w:tc>
      </w:tr>
      <w:tr>
        <w:trPr>
          <w:trHeight w:val="263"/>
        </w:trPr>
        <w:tc>
          <w:tcPr>
            <w:tcW w:w="484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3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Unrealized gains on available-for-sale securities</w:t>
            </w:r>
          </w:p>
        </w:tc>
        <w:tc>
          <w:tcPr>
            <w:tcW w:w="33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50"/>
        </w:trPr>
        <w:tc>
          <w:tcPr>
            <w:tcW w:w="48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comprehensive income</w:t>
            </w:r>
          </w:p>
        </w:tc>
        <w:tc>
          <w:tcPr>
            <w:tcW w:w="33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57"/>
        </w:trPr>
        <w:tc>
          <w:tcPr>
            <w:tcW w:w="4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3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(21,419)</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bottom w:val="single" w:sz="8" w:color="CCEEFF"/>
            </w:tcBorders>
            <w:vMerge w:val="restart"/>
          </w:tcPr>
          <w:p>
            <w:pPr>
              <w:jc w:val="right"/>
              <w:ind w:right="2410"/>
              <w:spacing w:after="0"/>
              <w:rPr>
                <w:sz w:val="20"/>
                <w:szCs w:val="20"/>
                <w:color w:val="auto"/>
              </w:rPr>
            </w:pPr>
            <w:r>
              <w:rPr>
                <w:rFonts w:ascii="Arial" w:cs="Arial" w:eastAsia="Arial" w:hAnsi="Arial"/>
                <w:sz w:val="18"/>
                <w:szCs w:val="18"/>
                <w:color w:val="auto"/>
              </w:rPr>
              <w:t>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84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1440" w:gutter="0" w:footer="0" w:header="0"/>
        </w:sectPr>
      </w:pPr>
    </w:p>
    <w:bookmarkStart w:id="5" w:name="page6"/>
    <w:bookmarkEnd w:id="5"/>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20" w:type="dxa"/>
            <w:vAlign w:val="bottom"/>
          </w:tcPr>
          <w:p>
            <w:pPr>
              <w:spacing w:after="0"/>
              <w:rPr>
                <w:sz w:val="16"/>
                <w:szCs w:val="16"/>
                <w:color w:val="auto"/>
              </w:rPr>
            </w:pPr>
          </w:p>
        </w:tc>
        <w:tc>
          <w:tcPr>
            <w:tcW w:w="2500" w:type="dxa"/>
            <w:vAlign w:val="bottom"/>
            <w:gridSpan w:val="5"/>
            <w:vMerge w:val="restart"/>
          </w:tcPr>
          <w:p>
            <w:pPr>
              <w:ind w:left="620"/>
              <w:spacing w:after="0"/>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Additional</w:t>
            </w: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33"/>
        </w:trPr>
        <w:tc>
          <w:tcPr>
            <w:tcW w:w="2820" w:type="dxa"/>
            <w:vAlign w:val="bottom"/>
          </w:tcPr>
          <w:p>
            <w:pPr>
              <w:spacing w:after="0"/>
              <w:rPr>
                <w:sz w:val="11"/>
                <w:szCs w:val="11"/>
                <w:color w:val="auto"/>
              </w:rPr>
            </w:pPr>
          </w:p>
        </w:tc>
        <w:tc>
          <w:tcPr>
            <w:tcW w:w="2500" w:type="dxa"/>
            <w:vAlign w:val="bottom"/>
            <w:gridSpan w:val="5"/>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Paid-in</w:t>
            </w:r>
          </w:p>
        </w:tc>
        <w:tc>
          <w:tcPr>
            <w:tcW w:w="160" w:type="dxa"/>
            <w:vAlign w:val="bottom"/>
          </w:tcPr>
          <w:p>
            <w:pPr>
              <w:spacing w:after="0"/>
              <w:rPr>
                <w:sz w:val="11"/>
                <w:szCs w:val="11"/>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Comprehensive</w:t>
            </w:r>
          </w:p>
        </w:tc>
        <w:tc>
          <w:tcPr>
            <w:tcW w:w="140" w:type="dxa"/>
            <w:vAlign w:val="bottom"/>
          </w:tcPr>
          <w:p>
            <w:pPr>
              <w:spacing w:after="0"/>
              <w:rPr>
                <w:sz w:val="11"/>
                <w:szCs w:val="11"/>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Accumulated</w:t>
            </w:r>
          </w:p>
        </w:tc>
        <w:tc>
          <w:tcPr>
            <w:tcW w:w="160" w:type="dxa"/>
            <w:vAlign w:val="bottom"/>
          </w:tcPr>
          <w:p>
            <w:pPr>
              <w:spacing w:after="0"/>
              <w:rPr>
                <w:sz w:val="11"/>
                <w:szCs w:val="11"/>
                <w:color w:val="auto"/>
              </w:rPr>
            </w:pPr>
          </w:p>
        </w:tc>
        <w:tc>
          <w:tcPr>
            <w:tcW w:w="130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36"/>
        </w:trPr>
        <w:tc>
          <w:tcPr>
            <w:tcW w:w="2820" w:type="dxa"/>
            <w:vAlign w:val="bottom"/>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5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282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1260" w:type="dxa"/>
            <w:vAlign w:val="bottom"/>
            <w:gridSpan w:val="2"/>
          </w:tcPr>
          <w:p>
            <w:pPr>
              <w:ind w:left="300"/>
              <w:spacing w:after="0"/>
              <w:rPr>
                <w:sz w:val="20"/>
                <w:szCs w:val="20"/>
                <w:color w:val="auto"/>
              </w:rPr>
            </w:pPr>
            <w:r>
              <w:rPr>
                <w:rFonts w:ascii="Arial" w:cs="Arial" w:eastAsia="Arial" w:hAnsi="Arial"/>
                <w:sz w:val="16"/>
                <w:szCs w:val="16"/>
                <w:b w:val="1"/>
                <w:bCs w:val="1"/>
                <w:color w:val="auto"/>
              </w:rPr>
              <w:t>Shares</w:t>
            </w:r>
          </w:p>
        </w:tc>
        <w:tc>
          <w:tcPr>
            <w:tcW w:w="200" w:type="dxa"/>
            <w:vAlign w:val="bottom"/>
          </w:tcPr>
          <w:p>
            <w:pPr>
              <w:spacing w:after="0"/>
              <w:rPr>
                <w:sz w:val="19"/>
                <w:szCs w:val="19"/>
                <w:color w:val="auto"/>
              </w:rPr>
            </w:pP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9"/>
                <w:szCs w:val="19"/>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Capital</w:t>
            </w:r>
          </w:p>
        </w:tc>
        <w:tc>
          <w:tcPr>
            <w:tcW w:w="160" w:type="dxa"/>
            <w:vAlign w:val="bottom"/>
          </w:tcPr>
          <w:p>
            <w:pPr>
              <w:spacing w:after="0"/>
              <w:rPr>
                <w:sz w:val="19"/>
                <w:szCs w:val="19"/>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Income</w:t>
            </w:r>
          </w:p>
        </w:tc>
        <w:tc>
          <w:tcPr>
            <w:tcW w:w="14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Deficit</w:t>
            </w:r>
          </w:p>
        </w:tc>
        <w:tc>
          <w:tcPr>
            <w:tcW w:w="160" w:type="dxa"/>
            <w:vAlign w:val="bottom"/>
          </w:tcPr>
          <w:p>
            <w:pPr>
              <w:spacing w:after="0"/>
              <w:rPr>
                <w:sz w:val="19"/>
                <w:szCs w:val="19"/>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57"/>
        </w:trPr>
        <w:tc>
          <w:tcPr>
            <w:tcW w:w="28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2019</w:t>
            </w:r>
          </w:p>
        </w:tc>
        <w:tc>
          <w:tcPr>
            <w:tcW w:w="11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98,587</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986</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662,990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(565,121)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98,905</w:t>
            </w:r>
          </w:p>
        </w:tc>
        <w:tc>
          <w:tcPr>
            <w:tcW w:w="0" w:type="dxa"/>
            <w:vAlign w:val="bottom"/>
          </w:tcPr>
          <w:p>
            <w:pPr>
              <w:spacing w:after="0"/>
              <w:rPr>
                <w:sz w:val="1"/>
                <w:szCs w:val="1"/>
                <w:color w:val="auto"/>
              </w:rPr>
            </w:pPr>
          </w:p>
        </w:tc>
      </w:tr>
      <w:tr>
        <w:trPr>
          <w:trHeight w:val="260"/>
        </w:trPr>
        <w:tc>
          <w:tcPr>
            <w:tcW w:w="2820" w:type="dxa"/>
            <w:vAlign w:val="bottom"/>
          </w:tcPr>
          <w:p>
            <w:pPr>
              <w:ind w:left="40"/>
              <w:spacing w:after="0"/>
              <w:rPr>
                <w:sz w:val="20"/>
                <w:szCs w:val="20"/>
                <w:color w:val="auto"/>
              </w:rPr>
            </w:pPr>
            <w:r>
              <w:rPr>
                <w:rFonts w:ascii="Arial" w:cs="Arial" w:eastAsia="Arial" w:hAnsi="Arial"/>
                <w:sz w:val="16"/>
                <w:szCs w:val="16"/>
                <w:color w:val="auto"/>
              </w:rPr>
              <w:t>Exercise of stock options</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635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3,972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3,978</w:t>
            </w:r>
          </w:p>
        </w:tc>
        <w:tc>
          <w:tcPr>
            <w:tcW w:w="0" w:type="dxa"/>
            <w:vAlign w:val="bottom"/>
          </w:tcPr>
          <w:p>
            <w:pPr>
              <w:spacing w:after="0"/>
              <w:rPr>
                <w:sz w:val="1"/>
                <w:szCs w:val="1"/>
                <w:color w:val="auto"/>
              </w:rPr>
            </w:pPr>
          </w:p>
        </w:tc>
      </w:tr>
      <w:tr>
        <w:trPr>
          <w:trHeight w:val="280"/>
        </w:trPr>
        <w:tc>
          <w:tcPr>
            <w:tcW w:w="2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Vesting of restricted stock units</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2820" w:type="dxa"/>
            <w:vAlign w:val="bottom"/>
          </w:tcPr>
          <w:p>
            <w:pPr>
              <w:ind w:left="40"/>
              <w:spacing w:after="0"/>
              <w:rPr>
                <w:sz w:val="20"/>
                <w:szCs w:val="20"/>
                <w:color w:val="auto"/>
              </w:rPr>
            </w:pPr>
            <w:r>
              <w:rPr>
                <w:rFonts w:ascii="Arial" w:cs="Arial" w:eastAsia="Arial" w:hAnsi="Arial"/>
                <w:sz w:val="16"/>
                <w:szCs w:val="16"/>
                <w:color w:val="auto"/>
              </w:rPr>
              <w:t>Issuance of common stock under</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820" w:type="dxa"/>
            <w:vAlign w:val="bottom"/>
          </w:tcPr>
          <w:p>
            <w:pPr>
              <w:ind w:left="40"/>
              <w:spacing w:after="0"/>
              <w:rPr>
                <w:sz w:val="20"/>
                <w:szCs w:val="20"/>
                <w:color w:val="auto"/>
              </w:rPr>
            </w:pPr>
            <w:r>
              <w:rPr>
                <w:rFonts w:ascii="Arial" w:cs="Arial" w:eastAsia="Arial" w:hAnsi="Arial"/>
                <w:sz w:val="16"/>
                <w:szCs w:val="16"/>
                <w:color w:val="auto"/>
              </w:rPr>
              <w:t>employee stock purchase plan</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378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7,303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7,307</w:t>
            </w:r>
          </w:p>
        </w:tc>
        <w:tc>
          <w:tcPr>
            <w:tcW w:w="0" w:type="dxa"/>
            <w:vAlign w:val="bottom"/>
          </w:tcPr>
          <w:p>
            <w:pPr>
              <w:spacing w:after="0"/>
              <w:rPr>
                <w:sz w:val="1"/>
                <w:szCs w:val="1"/>
                <w:color w:val="auto"/>
              </w:rPr>
            </w:pPr>
          </w:p>
        </w:tc>
      </w:tr>
      <w:tr>
        <w:trPr>
          <w:trHeight w:val="280"/>
        </w:trPr>
        <w:tc>
          <w:tcPr>
            <w:tcW w:w="2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13,050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13,050</w:t>
            </w:r>
          </w:p>
        </w:tc>
        <w:tc>
          <w:tcPr>
            <w:tcW w:w="0" w:type="dxa"/>
            <w:vAlign w:val="bottom"/>
          </w:tcPr>
          <w:p>
            <w:pPr>
              <w:spacing w:after="0"/>
              <w:rPr>
                <w:sz w:val="1"/>
                <w:szCs w:val="1"/>
                <w:color w:val="auto"/>
              </w:rPr>
            </w:pPr>
          </w:p>
        </w:tc>
      </w:tr>
      <w:tr>
        <w:trPr>
          <w:trHeight w:val="260"/>
        </w:trPr>
        <w:tc>
          <w:tcPr>
            <w:tcW w:w="282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80"/>
        </w:trPr>
        <w:tc>
          <w:tcPr>
            <w:tcW w:w="2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(22,977)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(22,977)</w:t>
            </w:r>
          </w:p>
        </w:tc>
        <w:tc>
          <w:tcPr>
            <w:tcW w:w="0" w:type="dxa"/>
            <w:vAlign w:val="bottom"/>
          </w:tcPr>
          <w:p>
            <w:pPr>
              <w:spacing w:after="0"/>
              <w:rPr>
                <w:sz w:val="1"/>
                <w:szCs w:val="1"/>
                <w:color w:val="auto"/>
              </w:rPr>
            </w:pPr>
          </w:p>
        </w:tc>
      </w:tr>
      <w:tr>
        <w:trPr>
          <w:trHeight w:val="274"/>
        </w:trPr>
        <w:tc>
          <w:tcPr>
            <w:tcW w:w="28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Balance at March 31, 2020</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100,003</w:t>
            </w:r>
          </w:p>
        </w:tc>
        <w:tc>
          <w:tcPr>
            <w:tcW w:w="120" w:type="dxa"/>
            <w:vAlign w:val="bottom"/>
            <w:tcBorders>
              <w:bottom w:val="single" w:sz="8" w:color="CCEEFF"/>
            </w:tcBorders>
          </w:tcPr>
          <w:p>
            <w:pPr>
              <w:spacing w:after="0"/>
              <w:rPr>
                <w:sz w:val="23"/>
                <w:szCs w:val="23"/>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687,311</w:t>
            </w:r>
          </w:p>
        </w:tc>
        <w:tc>
          <w:tcPr>
            <w:tcW w:w="100" w:type="dxa"/>
            <w:vAlign w:val="bottom"/>
            <w:tcBorders>
              <w:bottom w:val="single" w:sz="8" w:color="CCEEFF"/>
            </w:tcBorders>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163</w:t>
            </w:r>
          </w:p>
        </w:tc>
        <w:tc>
          <w:tcPr>
            <w:tcW w:w="100" w:type="dxa"/>
            <w:vAlign w:val="bottom"/>
            <w:tcBorders>
              <w:bottom w:val="single" w:sz="8" w:color="CCEEFF"/>
            </w:tcBorders>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(588,098)</w:t>
            </w:r>
          </w:p>
        </w:tc>
        <w:tc>
          <w:tcPr>
            <w:tcW w:w="100" w:type="dxa"/>
            <w:vAlign w:val="bottom"/>
            <w:tcBorders>
              <w:bottom w:val="single" w:sz="8" w:color="CCEEFF"/>
            </w:tcBorders>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100,376</w:t>
            </w:r>
          </w:p>
        </w:tc>
        <w:tc>
          <w:tcPr>
            <w:tcW w:w="0" w:type="dxa"/>
            <w:vAlign w:val="bottom"/>
          </w:tcPr>
          <w:p>
            <w:pPr>
              <w:spacing w:after="0"/>
              <w:rPr>
                <w:sz w:val="1"/>
                <w:szCs w:val="1"/>
                <w:color w:val="auto"/>
              </w:rPr>
            </w:pPr>
          </w:p>
        </w:tc>
      </w:tr>
      <w:tr>
        <w:trPr>
          <w:trHeight w:val="267"/>
        </w:trPr>
        <w:tc>
          <w:tcPr>
            <w:tcW w:w="28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820" w:type="dxa"/>
            <w:vAlign w:val="bottom"/>
          </w:tcPr>
          <w:p>
            <w:pPr>
              <w:ind w:left="40"/>
              <w:spacing w:after="0"/>
              <w:rPr>
                <w:sz w:val="20"/>
                <w:szCs w:val="20"/>
                <w:color w:val="auto"/>
              </w:rPr>
            </w:pPr>
            <w:r>
              <w:rPr>
                <w:rFonts w:ascii="Arial" w:cs="Arial" w:eastAsia="Arial" w:hAnsi="Arial"/>
                <w:sz w:val="16"/>
                <w:szCs w:val="16"/>
                <w:b w:val="1"/>
                <w:bCs w:val="1"/>
                <w:color w:val="auto"/>
              </w:rPr>
              <w:t>Balance at December 31, 2018</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93,126</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931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586,940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(466,108)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121,763</w:t>
            </w:r>
          </w:p>
        </w:tc>
        <w:tc>
          <w:tcPr>
            <w:tcW w:w="0" w:type="dxa"/>
            <w:vAlign w:val="bottom"/>
          </w:tcPr>
          <w:p>
            <w:pPr>
              <w:spacing w:after="0"/>
              <w:rPr>
                <w:sz w:val="1"/>
                <w:szCs w:val="1"/>
                <w:color w:val="auto"/>
              </w:rPr>
            </w:pPr>
          </w:p>
        </w:tc>
      </w:tr>
      <w:tr>
        <w:trPr>
          <w:trHeight w:val="280"/>
        </w:trPr>
        <w:tc>
          <w:tcPr>
            <w:tcW w:w="2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Exercise of stock options</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2,638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9,852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9,878</w:t>
            </w:r>
          </w:p>
        </w:tc>
        <w:tc>
          <w:tcPr>
            <w:tcW w:w="0" w:type="dxa"/>
            <w:vAlign w:val="bottom"/>
          </w:tcPr>
          <w:p>
            <w:pPr>
              <w:spacing w:after="0"/>
              <w:rPr>
                <w:sz w:val="1"/>
                <w:szCs w:val="1"/>
                <w:color w:val="auto"/>
              </w:rPr>
            </w:pPr>
          </w:p>
        </w:tc>
      </w:tr>
      <w:tr>
        <w:trPr>
          <w:trHeight w:val="218"/>
        </w:trPr>
        <w:tc>
          <w:tcPr>
            <w:tcW w:w="2820" w:type="dxa"/>
            <w:vAlign w:val="bottom"/>
          </w:tcPr>
          <w:p>
            <w:pPr>
              <w:ind w:left="40"/>
              <w:spacing w:after="0"/>
              <w:rPr>
                <w:sz w:val="20"/>
                <w:szCs w:val="20"/>
                <w:color w:val="auto"/>
              </w:rPr>
            </w:pPr>
            <w:r>
              <w:rPr>
                <w:rFonts w:ascii="Arial" w:cs="Arial" w:eastAsia="Arial" w:hAnsi="Arial"/>
                <w:sz w:val="16"/>
                <w:szCs w:val="16"/>
                <w:color w:val="auto"/>
              </w:rPr>
              <w:t>Issuance of common stock under</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820" w:type="dxa"/>
            <w:vAlign w:val="bottom"/>
          </w:tcPr>
          <w:p>
            <w:pPr>
              <w:ind w:left="40"/>
              <w:spacing w:after="0"/>
              <w:rPr>
                <w:sz w:val="20"/>
                <w:szCs w:val="20"/>
                <w:color w:val="auto"/>
              </w:rPr>
            </w:pPr>
            <w:r>
              <w:rPr>
                <w:rFonts w:ascii="Arial" w:cs="Arial" w:eastAsia="Arial" w:hAnsi="Arial"/>
                <w:sz w:val="16"/>
                <w:szCs w:val="16"/>
                <w:color w:val="auto"/>
              </w:rPr>
              <w:t>employee stock purchase plan</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439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8,574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8,579</w:t>
            </w:r>
          </w:p>
        </w:tc>
        <w:tc>
          <w:tcPr>
            <w:tcW w:w="0" w:type="dxa"/>
            <w:vAlign w:val="bottom"/>
          </w:tcPr>
          <w:p>
            <w:pPr>
              <w:spacing w:after="0"/>
              <w:rPr>
                <w:sz w:val="1"/>
                <w:szCs w:val="1"/>
                <w:color w:val="auto"/>
              </w:rPr>
            </w:pPr>
          </w:p>
        </w:tc>
      </w:tr>
      <w:tr>
        <w:trPr>
          <w:trHeight w:val="280"/>
        </w:trPr>
        <w:tc>
          <w:tcPr>
            <w:tcW w:w="2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9,408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9,408</w:t>
            </w:r>
          </w:p>
        </w:tc>
        <w:tc>
          <w:tcPr>
            <w:tcW w:w="0" w:type="dxa"/>
            <w:vAlign w:val="bottom"/>
          </w:tcPr>
          <w:p>
            <w:pPr>
              <w:spacing w:after="0"/>
              <w:rPr>
                <w:sz w:val="1"/>
                <w:szCs w:val="1"/>
                <w:color w:val="auto"/>
              </w:rPr>
            </w:pPr>
          </w:p>
        </w:tc>
      </w:tr>
      <w:tr>
        <w:trPr>
          <w:trHeight w:val="260"/>
        </w:trPr>
        <w:tc>
          <w:tcPr>
            <w:tcW w:w="282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80"/>
        </w:trPr>
        <w:tc>
          <w:tcPr>
            <w:tcW w:w="2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(21,440)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(21,440)</w:t>
            </w:r>
          </w:p>
        </w:tc>
        <w:tc>
          <w:tcPr>
            <w:tcW w:w="0" w:type="dxa"/>
            <w:vAlign w:val="bottom"/>
          </w:tcPr>
          <w:p>
            <w:pPr>
              <w:spacing w:after="0"/>
              <w:rPr>
                <w:sz w:val="1"/>
                <w:szCs w:val="1"/>
                <w:color w:val="auto"/>
              </w:rPr>
            </w:pPr>
          </w:p>
        </w:tc>
      </w:tr>
      <w:tr>
        <w:trPr>
          <w:trHeight w:val="233"/>
        </w:trPr>
        <w:tc>
          <w:tcPr>
            <w:tcW w:w="2820" w:type="dxa"/>
            <w:vAlign w:val="bottom"/>
          </w:tcPr>
          <w:p>
            <w:pPr>
              <w:ind w:left="40"/>
              <w:spacing w:after="0"/>
              <w:rPr>
                <w:sz w:val="20"/>
                <w:szCs w:val="20"/>
                <w:color w:val="auto"/>
              </w:rPr>
            </w:pPr>
            <w:r>
              <w:rPr>
                <w:rFonts w:ascii="Arial" w:cs="Arial" w:eastAsia="Arial" w:hAnsi="Arial"/>
                <w:sz w:val="16"/>
                <w:szCs w:val="16"/>
                <w:b w:val="1"/>
                <w:bCs w:val="1"/>
                <w:color w:val="auto"/>
              </w:rPr>
              <w:t>Balance at March 31, 2019</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96,203</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962</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614,774</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(487,548)</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128,209</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0" w:right="339" w:bottom="1440" w:gutter="0" w:footer="0" w:header="0"/>
        </w:sectPr>
      </w:pPr>
    </w:p>
    <w:bookmarkStart w:id="6" w:name="page7"/>
    <w:bookmarkEnd w:id="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6"/>
                <w:szCs w:val="16"/>
                <w:b w:val="1"/>
                <w:bCs w:val="1"/>
                <w:color w:val="auto"/>
              </w:rPr>
              <w:t>Three Months Ended March 31,</w:t>
            </w:r>
          </w:p>
        </w:tc>
      </w:tr>
      <w:tr>
        <w:trPr>
          <w:trHeight w:val="263"/>
        </w:trPr>
        <w:tc>
          <w:tcPr>
            <w:tcW w:w="81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2019</w:t>
            </w:r>
          </w:p>
        </w:tc>
      </w:tr>
      <w:tr>
        <w:trPr>
          <w:trHeight w:val="270"/>
        </w:trPr>
        <w:tc>
          <w:tcPr>
            <w:tcW w:w="81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8180" w:type="dxa"/>
            <w:vAlign w:val="bottom"/>
          </w:tcPr>
          <w:p>
            <w:pPr>
              <w:ind w:left="4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(22,977)</w:t>
            </w:r>
          </w:p>
        </w:tc>
        <w:tc>
          <w:tcPr>
            <w:tcW w:w="100" w:type="dxa"/>
            <w:vAlign w:val="bottom"/>
          </w:tcPr>
          <w:p>
            <w:pPr>
              <w:spacing w:after="0"/>
              <w:rPr>
                <w:sz w:val="22"/>
                <w:szCs w:val="22"/>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(21,440)</w:t>
            </w:r>
          </w:p>
        </w:tc>
      </w:tr>
      <w:tr>
        <w:trPr>
          <w:trHeight w:val="277"/>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81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2,678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1,622</w:t>
            </w:r>
          </w:p>
        </w:tc>
      </w:tr>
      <w:tr>
        <w:trPr>
          <w:trHeight w:val="277"/>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13,035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9,319</w:t>
            </w:r>
          </w:p>
        </w:tc>
      </w:tr>
      <w:tr>
        <w:trPr>
          <w:trHeight w:val="263"/>
        </w:trPr>
        <w:tc>
          <w:tcPr>
            <w:tcW w:w="818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63"/>
        </w:trPr>
        <w:tc>
          <w:tcPr>
            <w:tcW w:w="818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8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20,813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11,104</w:t>
            </w:r>
          </w:p>
        </w:tc>
      </w:tr>
      <w:tr>
        <w:trPr>
          <w:trHeight w:val="263"/>
        </w:trPr>
        <w:tc>
          <w:tcPr>
            <w:tcW w:w="818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1,663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1,374</w:t>
            </w:r>
          </w:p>
        </w:tc>
      </w:tr>
      <w:tr>
        <w:trPr>
          <w:trHeight w:val="277"/>
        </w:trPr>
        <w:tc>
          <w:tcPr>
            <w:tcW w:w="8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Deferred commissions</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1,523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r>
      <w:tr>
        <w:trPr>
          <w:trHeight w:val="263"/>
        </w:trPr>
        <w:tc>
          <w:tcPr>
            <w:tcW w:w="818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2,155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77"/>
        </w:trPr>
        <w:tc>
          <w:tcPr>
            <w:tcW w:w="8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3,669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3,372</w:t>
            </w:r>
          </w:p>
        </w:tc>
      </w:tr>
      <w:tr>
        <w:trPr>
          <w:trHeight w:val="263"/>
        </w:trPr>
        <w:tc>
          <w:tcPr>
            <w:tcW w:w="8180" w:type="dxa"/>
            <w:vAlign w:val="bottom"/>
          </w:tcPr>
          <w:p>
            <w:pPr>
              <w:ind w:left="280"/>
              <w:spacing w:after="0"/>
              <w:rPr>
                <w:sz w:val="20"/>
                <w:szCs w:val="20"/>
                <w:color w:val="auto"/>
              </w:rPr>
            </w:pPr>
            <w:r>
              <w:rPr>
                <w:rFonts w:ascii="Arial" w:cs="Arial" w:eastAsia="Arial" w:hAnsi="Arial"/>
                <w:sz w:val="18"/>
                <w:szCs w:val="18"/>
                <w:color w:val="auto"/>
              </w:rPr>
              <w:t>Accrued compensation</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(13,277)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(7,233)</w:t>
            </w:r>
          </w:p>
        </w:tc>
      </w:tr>
      <w:tr>
        <w:trPr>
          <w:trHeight w:val="277"/>
        </w:trPr>
        <w:tc>
          <w:tcPr>
            <w:tcW w:w="8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2,002</w:t>
            </w:r>
          </w:p>
        </w:tc>
      </w:tr>
      <w:tr>
        <w:trPr>
          <w:trHeight w:val="263"/>
        </w:trPr>
        <w:tc>
          <w:tcPr>
            <w:tcW w:w="8180" w:type="dxa"/>
            <w:vAlign w:val="bottom"/>
          </w:tcPr>
          <w:p>
            <w:pPr>
              <w:ind w:left="28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(429)</w:t>
            </w:r>
          </w:p>
        </w:tc>
      </w:tr>
      <w:tr>
        <w:trPr>
          <w:trHeight w:val="270"/>
        </w:trPr>
        <w:tc>
          <w:tcPr>
            <w:tcW w:w="8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50"/>
        </w:trPr>
        <w:tc>
          <w:tcPr>
            <w:tcW w:w="8180" w:type="dxa"/>
            <w:vAlign w:val="bottom"/>
          </w:tcPr>
          <w:p>
            <w:pPr>
              <w:ind w:left="500"/>
              <w:spacing w:after="0"/>
              <w:rPr>
                <w:sz w:val="20"/>
                <w:szCs w:val="20"/>
                <w:color w:val="auto"/>
              </w:rPr>
            </w:pPr>
            <w:r>
              <w:rPr>
                <w:rFonts w:ascii="Arial" w:cs="Arial" w:eastAsia="Arial" w:hAnsi="Arial"/>
                <w:sz w:val="18"/>
                <w:szCs w:val="18"/>
                <w:color w:val="auto"/>
              </w:rPr>
              <w:t>Net cash provided by (used in) operating activities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4,492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(874)</w:t>
            </w:r>
          </w:p>
        </w:tc>
      </w:tr>
      <w:tr>
        <w:trPr>
          <w:trHeight w:val="290"/>
        </w:trPr>
        <w:tc>
          <w:tcPr>
            <w:tcW w:w="8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0"/>
        </w:trPr>
        <w:tc>
          <w:tcPr>
            <w:tcW w:w="818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80"/>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w:t>
            </w:r>
          </w:p>
        </w:tc>
      </w:tr>
      <w:tr>
        <w:trPr>
          <w:trHeight w:val="263"/>
        </w:trPr>
        <w:tc>
          <w:tcPr>
            <w:tcW w:w="8180" w:type="dxa"/>
            <w:vAlign w:val="bottom"/>
          </w:tcPr>
          <w:p>
            <w:pPr>
              <w:ind w:left="40"/>
              <w:spacing w:after="0"/>
              <w:rPr>
                <w:sz w:val="20"/>
                <w:szCs w:val="20"/>
                <w:color w:val="auto"/>
              </w:rPr>
            </w:pPr>
            <w:r>
              <w:rPr>
                <w:rFonts w:ascii="Arial" w:cs="Arial" w:eastAsia="Arial" w:hAnsi="Arial"/>
                <w:sz w:val="18"/>
                <w:szCs w:val="18"/>
                <w:color w:val="auto"/>
              </w:rPr>
              <w:t>Purchases of short-term investments</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(58,831)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(53,915)</w:t>
            </w:r>
          </w:p>
        </w:tc>
      </w:tr>
      <w:tr>
        <w:trPr>
          <w:trHeight w:val="270"/>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 and maturities of short-term investments</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78,175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41,750</w:t>
            </w:r>
          </w:p>
        </w:tc>
      </w:tr>
      <w:tr>
        <w:trPr>
          <w:trHeight w:val="250"/>
        </w:trPr>
        <w:tc>
          <w:tcPr>
            <w:tcW w:w="8180" w:type="dxa"/>
            <w:vAlign w:val="bottom"/>
          </w:tcPr>
          <w:p>
            <w:pPr>
              <w:ind w:left="500"/>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18,730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(14,471)</w:t>
            </w:r>
          </w:p>
        </w:tc>
      </w:tr>
      <w:tr>
        <w:trPr>
          <w:trHeight w:val="290"/>
        </w:trPr>
        <w:tc>
          <w:tcPr>
            <w:tcW w:w="8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0"/>
        </w:trPr>
        <w:tc>
          <w:tcPr>
            <w:tcW w:w="818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80"/>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Principal payments under finance lease obligations</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63"/>
        </w:trPr>
        <w:tc>
          <w:tcPr>
            <w:tcW w:w="8180" w:type="dxa"/>
            <w:vAlign w:val="bottom"/>
          </w:tcPr>
          <w:p>
            <w:pPr>
              <w:ind w:left="40"/>
              <w:spacing w:after="0"/>
              <w:rPr>
                <w:sz w:val="20"/>
                <w:szCs w:val="20"/>
                <w:color w:val="auto"/>
              </w:rPr>
            </w:pPr>
            <w:r>
              <w:rPr>
                <w:rFonts w:ascii="Arial" w:cs="Arial" w:eastAsia="Arial" w:hAnsi="Arial"/>
                <w:sz w:val="18"/>
                <w:szCs w:val="18"/>
                <w:color w:val="auto"/>
              </w:rPr>
              <w:t>Proceeds from stock issued in connection with the employee stock purchase plan</w:t>
            </w:r>
          </w:p>
        </w:tc>
        <w:tc>
          <w:tcPr>
            <w:tcW w:w="2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7,307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8,579</w:t>
            </w:r>
          </w:p>
        </w:tc>
      </w:tr>
      <w:tr>
        <w:trPr>
          <w:trHeight w:val="270"/>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the exercise of stock options</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3,978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9,878</w:t>
            </w:r>
          </w:p>
        </w:tc>
      </w:tr>
      <w:tr>
        <w:trPr>
          <w:trHeight w:val="250"/>
        </w:trPr>
        <w:tc>
          <w:tcPr>
            <w:tcW w:w="8180" w:type="dxa"/>
            <w:vAlign w:val="bottom"/>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11,281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18,453</w:t>
            </w:r>
          </w:p>
        </w:tc>
      </w:tr>
      <w:tr>
        <w:trPr>
          <w:trHeight w:val="270"/>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50"/>
        </w:trPr>
        <w:tc>
          <w:tcPr>
            <w:tcW w:w="818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 and restricted cash</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33,406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2,850</w:t>
            </w:r>
          </w:p>
        </w:tc>
      </w:tr>
      <w:tr>
        <w:trPr>
          <w:trHeight w:val="270"/>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74,665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165,378</w:t>
            </w:r>
          </w:p>
        </w:tc>
      </w:tr>
      <w:tr>
        <w:trPr>
          <w:trHeight w:val="294"/>
        </w:trPr>
        <w:tc>
          <w:tcPr>
            <w:tcW w:w="81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Cash and cash equivalents and restricted cash at end of period</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108,071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168,228</w:t>
            </w:r>
          </w:p>
        </w:tc>
      </w:tr>
      <w:tr>
        <w:trPr>
          <w:trHeight w:val="267"/>
        </w:trPr>
        <w:tc>
          <w:tcPr>
            <w:tcW w:w="81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0"/>
        </w:trPr>
        <w:tc>
          <w:tcPr>
            <w:tcW w:w="8180" w:type="dxa"/>
            <w:vAlign w:val="bottom"/>
          </w:tcPr>
          <w:p>
            <w:pPr>
              <w:ind w:left="4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80"/>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paid for interest</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63"/>
        </w:trPr>
        <w:tc>
          <w:tcPr>
            <w:tcW w:w="8180" w:type="dxa"/>
            <w:vAlign w:val="bottom"/>
          </w:tcPr>
          <w:p>
            <w:pPr>
              <w:ind w:left="40"/>
              <w:spacing w:after="0"/>
              <w:rPr>
                <w:sz w:val="20"/>
                <w:szCs w:val="20"/>
                <w:color w:val="auto"/>
              </w:rPr>
            </w:pPr>
            <w:r>
              <w:rPr>
                <w:rFonts w:ascii="Arial" w:cs="Arial" w:eastAsia="Arial" w:hAnsi="Arial"/>
                <w:sz w:val="18"/>
                <w:szCs w:val="18"/>
                <w:color w:val="auto"/>
              </w:rPr>
              <w:t>Cash paid for income taxes</w:t>
            </w:r>
          </w:p>
        </w:tc>
        <w:tc>
          <w:tcPr>
            <w:tcW w:w="2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416</w:t>
            </w:r>
          </w:p>
        </w:tc>
      </w:tr>
      <w:tr>
        <w:trPr>
          <w:trHeight w:val="277"/>
        </w:trPr>
        <w:tc>
          <w:tcPr>
            <w:tcW w:w="81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cash flow information related to leases:</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8180" w:type="dxa"/>
            <w:vAlign w:val="bottom"/>
          </w:tcPr>
          <w:p>
            <w:pPr>
              <w:ind w:left="40"/>
              <w:spacing w:after="0"/>
              <w:rPr>
                <w:sz w:val="20"/>
                <w:szCs w:val="20"/>
                <w:color w:val="auto"/>
              </w:rPr>
            </w:pPr>
            <w:r>
              <w:rPr>
                <w:rFonts w:ascii="Arial" w:cs="Arial" w:eastAsia="Arial" w:hAnsi="Arial"/>
                <w:sz w:val="18"/>
                <w:szCs w:val="18"/>
                <w:color w:val="auto"/>
              </w:rPr>
              <w:t>Operating cash payments for operating leases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22"/>
                <w:szCs w:val="22"/>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1,195</w:t>
            </w:r>
          </w:p>
        </w:tc>
      </w:tr>
      <w:tr>
        <w:trPr>
          <w:trHeight w:val="277"/>
        </w:trPr>
        <w:tc>
          <w:tcPr>
            <w:tcW w:w="81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disclosure of non-cash flow investing and financing activities:</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56"/>
        </w:trPr>
        <w:tc>
          <w:tcPr>
            <w:tcW w:w="818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5,107</w:t>
            </w:r>
          </w:p>
        </w:tc>
        <w:tc>
          <w:tcPr>
            <w:tcW w:w="100" w:type="dxa"/>
            <w:vAlign w:val="bottom"/>
          </w:tcPr>
          <w:p>
            <w:pPr>
              <w:spacing w:after="0"/>
              <w:rPr>
                <w:sz w:val="22"/>
                <w:szCs w:val="22"/>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186</w:t>
            </w:r>
          </w:p>
        </w:tc>
      </w:tr>
    </w:tbl>
    <w:p>
      <w:pPr>
        <w:spacing w:after="0" w:line="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240"/>
          </w:cols>
          <w:pgMar w:left="320" w:top="140"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320" w:top="140" w:right="339" w:bottom="1440" w:gutter="0" w:footer="0" w:header="0"/>
          <w:type w:val="continuous"/>
        </w:sectPr>
      </w:pPr>
    </w:p>
    <w:bookmarkStart w:id="7" w:name="page8"/>
    <w:bookmarkEnd w:id="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p>
      <w:pPr>
        <w:ind w:left="340" w:right="6020" w:hanging="332"/>
        <w:spacing w:after="0" w:line="513" w:lineRule="auto"/>
        <w:tabs>
          <w:tab w:leader="none" w:pos="21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and Summary of Significant Accounting Policies </w:t>
      </w:r>
      <w:r>
        <w:rPr>
          <w:rFonts w:ascii="Arial" w:cs="Arial" w:eastAsia="Arial" w:hAnsi="Arial"/>
          <w:sz w:val="18"/>
          <w:szCs w:val="18"/>
          <w:b w:val="1"/>
          <w:bCs w:val="1"/>
          <w:i w:val="1"/>
          <w:iCs w:val="1"/>
          <w:color w:val="auto"/>
        </w:rPr>
        <w:t>Business Description</w:t>
      </w:r>
    </w:p>
    <w:p>
      <w:pPr>
        <w:spacing w:after="0" w:line="1" w:lineRule="exact"/>
        <w:rPr>
          <w:sz w:val="20"/>
          <w:szCs w:val="20"/>
          <w:color w:val="auto"/>
        </w:rPr>
      </w:pPr>
    </w:p>
    <w:p>
      <w:pPr>
        <w:jc w:val="both"/>
        <w:ind w:right="60" w:firstLine="324"/>
        <w:spacing w:after="0" w:line="254" w:lineRule="auto"/>
        <w:rPr>
          <w:sz w:val="20"/>
          <w:szCs w:val="20"/>
          <w:color w:val="auto"/>
        </w:rPr>
      </w:pPr>
      <w:r>
        <w:rPr>
          <w:rFonts w:ascii="Arial" w:cs="Arial" w:eastAsia="Arial" w:hAnsi="Arial"/>
          <w:sz w:val="18"/>
          <w:szCs w:val="18"/>
          <w:color w:val="auto"/>
        </w:rPr>
        <w:t>Tenable Holdings, Inc. (the “Company,” “we,” "us," or “our”) is a provider of Cyber Exposure solutions, which is a discipline for managing, measuring and comparing cybersecurity risk in the digital era. Our enterprise software platform enables broad visibility into an organization’s cyber exposure across the modern attack surface and deep insights that help organizations translate technical data into business insights to understand and reduce their cybersecurity risk.</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consolidated financial statements include the accounts of Tenable Holdings, Inc. and our wholly owned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intercompany accounts and transactions have been eliminated in consolidation.</w:t>
      </w:r>
    </w:p>
    <w:p>
      <w:pPr>
        <w:spacing w:after="0" w:line="22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consolidated financial statements have been prepared in conformity with United States generally accepted accounting principles (“GAAP”) for interim financial information. The consolidated statements are unaudited and should be read in conjunction with the consolidated financial statements and related notes included in our 2019 Annual Report on Form 10-K ("10-K") filed with the Securities and Exchange Commission on February 28, 2020. The consolidated financial statements have been prepared on a basis consistent with the audited annual consolidated financial statements included in the 10-K and, in the opinion of management, include all adjustments of a normal recurring nature necessary to fairly state our financial position, our results of operations, and cash flows.</w:t>
      </w:r>
    </w:p>
    <w:p>
      <w:pPr>
        <w:spacing w:after="0" w:line="208" w:lineRule="exact"/>
        <w:rPr>
          <w:sz w:val="20"/>
          <w:szCs w:val="20"/>
          <w:color w:val="auto"/>
        </w:rPr>
      </w:pPr>
    </w:p>
    <w:p>
      <w:pPr>
        <w:ind w:right="500" w:firstLine="324"/>
        <w:spacing w:after="0" w:line="261" w:lineRule="auto"/>
        <w:rPr>
          <w:sz w:val="20"/>
          <w:szCs w:val="20"/>
          <w:color w:val="auto"/>
        </w:rPr>
      </w:pPr>
      <w:r>
        <w:rPr>
          <w:rFonts w:ascii="Arial" w:cs="Arial" w:eastAsia="Arial" w:hAnsi="Arial"/>
          <w:sz w:val="18"/>
          <w:szCs w:val="18"/>
          <w:color w:val="auto"/>
        </w:rPr>
        <w:t>The results for the three months ended March 31, 2020 are not necessarily indicative of the operating results expected for the year ending December 31, 2020 or any other future period.</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amounts reported in the consolidated financial statements and accompanying notes. These estimates include, but are not limited to, the determination of the estimated economic life of perpetual licenses for revenue recognition, the estimated period of benefit for deferred commissions, the useful lives of long-lived assets, the fair value of acquired intangible assets, the valuation of stock-based compensation, including the estimated underlying fair value of our common stock prior to our IPO, the incremental borrowing rate for operating leases, and the valuation of deferred tax assets. We base these estimates on historical experience and on various other assumptions that we believe to be reasonable. Actual results could differ significantly from these estimates.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47" w:lineRule="exact"/>
        <w:rPr>
          <w:sz w:val="20"/>
          <w:szCs w:val="20"/>
          <w:color w:val="auto"/>
        </w:rPr>
      </w:pPr>
    </w:p>
    <w:p>
      <w:pPr>
        <w:ind w:right="320" w:firstLine="324"/>
        <w:spacing w:after="0" w:line="261" w:lineRule="auto"/>
        <w:rPr>
          <w:sz w:val="20"/>
          <w:szCs w:val="20"/>
          <w:color w:val="auto"/>
        </w:rPr>
      </w:pPr>
      <w:r>
        <w:rPr>
          <w:rFonts w:ascii="Arial" w:cs="Arial" w:eastAsia="Arial" w:hAnsi="Arial"/>
          <w:sz w:val="18"/>
          <w:szCs w:val="18"/>
          <w:color w:val="auto"/>
        </w:rPr>
        <w:t>Our significant accounting policies are described in our 10-K. During the three months ended March 31, 2020, there were no material changes to our significant accounting policies other than those described below.</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 xml:space="preserve">We adopted Accounting Standards Update ("ASU") No. 2016-13 — </w:t>
      </w:r>
      <w:r>
        <w:rPr>
          <w:rFonts w:ascii="Arial" w:cs="Arial" w:eastAsia="Arial" w:hAnsi="Arial"/>
          <w:sz w:val="18"/>
          <w:szCs w:val="18"/>
          <w:i w:val="1"/>
          <w:iCs w:val="1"/>
          <w:color w:val="auto"/>
        </w:rPr>
        <w:t>Financial Instruments-Credit Losses (Topic 326)</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Credit Losses on Financial Instruments, </w:t>
      </w:r>
      <w:r>
        <w:rPr>
          <w:rFonts w:ascii="Arial" w:cs="Arial" w:eastAsia="Arial" w:hAnsi="Arial"/>
          <w:sz w:val="18"/>
          <w:szCs w:val="18"/>
          <w:color w:val="auto"/>
        </w:rPr>
        <w:t>effective January 1, 2020 using the modified retrospective approach. The new standard replaces the</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 incurred loss impairment methodology with a methodology that reflects current expected credit losses for financial assets, including trade receivables, which are not measured at fair value, through net income. Under the new standard, our allowance for doubtful accounts reflects our best estimate of expected future credit losses based on various factors, including our historical collection experience, age of accounts receivable balances, current conditions, reasonable and supportable forecasts of future economic conditions, as well as other factors that may impact our ability to collect our accounts receivable. Additionally, the new standard requires us to</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140" w:right="359" w:bottom="1440" w:gutter="0" w:footer="0" w:header="0"/>
        </w:sectPr>
      </w:pPr>
    </w:p>
    <w:bookmarkStart w:id="8" w:name="page9"/>
    <w:bookmarkEnd w:id="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evaluate impairments of available-for-sale debt securities due to credit-related and non-credit-related factors. Identified credit-related impairments are recognized as a charge in the statement of operations. The adoption of this guidance did not have a material impact on our condensed consolidated financial statements.</w:t>
      </w:r>
    </w:p>
    <w:p>
      <w:pPr>
        <w:spacing w:after="0" w:line="180" w:lineRule="exact"/>
        <w:rPr>
          <w:sz w:val="20"/>
          <w:szCs w:val="20"/>
          <w:color w:val="auto"/>
        </w:rPr>
      </w:pPr>
    </w:p>
    <w:p>
      <w:pPr>
        <w:ind w:left="340" w:right="8580" w:hanging="332"/>
        <w:spacing w:after="0" w:line="543" w:lineRule="auto"/>
        <w:tabs>
          <w:tab w:leader="none" w:pos="216"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b w:val="1"/>
          <w:bCs w:val="1"/>
          <w:i w:val="1"/>
          <w:iCs w:val="1"/>
          <w:color w:val="auto"/>
        </w:rPr>
        <w:t>Disaggregation of Revenue</w:t>
      </w:r>
    </w:p>
    <w:p>
      <w:pPr>
        <w:spacing w:after="0" w:line="1" w:lineRule="exact"/>
        <w:rPr>
          <w:rFonts w:ascii="Arial" w:cs="Arial" w:eastAsia="Arial" w:hAnsi="Arial"/>
          <w:sz w:val="17"/>
          <w:szCs w:val="17"/>
          <w:b w:val="1"/>
          <w:bCs w:val="1"/>
          <w:color w:val="auto"/>
        </w:rPr>
      </w:pPr>
    </w:p>
    <w:p>
      <w:pPr>
        <w:ind w:left="340"/>
        <w:spacing w:after="0"/>
        <w:rPr>
          <w:rFonts w:ascii="Arial" w:cs="Arial" w:eastAsia="Arial" w:hAnsi="Arial"/>
          <w:sz w:val="17"/>
          <w:szCs w:val="17"/>
          <w:b w:val="1"/>
          <w:bCs w:val="1"/>
          <w:color w:val="auto"/>
        </w:rPr>
      </w:pPr>
      <w:r>
        <w:rPr>
          <w:rFonts w:ascii="Arial" w:cs="Arial" w:eastAsia="Arial" w:hAnsi="Arial"/>
          <w:sz w:val="18"/>
          <w:szCs w:val="18"/>
          <w:color w:val="auto"/>
        </w:rPr>
        <w:t>The following table presents a summary of revenue: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6"/>
                <w:szCs w:val="16"/>
                <w:b w:val="1"/>
                <w:bCs w:val="1"/>
                <w:color w:val="auto"/>
              </w:rPr>
              <w:t>Three Months Ended March 31,</w:t>
            </w:r>
          </w:p>
        </w:tc>
      </w:tr>
      <w:tr>
        <w:trPr>
          <w:trHeight w:val="263"/>
        </w:trPr>
        <w:tc>
          <w:tcPr>
            <w:tcW w:w="81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2019</w:t>
            </w:r>
          </w:p>
        </w:tc>
      </w:tr>
      <w:tr>
        <w:trPr>
          <w:trHeight w:val="257"/>
        </w:trPr>
        <w:tc>
          <w:tcPr>
            <w:tcW w:w="8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Subscription 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86,390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64,737</w:t>
            </w:r>
          </w:p>
        </w:tc>
      </w:tr>
      <w:tr>
        <w:trPr>
          <w:trHeight w:val="263"/>
        </w:trPr>
        <w:tc>
          <w:tcPr>
            <w:tcW w:w="8140" w:type="dxa"/>
            <w:vAlign w:val="bottom"/>
          </w:tcPr>
          <w:p>
            <w:pPr>
              <w:ind w:left="40"/>
              <w:spacing w:after="0"/>
              <w:rPr>
                <w:sz w:val="20"/>
                <w:szCs w:val="20"/>
                <w:color w:val="auto"/>
              </w:rPr>
            </w:pPr>
            <w:r>
              <w:rPr>
                <w:rFonts w:ascii="Arial" w:cs="Arial" w:eastAsia="Arial" w:hAnsi="Arial"/>
                <w:sz w:val="18"/>
                <w:szCs w:val="18"/>
                <w:color w:val="auto"/>
              </w:rPr>
              <w:t>Perpetual license and maintenance revenue</w:t>
            </w:r>
          </w:p>
        </w:tc>
        <w:tc>
          <w:tcPr>
            <w:tcW w:w="260" w:type="dxa"/>
            <w:vAlign w:val="bottom"/>
          </w:tcPr>
          <w:p>
            <w:pPr>
              <w:spacing w:after="0"/>
              <w:rPr>
                <w:sz w:val="22"/>
                <w:szCs w:val="22"/>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13,419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13,527</w:t>
            </w:r>
          </w:p>
        </w:tc>
      </w:tr>
      <w:tr>
        <w:trPr>
          <w:trHeight w:val="270"/>
        </w:trPr>
        <w:tc>
          <w:tcPr>
            <w:tcW w:w="8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Professional services and other revenue</w:t>
            </w: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2,839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2,037</w:t>
            </w:r>
          </w:p>
        </w:tc>
      </w:tr>
      <w:tr>
        <w:trPr>
          <w:trHeight w:val="257"/>
        </w:trPr>
        <w:tc>
          <w:tcPr>
            <w:tcW w:w="8140" w:type="dxa"/>
            <w:vAlign w:val="bottom"/>
          </w:tcPr>
          <w:p>
            <w:pPr>
              <w:ind w:left="28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102,648</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80,301</w:t>
            </w:r>
          </w:p>
        </w:tc>
      </w:tr>
      <w:tr>
        <w:trPr>
          <w:trHeight w:val="20"/>
        </w:trPr>
        <w:tc>
          <w:tcPr>
            <w:tcW w:w="8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Concentrations</w:t>
      </w:r>
    </w:p>
    <w:p>
      <w:pPr>
        <w:spacing w:after="0" w:line="247"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sell and market our products and services through our field sales force that works closely with our channel partners, which includes a network of distributors and resellers, in developing sales opportunities. We use a two-tiered channel model whereby we sell our products and services to our distributors, which in turn sell to resellers, which then sell to end-users. We derived 91%, and 90% of revenue through our channel network in the three months ended March 31, 2020 and 2019, respectively. One of our distributors accounted for 43% and 44% of revenue in the three months ended March 31, 2020 and 2019, respectively. That same distributor accounted for 41% and 40% of accounts receivable at March 31, 2020 and December 31, 2019, respectively.</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47"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We generally bill our customers in advance and accounts receivable are recorded when we have the right to invoice the customer. Contract liabilities consist of deferred revenue and include customer billings and payments received in advance of performance under the contract. In the three months ended March 31, 2020 and 2019, we recognized revenue of $95.3 million and $74.6 million, respectively, that was included in the deferred revenue balance at the beginning of each of the respective periods.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47"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At March 31, 2020, the future estimated revenue related to unsatisfied performance obligations was $363.9 million, with approximately 75% expected to be recognized as revenue over the succeeding twelve months, and the remainder expected to be recognized over the four years thereafter.</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the activity of deferred incremental costs of obtaining a contract: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64"/>
        </w:trPr>
        <w:tc>
          <w:tcPr>
            <w:tcW w:w="48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3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56"/>
        </w:trPr>
        <w:tc>
          <w:tcPr>
            <w:tcW w:w="4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72,265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59,434</w:t>
            </w:r>
          </w:p>
        </w:tc>
        <w:tc>
          <w:tcPr>
            <w:tcW w:w="0" w:type="dxa"/>
            <w:vAlign w:val="bottom"/>
          </w:tcPr>
          <w:p>
            <w:pPr>
              <w:spacing w:after="0"/>
              <w:rPr>
                <w:sz w:val="1"/>
                <w:szCs w:val="1"/>
                <w:color w:val="auto"/>
              </w:rPr>
            </w:pPr>
          </w:p>
        </w:tc>
      </w:tr>
      <w:tr>
        <w:trPr>
          <w:trHeight w:val="263"/>
        </w:trPr>
        <w:tc>
          <w:tcPr>
            <w:tcW w:w="4800" w:type="dxa"/>
            <w:vAlign w:val="bottom"/>
          </w:tcPr>
          <w:p>
            <w:pPr>
              <w:ind w:left="40"/>
              <w:spacing w:after="0"/>
              <w:rPr>
                <w:sz w:val="20"/>
                <w:szCs w:val="20"/>
                <w:color w:val="auto"/>
              </w:rPr>
            </w:pPr>
            <w:r>
              <w:rPr>
                <w:rFonts w:ascii="Arial" w:cs="Arial" w:eastAsia="Arial" w:hAnsi="Arial"/>
                <w:sz w:val="18"/>
                <w:szCs w:val="18"/>
                <w:color w:val="auto"/>
              </w:rPr>
              <w:t>Capitalization of contract acquisition costs</w:t>
            </w:r>
          </w:p>
        </w:tc>
        <w:tc>
          <w:tcPr>
            <w:tcW w:w="3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6,121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6,626</w:t>
            </w:r>
          </w:p>
        </w:tc>
        <w:tc>
          <w:tcPr>
            <w:tcW w:w="0" w:type="dxa"/>
            <w:vAlign w:val="bottom"/>
          </w:tcPr>
          <w:p>
            <w:pPr>
              <w:spacing w:after="0"/>
              <w:rPr>
                <w:sz w:val="1"/>
                <w:szCs w:val="1"/>
                <w:color w:val="auto"/>
              </w:rPr>
            </w:pPr>
          </w:p>
        </w:tc>
      </w:tr>
      <w:tr>
        <w:trPr>
          <w:trHeight w:val="270"/>
        </w:trPr>
        <w:tc>
          <w:tcPr>
            <w:tcW w:w="4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deferred contract acquisition costs</w:t>
            </w:r>
          </w:p>
        </w:tc>
        <w:tc>
          <w:tcPr>
            <w:tcW w:w="33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(7,644)</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(6,249)</w:t>
            </w:r>
          </w:p>
        </w:tc>
        <w:tc>
          <w:tcPr>
            <w:tcW w:w="0" w:type="dxa"/>
            <w:vAlign w:val="bottom"/>
          </w:tcPr>
          <w:p>
            <w:pPr>
              <w:spacing w:after="0"/>
              <w:rPr>
                <w:sz w:val="1"/>
                <w:szCs w:val="1"/>
                <w:color w:val="auto"/>
              </w:rPr>
            </w:pPr>
          </w:p>
        </w:tc>
      </w:tr>
      <w:tr>
        <w:trPr>
          <w:trHeight w:val="256"/>
        </w:trPr>
        <w:tc>
          <w:tcPr>
            <w:tcW w:w="480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3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70,742</w:t>
            </w:r>
          </w:p>
        </w:tc>
        <w:tc>
          <w:tcPr>
            <w:tcW w:w="100" w:type="dxa"/>
            <w:vAlign w:val="bottom"/>
          </w:tcPr>
          <w:p>
            <w:pPr>
              <w:spacing w:after="0"/>
              <w:rPr>
                <w:sz w:val="22"/>
                <w:szCs w:val="22"/>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59,811</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3380" w:type="dxa"/>
            <w:vAlign w:val="bottom"/>
            <w:vMerge w:val="restart"/>
          </w:tcPr>
          <w:p>
            <w:pPr>
              <w:jc w:val="right"/>
              <w:ind w:right="2410"/>
              <w:spacing w:after="0"/>
              <w:rPr>
                <w:sz w:val="20"/>
                <w:szCs w:val="20"/>
                <w:color w:val="auto"/>
              </w:rPr>
            </w:pPr>
            <w:r>
              <w:rPr>
                <w:rFonts w:ascii="Arial" w:cs="Arial" w:eastAsia="Arial" w:hAnsi="Arial"/>
                <w:sz w:val="18"/>
                <w:szCs w:val="18"/>
                <w:color w:val="auto"/>
              </w:rPr>
              <w:t>9</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80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1440" w:gutter="0" w:footer="0" w:header="0"/>
        </w:sectPr>
      </w:pPr>
    </w:p>
    <w:bookmarkStart w:id="9" w:name="page10"/>
    <w:bookmarkEnd w:id="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Cash and Cash Equivalents and Short-Term Investments</w:t>
      </w:r>
    </w:p>
    <w:p>
      <w:pPr>
        <w:spacing w:after="0" w:line="247"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The following tables summarize the amortized cost, unrealized gain and loss and estimated fair value of cash equivalents and short-term investments: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6"/>
                <w:szCs w:val="16"/>
                <w:b w:val="1"/>
                <w:bCs w:val="1"/>
                <w:color w:val="auto"/>
              </w:rPr>
              <w:t>March 31, 2020</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198"/>
        </w:trPr>
        <w:tc>
          <w:tcPr>
            <w:tcW w:w="5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72"/>
              <w:spacing w:after="0"/>
              <w:rPr>
                <w:sz w:val="20"/>
                <w:szCs w:val="20"/>
                <w:color w:val="auto"/>
              </w:rPr>
            </w:pPr>
            <w:r>
              <w:rPr>
                <w:rFonts w:ascii="Arial" w:cs="Arial" w:eastAsia="Arial" w:hAnsi="Arial"/>
                <w:sz w:val="16"/>
                <w:szCs w:val="16"/>
                <w:b w:val="1"/>
                <w:bCs w:val="1"/>
                <w:color w:val="auto"/>
              </w:rPr>
              <w:t>Estimated Fair</w:t>
            </w:r>
          </w:p>
        </w:tc>
      </w:tr>
      <w:tr>
        <w:trPr>
          <w:trHeight w:val="228"/>
        </w:trPr>
        <w:tc>
          <w:tcPr>
            <w:tcW w:w="514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1460" w:type="dxa"/>
            <w:vAlign w:val="bottom"/>
            <w:gridSpan w:val="3"/>
          </w:tcPr>
          <w:p>
            <w:pPr>
              <w:ind w:left="80"/>
              <w:spacing w:after="0"/>
              <w:rPr>
                <w:sz w:val="20"/>
                <w:szCs w:val="20"/>
                <w:color w:val="auto"/>
              </w:rPr>
            </w:pPr>
            <w:r>
              <w:rPr>
                <w:rFonts w:ascii="Arial" w:cs="Arial" w:eastAsia="Arial" w:hAnsi="Arial"/>
                <w:sz w:val="16"/>
                <w:szCs w:val="16"/>
                <w:b w:val="1"/>
                <w:bCs w:val="1"/>
                <w:color w:val="auto"/>
              </w:rPr>
              <w:t>Amortized Cost</w:t>
            </w:r>
          </w:p>
        </w:tc>
        <w:tc>
          <w:tcPr>
            <w:tcW w:w="1580" w:type="dxa"/>
            <w:vAlign w:val="bottom"/>
            <w:gridSpan w:val="3"/>
          </w:tcPr>
          <w:p>
            <w:pPr>
              <w:ind w:left="140"/>
              <w:spacing w:after="0"/>
              <w:rPr>
                <w:sz w:val="20"/>
                <w:szCs w:val="20"/>
                <w:color w:val="auto"/>
              </w:rPr>
            </w:pPr>
            <w:r>
              <w:rPr>
                <w:rFonts w:ascii="Arial" w:cs="Arial" w:eastAsia="Arial" w:hAnsi="Arial"/>
                <w:sz w:val="16"/>
                <w:szCs w:val="16"/>
                <w:b w:val="1"/>
                <w:bCs w:val="1"/>
                <w:color w:val="auto"/>
              </w:rPr>
              <w:t>Unrealized Gain</w:t>
            </w:r>
          </w:p>
        </w:tc>
        <w:tc>
          <w:tcPr>
            <w:tcW w:w="1580" w:type="dxa"/>
            <w:vAlign w:val="bottom"/>
            <w:gridSpan w:val="3"/>
          </w:tcPr>
          <w:p>
            <w:pPr>
              <w:ind w:left="120"/>
              <w:spacing w:after="0"/>
              <w:rPr>
                <w:sz w:val="20"/>
                <w:szCs w:val="20"/>
                <w:color w:val="auto"/>
              </w:rPr>
            </w:pPr>
            <w:r>
              <w:rPr>
                <w:rFonts w:ascii="Arial" w:cs="Arial" w:eastAsia="Arial" w:hAnsi="Arial"/>
                <w:sz w:val="16"/>
                <w:szCs w:val="16"/>
                <w:b w:val="1"/>
                <w:bCs w:val="1"/>
                <w:color w:val="auto"/>
              </w:rPr>
              <w:t>Unrealized Loss</w:t>
            </w:r>
          </w:p>
        </w:tc>
        <w:tc>
          <w:tcPr>
            <w:tcW w:w="160" w:type="dxa"/>
            <w:vAlign w:val="bottom"/>
          </w:tcPr>
          <w:p>
            <w:pPr>
              <w:spacing w:after="0"/>
              <w:rPr>
                <w:sz w:val="19"/>
                <w:szCs w:val="19"/>
                <w:color w:val="auto"/>
              </w:rPr>
            </w:pPr>
          </w:p>
        </w:tc>
        <w:tc>
          <w:tcPr>
            <w:tcW w:w="1320" w:type="dxa"/>
            <w:vAlign w:val="bottom"/>
          </w:tcPr>
          <w:p>
            <w:pPr>
              <w:jc w:val="center"/>
              <w:ind w:right="52"/>
              <w:spacing w:after="0"/>
              <w:rPr>
                <w:sz w:val="20"/>
                <w:szCs w:val="20"/>
                <w:color w:val="auto"/>
              </w:rPr>
            </w:pPr>
            <w:r>
              <w:rPr>
                <w:rFonts w:ascii="Arial" w:cs="Arial" w:eastAsia="Arial" w:hAnsi="Arial"/>
                <w:sz w:val="16"/>
                <w:szCs w:val="16"/>
                <w:b w:val="1"/>
                <w:bCs w:val="1"/>
                <w:color w:val="auto"/>
                <w:w w:val="98"/>
              </w:rPr>
              <w:t>Value</w:t>
            </w:r>
          </w:p>
        </w:tc>
      </w:tr>
      <w:tr>
        <w:trPr>
          <w:trHeight w:val="26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Cash equivalents:</w:t>
            </w:r>
          </w:p>
        </w:tc>
        <w:tc>
          <w:tcPr>
            <w:tcW w:w="3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40,395</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40,395</w:t>
            </w:r>
          </w:p>
        </w:tc>
      </w:tr>
      <w:tr>
        <w:trPr>
          <w:trHeight w:val="296"/>
        </w:trPr>
        <w:tc>
          <w:tcPr>
            <w:tcW w:w="5140" w:type="dxa"/>
            <w:vAlign w:val="bottom"/>
          </w:tcPr>
          <w:p>
            <w:pPr>
              <w:ind w:left="280"/>
              <w:spacing w:after="0"/>
              <w:rPr>
                <w:sz w:val="20"/>
                <w:szCs w:val="20"/>
                <w:color w:val="auto"/>
              </w:rPr>
            </w:pPr>
            <w:r>
              <w:rPr>
                <w:rFonts w:ascii="Arial" w:cs="Arial" w:eastAsia="Arial" w:hAnsi="Arial"/>
                <w:sz w:val="18"/>
                <w:szCs w:val="18"/>
                <w:color w:val="auto"/>
              </w:rPr>
              <w:t>Total cash equivalents</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40,395</w:t>
            </w:r>
          </w:p>
        </w:tc>
        <w:tc>
          <w:tcPr>
            <w:tcW w:w="100" w:type="dxa"/>
            <w:vAlign w:val="bottom"/>
          </w:tcPr>
          <w:p>
            <w:pPr>
              <w:spacing w:after="0"/>
              <w:rPr>
                <w:sz w:val="24"/>
                <w:szCs w:val="24"/>
                <w:color w:val="auto"/>
              </w:rPr>
            </w:pPr>
          </w:p>
        </w:tc>
        <w:tc>
          <w:tcPr>
            <w:tcW w:w="5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40,395</w:t>
            </w:r>
          </w:p>
        </w:tc>
      </w:tr>
      <w:tr>
        <w:trPr>
          <w:trHeight w:val="305"/>
        </w:trPr>
        <w:tc>
          <w:tcPr>
            <w:tcW w:w="514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c>
          <w:tcPr>
            <w:tcW w:w="6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1320" w:type="dxa"/>
            <w:vAlign w:val="bottom"/>
            <w:tcBorders>
              <w:top w:val="single" w:sz="8" w:color="auto"/>
            </w:tcBorders>
            <w:shd w:val="clear" w:color="auto" w:fill="CCEEFF"/>
          </w:tcPr>
          <w:p>
            <w:pPr>
              <w:spacing w:after="0"/>
              <w:rPr>
                <w:sz w:val="24"/>
                <w:szCs w:val="24"/>
                <w:color w:val="auto"/>
              </w:rPr>
            </w:pPr>
          </w:p>
        </w:tc>
      </w:tr>
      <w:tr>
        <w:trPr>
          <w:trHeight w:val="26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7"/>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52,984</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52,984</w:t>
            </w:r>
          </w:p>
        </w:tc>
      </w:tr>
      <w:tr>
        <w:trPr>
          <w:trHeight w:val="263"/>
        </w:trPr>
        <w:tc>
          <w:tcPr>
            <w:tcW w:w="5140" w:type="dxa"/>
            <w:vAlign w:val="bottom"/>
          </w:tcPr>
          <w:p>
            <w:pPr>
              <w:ind w:left="40"/>
              <w:spacing w:after="0"/>
              <w:rPr>
                <w:sz w:val="20"/>
                <w:szCs w:val="20"/>
                <w:color w:val="auto"/>
              </w:rPr>
            </w:pPr>
            <w:r>
              <w:rPr>
                <w:rFonts w:ascii="Arial" w:cs="Arial" w:eastAsia="Arial" w:hAnsi="Arial"/>
                <w:sz w:val="18"/>
                <w:szCs w:val="18"/>
                <w:color w:val="auto"/>
              </w:rPr>
              <w:t>Corporate bonds</w:t>
            </w:r>
          </w:p>
        </w:tc>
        <w:tc>
          <w:tcPr>
            <w:tcW w:w="36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20,775</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20,672</w:t>
            </w: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and agency obligations</w:t>
            </w:r>
          </w:p>
        </w:tc>
        <w:tc>
          <w:tcPr>
            <w:tcW w:w="3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45,002</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45,268</w:t>
            </w:r>
          </w:p>
        </w:tc>
      </w:tr>
      <w:tr>
        <w:trPr>
          <w:trHeight w:val="257"/>
        </w:trPr>
        <w:tc>
          <w:tcPr>
            <w:tcW w:w="5140" w:type="dxa"/>
            <w:vAlign w:val="bottom"/>
          </w:tcPr>
          <w:p>
            <w:pPr>
              <w:ind w:left="280"/>
              <w:spacing w:after="0"/>
              <w:rPr>
                <w:sz w:val="20"/>
                <w:szCs w:val="20"/>
                <w:color w:val="auto"/>
              </w:rPr>
            </w:pPr>
            <w:r>
              <w:rPr>
                <w:rFonts w:ascii="Arial" w:cs="Arial" w:eastAsia="Arial" w:hAnsi="Arial"/>
                <w:sz w:val="18"/>
                <w:szCs w:val="18"/>
                <w:color w:val="auto"/>
              </w:rPr>
              <w:t>Total short-term investments</w:t>
            </w: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118,761</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652"/>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118,924</w:t>
            </w:r>
          </w:p>
        </w:tc>
      </w:tr>
      <w:tr>
        <w:trPr>
          <w:trHeight w:val="20"/>
        </w:trPr>
        <w:tc>
          <w:tcPr>
            <w:tcW w:w="5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595"/>
        </w:trPr>
        <w:tc>
          <w:tcPr>
            <w:tcW w:w="51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6"/>
                <w:szCs w:val="16"/>
                <w:b w:val="1"/>
                <w:bCs w:val="1"/>
                <w:color w:val="auto"/>
              </w:rPr>
              <w:t>December 31, 2019</w:t>
            </w: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98"/>
        </w:trPr>
        <w:tc>
          <w:tcPr>
            <w:tcW w:w="5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72"/>
              <w:spacing w:after="0"/>
              <w:rPr>
                <w:sz w:val="20"/>
                <w:szCs w:val="20"/>
                <w:color w:val="auto"/>
              </w:rPr>
            </w:pPr>
            <w:r>
              <w:rPr>
                <w:rFonts w:ascii="Arial" w:cs="Arial" w:eastAsia="Arial" w:hAnsi="Arial"/>
                <w:sz w:val="16"/>
                <w:szCs w:val="16"/>
                <w:b w:val="1"/>
                <w:bCs w:val="1"/>
                <w:color w:val="auto"/>
              </w:rPr>
              <w:t>Estimated Fair</w:t>
            </w:r>
          </w:p>
        </w:tc>
      </w:tr>
      <w:tr>
        <w:trPr>
          <w:trHeight w:val="228"/>
        </w:trPr>
        <w:tc>
          <w:tcPr>
            <w:tcW w:w="514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1460" w:type="dxa"/>
            <w:vAlign w:val="bottom"/>
            <w:gridSpan w:val="3"/>
          </w:tcPr>
          <w:p>
            <w:pPr>
              <w:ind w:left="80"/>
              <w:spacing w:after="0"/>
              <w:rPr>
                <w:sz w:val="20"/>
                <w:szCs w:val="20"/>
                <w:color w:val="auto"/>
              </w:rPr>
            </w:pPr>
            <w:r>
              <w:rPr>
                <w:rFonts w:ascii="Arial" w:cs="Arial" w:eastAsia="Arial" w:hAnsi="Arial"/>
                <w:sz w:val="16"/>
                <w:szCs w:val="16"/>
                <w:b w:val="1"/>
                <w:bCs w:val="1"/>
                <w:color w:val="auto"/>
              </w:rPr>
              <w:t>Amortized Cost</w:t>
            </w:r>
          </w:p>
        </w:tc>
        <w:tc>
          <w:tcPr>
            <w:tcW w:w="1580" w:type="dxa"/>
            <w:vAlign w:val="bottom"/>
            <w:gridSpan w:val="3"/>
          </w:tcPr>
          <w:p>
            <w:pPr>
              <w:ind w:left="140"/>
              <w:spacing w:after="0"/>
              <w:rPr>
                <w:sz w:val="20"/>
                <w:szCs w:val="20"/>
                <w:color w:val="auto"/>
              </w:rPr>
            </w:pPr>
            <w:r>
              <w:rPr>
                <w:rFonts w:ascii="Arial" w:cs="Arial" w:eastAsia="Arial" w:hAnsi="Arial"/>
                <w:sz w:val="16"/>
                <w:szCs w:val="16"/>
                <w:b w:val="1"/>
                <w:bCs w:val="1"/>
                <w:color w:val="auto"/>
              </w:rPr>
              <w:t>Unrealized Gain</w:t>
            </w:r>
          </w:p>
        </w:tc>
        <w:tc>
          <w:tcPr>
            <w:tcW w:w="1580" w:type="dxa"/>
            <w:vAlign w:val="bottom"/>
            <w:gridSpan w:val="3"/>
          </w:tcPr>
          <w:p>
            <w:pPr>
              <w:ind w:left="120"/>
              <w:spacing w:after="0"/>
              <w:rPr>
                <w:sz w:val="20"/>
                <w:szCs w:val="20"/>
                <w:color w:val="auto"/>
              </w:rPr>
            </w:pPr>
            <w:r>
              <w:rPr>
                <w:rFonts w:ascii="Arial" w:cs="Arial" w:eastAsia="Arial" w:hAnsi="Arial"/>
                <w:sz w:val="16"/>
                <w:szCs w:val="16"/>
                <w:b w:val="1"/>
                <w:bCs w:val="1"/>
                <w:color w:val="auto"/>
              </w:rPr>
              <w:t>Unrealized Loss</w:t>
            </w:r>
          </w:p>
        </w:tc>
        <w:tc>
          <w:tcPr>
            <w:tcW w:w="160" w:type="dxa"/>
            <w:vAlign w:val="bottom"/>
          </w:tcPr>
          <w:p>
            <w:pPr>
              <w:spacing w:after="0"/>
              <w:rPr>
                <w:sz w:val="19"/>
                <w:szCs w:val="19"/>
                <w:color w:val="auto"/>
              </w:rPr>
            </w:pPr>
          </w:p>
        </w:tc>
        <w:tc>
          <w:tcPr>
            <w:tcW w:w="1320" w:type="dxa"/>
            <w:vAlign w:val="bottom"/>
          </w:tcPr>
          <w:p>
            <w:pPr>
              <w:jc w:val="center"/>
              <w:ind w:right="52"/>
              <w:spacing w:after="0"/>
              <w:rPr>
                <w:sz w:val="20"/>
                <w:szCs w:val="20"/>
                <w:color w:val="auto"/>
              </w:rPr>
            </w:pPr>
            <w:r>
              <w:rPr>
                <w:rFonts w:ascii="Arial" w:cs="Arial" w:eastAsia="Arial" w:hAnsi="Arial"/>
                <w:sz w:val="16"/>
                <w:szCs w:val="16"/>
                <w:b w:val="1"/>
                <w:bCs w:val="1"/>
                <w:color w:val="auto"/>
                <w:w w:val="98"/>
              </w:rPr>
              <w:t>Value</w:t>
            </w:r>
          </w:p>
        </w:tc>
      </w:tr>
      <w:tr>
        <w:trPr>
          <w:trHeight w:val="26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Cash equivalents:</w:t>
            </w:r>
          </w:p>
        </w:tc>
        <w:tc>
          <w:tcPr>
            <w:tcW w:w="3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r>
      <w:tr>
        <w:trPr>
          <w:trHeight w:val="277"/>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13,588</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13,588</w:t>
            </w:r>
          </w:p>
        </w:tc>
      </w:tr>
      <w:tr>
        <w:trPr>
          <w:trHeight w:val="263"/>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Commercial paper</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8,987</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8,987</w:t>
            </w:r>
          </w:p>
        </w:tc>
      </w:tr>
      <w:tr>
        <w:trPr>
          <w:trHeight w:val="257"/>
        </w:trPr>
        <w:tc>
          <w:tcPr>
            <w:tcW w:w="51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cash equivalents</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22,575</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22,575</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3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3"/>
        </w:trPr>
        <w:tc>
          <w:tcPr>
            <w:tcW w:w="5140" w:type="dxa"/>
            <w:vAlign w:val="bottom"/>
          </w:tcPr>
          <w:p>
            <w:pPr>
              <w:ind w:left="40"/>
              <w:spacing w:after="0"/>
              <w:rPr>
                <w:sz w:val="20"/>
                <w:szCs w:val="20"/>
                <w:color w:val="auto"/>
              </w:rPr>
            </w:pPr>
            <w:r>
              <w:rPr>
                <w:rFonts w:ascii="Arial" w:cs="Arial" w:eastAsia="Arial" w:hAnsi="Arial"/>
                <w:sz w:val="18"/>
                <w:szCs w:val="18"/>
                <w:color w:val="auto"/>
              </w:rPr>
              <w:t>Commercial paper</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61,371</w:t>
            </w:r>
          </w:p>
        </w:tc>
        <w:tc>
          <w:tcPr>
            <w:tcW w:w="100" w:type="dxa"/>
            <w:vAlign w:val="bottom"/>
          </w:tcPr>
          <w:p>
            <w:pPr>
              <w:spacing w:after="0"/>
              <w:rPr>
                <w:sz w:val="22"/>
                <w:szCs w:val="22"/>
                <w:color w:val="auto"/>
              </w:rPr>
            </w:pPr>
          </w:p>
        </w:tc>
        <w:tc>
          <w:tcPr>
            <w:tcW w:w="5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61,371</w:t>
            </w:r>
          </w:p>
        </w:tc>
      </w:tr>
      <w:tr>
        <w:trPr>
          <w:trHeight w:val="277"/>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23,856</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23,869</w:t>
            </w:r>
          </w:p>
        </w:tc>
      </w:tr>
      <w:tr>
        <w:trPr>
          <w:trHeight w:val="264"/>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U.S. Treasury and agency obligations</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52,627</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52,664</w:t>
            </w:r>
          </w:p>
        </w:tc>
      </w:tr>
      <w:tr>
        <w:trPr>
          <w:trHeight w:val="256"/>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short-term investments</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137,854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137,904</w:t>
            </w:r>
          </w:p>
        </w:tc>
      </w:tr>
      <w:tr>
        <w:trPr>
          <w:trHeight w:val="20"/>
        </w:trPr>
        <w:tc>
          <w:tcPr>
            <w:tcW w:w="5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Gross unrealized losses were not material at March 31, 2020 and December 31, 2019, respectively. At March 31, 2020, we considered the extent to which any unrealized losses on our short-term investments were driven by credit risk and other factors, including market risk, and if it is more-likely-than-not that we would have to sell the security before the recovery of the amortized cost basis. Based on our assessment, we do not believe any unrealized losses represent credit losses at March 31, 2020.</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March 31, 2020, all of our short-term investments had maturities within the next twelve months.</w:t>
      </w:r>
    </w:p>
    <w:p>
      <w:pPr>
        <w:spacing w:after="0" w:line="225" w:lineRule="exact"/>
        <w:rPr>
          <w:sz w:val="20"/>
          <w:szCs w:val="20"/>
          <w:color w:val="auto"/>
        </w:rPr>
      </w:pPr>
    </w:p>
    <w:p>
      <w:pPr>
        <w:ind w:right="420" w:firstLine="324"/>
        <w:spacing w:after="0" w:line="256" w:lineRule="auto"/>
        <w:rPr>
          <w:sz w:val="20"/>
          <w:szCs w:val="20"/>
          <w:color w:val="auto"/>
        </w:rPr>
      </w:pPr>
      <w:r>
        <w:rPr>
          <w:rFonts w:ascii="Arial" w:cs="Arial" w:eastAsia="Arial" w:hAnsi="Arial"/>
          <w:sz w:val="18"/>
          <w:szCs w:val="18"/>
          <w:color w:val="auto"/>
        </w:rPr>
        <w:t>At March 31, 2020 and December 31, 2019, cash and cash equivalents included $0.4 million of restricted cash, that was related to collateral for a lease and credit card deposits, and excluded $0.3 million of restricted cash, that was related to an account established as collateral for a lease arrangement and was included in other assets on the consolidated balance sheets.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47" w:lineRule="exact"/>
        <w:rPr>
          <w:sz w:val="20"/>
          <w:szCs w:val="20"/>
          <w:color w:val="auto"/>
        </w:rPr>
      </w:pPr>
    </w:p>
    <w:p>
      <w:pPr>
        <w:ind w:right="300" w:firstLine="324"/>
        <w:spacing w:after="0" w:line="261" w:lineRule="auto"/>
        <w:rPr>
          <w:sz w:val="20"/>
          <w:szCs w:val="20"/>
          <w:color w:val="auto"/>
        </w:rPr>
      </w:pPr>
      <w:r>
        <w:rPr>
          <w:rFonts w:ascii="Arial" w:cs="Arial" w:eastAsia="Arial" w:hAnsi="Arial"/>
          <w:sz w:val="18"/>
          <w:szCs w:val="18"/>
          <w:color w:val="auto"/>
        </w:rPr>
        <w:t>We measure certain financial instruments at fair value using a fair value hierarchy. In the hierarchy, assets are classified based on the lowest level inputs used in valuation into the following categories: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0" w:right="339" w:bottom="1440" w:gutter="0" w:footer="0" w:header="0"/>
        </w:sectPr>
      </w:pPr>
    </w:p>
    <w:bookmarkStart w:id="10" w:name="page11"/>
    <w:bookmarkEnd w:id="1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and liabilities;</w:t>
      </w:r>
    </w:p>
    <w:p>
      <w:pPr>
        <w:spacing w:after="0" w:line="63" w:lineRule="exact"/>
        <w:rPr>
          <w:rFonts w:ascii="Arial" w:cs="Arial" w:eastAsia="Arial" w:hAnsi="Arial"/>
          <w:sz w:val="18"/>
          <w:szCs w:val="18"/>
          <w:color w:val="auto"/>
        </w:rPr>
      </w:pPr>
    </w:p>
    <w:p>
      <w:pPr>
        <w:ind w:left="660" w:right="460" w:hanging="328"/>
        <w:spacing w:after="0" w:line="28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including quoted market prices for similar assets and liabilities in active markets, quoted prices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identical assets and liabilities in inactive markets, or inputs that are corroborated by observable market data;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assets that are measured at fair value on a recurring basis: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3"/>
          </w:tcPr>
          <w:p>
            <w:pPr>
              <w:jc w:val="right"/>
              <w:ind w:right="472"/>
              <w:spacing w:after="0"/>
              <w:rPr>
                <w:sz w:val="20"/>
                <w:szCs w:val="20"/>
                <w:color w:val="auto"/>
              </w:rPr>
            </w:pPr>
            <w:r>
              <w:rPr>
                <w:rFonts w:ascii="Arial" w:cs="Arial" w:eastAsia="Arial" w:hAnsi="Arial"/>
                <w:sz w:val="16"/>
                <w:szCs w:val="16"/>
                <w:b w:val="1"/>
                <w:bCs w:val="1"/>
                <w:color w:val="auto"/>
              </w:rPr>
              <w:t>March 31, 2020</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63"/>
        </w:trPr>
        <w:tc>
          <w:tcPr>
            <w:tcW w:w="502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22"/>
                <w:szCs w:val="22"/>
                <w:color w:val="auto"/>
              </w:rPr>
            </w:pPr>
          </w:p>
        </w:tc>
        <w:tc>
          <w:tcPr>
            <w:tcW w:w="128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1</w:t>
            </w:r>
          </w:p>
        </w:tc>
        <w:tc>
          <w:tcPr>
            <w:tcW w:w="300" w:type="dxa"/>
            <w:vAlign w:val="bottom"/>
          </w:tcPr>
          <w:p>
            <w:pPr>
              <w:spacing w:after="0"/>
              <w:rPr>
                <w:sz w:val="22"/>
                <w:szCs w:val="22"/>
                <w:color w:val="auto"/>
              </w:rPr>
            </w:pPr>
          </w:p>
        </w:tc>
        <w:tc>
          <w:tcPr>
            <w:tcW w:w="128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51"/>
              <w:spacing w:after="0"/>
              <w:rPr>
                <w:sz w:val="20"/>
                <w:szCs w:val="20"/>
                <w:color w:val="auto"/>
              </w:rPr>
            </w:pPr>
            <w:r>
              <w:rPr>
                <w:rFonts w:ascii="Arial" w:cs="Arial" w:eastAsia="Arial" w:hAnsi="Arial"/>
                <w:sz w:val="16"/>
                <w:szCs w:val="16"/>
                <w:b w:val="1"/>
                <w:bCs w:val="1"/>
                <w:color w:val="auto"/>
              </w:rPr>
              <w:t>Total</w:t>
            </w:r>
          </w:p>
        </w:tc>
      </w:tr>
      <w:tr>
        <w:trPr>
          <w:trHeight w:val="270"/>
        </w:trPr>
        <w:tc>
          <w:tcPr>
            <w:tcW w:w="50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3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r>
      <w:tr>
        <w:trPr>
          <w:trHeight w:val="263"/>
        </w:trPr>
        <w:tc>
          <w:tcPr>
            <w:tcW w:w="5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40,395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87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40,395</w:t>
            </w:r>
          </w:p>
        </w:tc>
      </w:tr>
      <w:tr>
        <w:trPr>
          <w:trHeight w:val="250"/>
        </w:trPr>
        <w:tc>
          <w:tcPr>
            <w:tcW w:w="50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40,395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40,395</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5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502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52,984</w:t>
            </w:r>
          </w:p>
        </w:tc>
        <w:tc>
          <w:tcPr>
            <w:tcW w:w="100" w:type="dxa"/>
            <w:vAlign w:val="bottom"/>
          </w:tcPr>
          <w:p>
            <w:pPr>
              <w:spacing w:after="0"/>
              <w:rPr>
                <w:sz w:val="22"/>
                <w:szCs w:val="22"/>
                <w:color w:val="auto"/>
              </w:rPr>
            </w:pPr>
          </w:p>
        </w:tc>
        <w:tc>
          <w:tcPr>
            <w:tcW w:w="1100" w:type="dxa"/>
            <w:vAlign w:val="bottom"/>
          </w:tcPr>
          <w:p>
            <w:pPr>
              <w:jc w:val="right"/>
              <w:ind w:right="872"/>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52,984</w:t>
            </w:r>
          </w:p>
        </w:tc>
      </w:tr>
      <w:tr>
        <w:trPr>
          <w:trHeight w:val="277"/>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3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20,672</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20,672</w:t>
            </w:r>
          </w:p>
        </w:tc>
      </w:tr>
      <w:tr>
        <w:trPr>
          <w:trHeight w:val="263"/>
        </w:trPr>
        <w:tc>
          <w:tcPr>
            <w:tcW w:w="5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U.S. Treasury and agency obligations</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45,268</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45,268</w:t>
            </w:r>
          </w:p>
        </w:tc>
      </w:tr>
      <w:tr>
        <w:trPr>
          <w:trHeight w:val="250"/>
        </w:trPr>
        <w:tc>
          <w:tcPr>
            <w:tcW w:w="5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118,924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87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118,924</w:t>
            </w:r>
          </w:p>
        </w:tc>
      </w:tr>
      <w:tr>
        <w:trPr>
          <w:trHeight w:val="20"/>
        </w:trPr>
        <w:tc>
          <w:tcPr>
            <w:tcW w:w="5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02"/>
        </w:trPr>
        <w:tc>
          <w:tcPr>
            <w:tcW w:w="50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6"/>
                <w:szCs w:val="16"/>
                <w:b w:val="1"/>
                <w:bCs w:val="1"/>
                <w:color w:val="auto"/>
              </w:rPr>
              <w:t>December 31, 2019</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63"/>
        </w:trPr>
        <w:tc>
          <w:tcPr>
            <w:tcW w:w="502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22"/>
                <w:szCs w:val="22"/>
                <w:color w:val="auto"/>
              </w:rPr>
            </w:pPr>
          </w:p>
        </w:tc>
        <w:tc>
          <w:tcPr>
            <w:tcW w:w="128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1</w:t>
            </w:r>
          </w:p>
        </w:tc>
        <w:tc>
          <w:tcPr>
            <w:tcW w:w="300" w:type="dxa"/>
            <w:vAlign w:val="bottom"/>
          </w:tcPr>
          <w:p>
            <w:pPr>
              <w:spacing w:after="0"/>
              <w:rPr>
                <w:sz w:val="22"/>
                <w:szCs w:val="22"/>
                <w:color w:val="auto"/>
              </w:rPr>
            </w:pPr>
          </w:p>
        </w:tc>
        <w:tc>
          <w:tcPr>
            <w:tcW w:w="128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51"/>
              <w:spacing w:after="0"/>
              <w:rPr>
                <w:sz w:val="20"/>
                <w:szCs w:val="20"/>
                <w:color w:val="auto"/>
              </w:rPr>
            </w:pPr>
            <w:r>
              <w:rPr>
                <w:rFonts w:ascii="Arial" w:cs="Arial" w:eastAsia="Arial" w:hAnsi="Arial"/>
                <w:sz w:val="16"/>
                <w:szCs w:val="16"/>
                <w:b w:val="1"/>
                <w:bCs w:val="1"/>
                <w:color w:val="auto"/>
              </w:rPr>
              <w:t>Total</w:t>
            </w:r>
          </w:p>
        </w:tc>
      </w:tr>
      <w:tr>
        <w:trPr>
          <w:trHeight w:val="270"/>
        </w:trPr>
        <w:tc>
          <w:tcPr>
            <w:tcW w:w="50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3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r>
      <w:tr>
        <w:trPr>
          <w:trHeight w:val="263"/>
        </w:trPr>
        <w:tc>
          <w:tcPr>
            <w:tcW w:w="502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13,588</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72"/>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13,588</w:t>
            </w:r>
          </w:p>
        </w:tc>
      </w:tr>
      <w:tr>
        <w:trPr>
          <w:trHeight w:val="27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paper</w:t>
            </w: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8,987</w:t>
            </w:r>
          </w:p>
        </w:tc>
        <w:tc>
          <w:tcPr>
            <w:tcW w:w="100" w:type="dxa"/>
            <w:vAlign w:val="bottom"/>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8,987</w:t>
            </w:r>
          </w:p>
        </w:tc>
      </w:tr>
      <w:tr>
        <w:trPr>
          <w:trHeight w:val="290"/>
        </w:trPr>
        <w:tc>
          <w:tcPr>
            <w:tcW w:w="5020" w:type="dxa"/>
            <w:vAlign w:val="bottom"/>
          </w:tcPr>
          <w:p>
            <w:pPr>
              <w:spacing w:after="0"/>
              <w:rPr>
                <w:sz w:val="24"/>
                <w:szCs w:val="24"/>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13,588</w:t>
            </w:r>
          </w:p>
        </w:tc>
        <w:tc>
          <w:tcPr>
            <w:tcW w:w="100" w:type="dxa"/>
            <w:vAlign w:val="bottom"/>
          </w:tcPr>
          <w:p>
            <w:pPr>
              <w:spacing w:after="0"/>
              <w:rPr>
                <w:sz w:val="24"/>
                <w:szCs w:val="24"/>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8,987</w:t>
            </w:r>
          </w:p>
        </w:tc>
        <w:tc>
          <w:tcPr>
            <w:tcW w:w="100" w:type="dxa"/>
            <w:vAlign w:val="bottom"/>
          </w:tcPr>
          <w:p>
            <w:pPr>
              <w:spacing w:after="0"/>
              <w:rPr>
                <w:sz w:val="24"/>
                <w:szCs w:val="24"/>
                <w:color w:val="auto"/>
              </w:rPr>
            </w:pPr>
          </w:p>
        </w:tc>
        <w:tc>
          <w:tcPr>
            <w:tcW w:w="1100" w:type="dxa"/>
            <w:vAlign w:val="bottom"/>
          </w:tcPr>
          <w:p>
            <w:pPr>
              <w:jc w:val="right"/>
              <w:ind w:right="872"/>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22,575</w:t>
            </w:r>
          </w:p>
        </w:tc>
      </w:tr>
      <w:tr>
        <w:trPr>
          <w:trHeight w:val="311"/>
        </w:trPr>
        <w:tc>
          <w:tcPr>
            <w:tcW w:w="50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1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1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100" w:type="dxa"/>
            <w:vAlign w:val="bottom"/>
            <w:tcBorders>
              <w:top w:val="single" w:sz="8" w:color="auto"/>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1140" w:type="dxa"/>
            <w:vAlign w:val="bottom"/>
            <w:tcBorders>
              <w:top w:val="single" w:sz="8" w:color="auto"/>
            </w:tcBorders>
            <w:shd w:val="clear" w:color="auto" w:fill="CCEEFF"/>
          </w:tcPr>
          <w:p>
            <w:pPr>
              <w:spacing w:after="0"/>
              <w:rPr>
                <w:sz w:val="24"/>
                <w:szCs w:val="24"/>
                <w:color w:val="auto"/>
              </w:rPr>
            </w:pPr>
          </w:p>
        </w:tc>
      </w:tr>
      <w:tr>
        <w:trPr>
          <w:trHeight w:val="263"/>
        </w:trPr>
        <w:tc>
          <w:tcPr>
            <w:tcW w:w="5020" w:type="dxa"/>
            <w:vAlign w:val="bottom"/>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61,371</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61,371</w:t>
            </w:r>
          </w:p>
        </w:tc>
      </w:tr>
      <w:tr>
        <w:trPr>
          <w:trHeight w:val="263"/>
        </w:trPr>
        <w:tc>
          <w:tcPr>
            <w:tcW w:w="502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30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23,869</w:t>
            </w: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23,869</w:t>
            </w:r>
          </w:p>
        </w:tc>
      </w:tr>
      <w:tr>
        <w:trPr>
          <w:trHeight w:val="27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Treasury and agency obligations</w:t>
            </w: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52,664</w:t>
            </w:r>
          </w:p>
        </w:tc>
        <w:tc>
          <w:tcPr>
            <w:tcW w:w="100" w:type="dxa"/>
            <w:vAlign w:val="bottom"/>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52,664</w:t>
            </w:r>
          </w:p>
        </w:tc>
      </w:tr>
      <w:tr>
        <w:trPr>
          <w:trHeight w:val="250"/>
        </w:trPr>
        <w:tc>
          <w:tcPr>
            <w:tcW w:w="5020" w:type="dxa"/>
            <w:vAlign w:val="bottom"/>
          </w:tcPr>
          <w:p>
            <w:pPr>
              <w:spacing w:after="0"/>
              <w:rPr>
                <w:sz w:val="21"/>
                <w:szCs w:val="21"/>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137,904</w:t>
            </w:r>
          </w:p>
        </w:tc>
        <w:tc>
          <w:tcPr>
            <w:tcW w:w="100" w:type="dxa"/>
            <w:vAlign w:val="bottom"/>
          </w:tcPr>
          <w:p>
            <w:pPr>
              <w:spacing w:after="0"/>
              <w:rPr>
                <w:sz w:val="21"/>
                <w:szCs w:val="21"/>
                <w:color w:val="auto"/>
              </w:rPr>
            </w:pPr>
          </w:p>
        </w:tc>
        <w:tc>
          <w:tcPr>
            <w:tcW w:w="1100" w:type="dxa"/>
            <w:vAlign w:val="bottom"/>
          </w:tcPr>
          <w:p>
            <w:pPr>
              <w:jc w:val="right"/>
              <w:ind w:right="872"/>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137,904</w:t>
            </w:r>
          </w:p>
        </w:tc>
      </w:tr>
      <w:tr>
        <w:trPr>
          <w:trHeight w:val="20"/>
        </w:trPr>
        <w:tc>
          <w:tcPr>
            <w:tcW w:w="50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have any liabilities measured and recorded at fair value at March 31, 2020 or December 31, 2019.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0" w:right="339" w:bottom="1440" w:gutter="0" w:footer="0" w:header="0"/>
        </w:sectPr>
      </w:pPr>
    </w:p>
    <w:bookmarkStart w:id="11" w:name="page12"/>
    <w:bookmarkEnd w:id="11"/>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net consisted of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92"/>
              <w:spacing w:after="0"/>
              <w:rPr>
                <w:sz w:val="20"/>
                <w:szCs w:val="20"/>
                <w:color w:val="auto"/>
              </w:rPr>
            </w:pPr>
            <w:r>
              <w:rPr>
                <w:rFonts w:ascii="Arial" w:cs="Arial" w:eastAsia="Arial" w:hAnsi="Arial"/>
                <w:sz w:val="16"/>
                <w:szCs w:val="16"/>
                <w:b w:val="1"/>
                <w:bCs w:val="1"/>
                <w:color w:val="auto"/>
                <w:w w:val="99"/>
              </w:rPr>
              <w:t>December 31,</w:t>
            </w:r>
          </w:p>
        </w:tc>
      </w:tr>
      <w:tr>
        <w:trPr>
          <w:trHeight w:val="228"/>
        </w:trPr>
        <w:tc>
          <w:tcPr>
            <w:tcW w:w="8180" w:type="dxa"/>
            <w:vAlign w:val="bottom"/>
          </w:tcPr>
          <w:p>
            <w:pPr>
              <w:ind w:left="8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19"/>
                <w:szCs w:val="19"/>
                <w:color w:val="auto"/>
              </w:rPr>
            </w:pPr>
          </w:p>
        </w:tc>
        <w:tc>
          <w:tcPr>
            <w:tcW w:w="1440" w:type="dxa"/>
            <w:vAlign w:val="bottom"/>
            <w:gridSpan w:val="2"/>
          </w:tcPr>
          <w:p>
            <w:pPr>
              <w:spacing w:after="0"/>
              <w:rPr>
                <w:sz w:val="20"/>
                <w:szCs w:val="20"/>
                <w:color w:val="auto"/>
              </w:rPr>
            </w:pPr>
            <w:r>
              <w:rPr>
                <w:rFonts w:ascii="Arial" w:cs="Arial" w:eastAsia="Arial" w:hAnsi="Arial"/>
                <w:sz w:val="16"/>
                <w:szCs w:val="16"/>
                <w:b w:val="1"/>
                <w:bCs w:val="1"/>
                <w:color w:val="auto"/>
              </w:rPr>
              <w:t>March 31, 2020</w:t>
            </w:r>
          </w:p>
        </w:tc>
        <w:tc>
          <w:tcPr>
            <w:tcW w:w="180" w:type="dxa"/>
            <w:vAlign w:val="bottom"/>
          </w:tcPr>
          <w:p>
            <w:pPr>
              <w:spacing w:after="0"/>
              <w:rPr>
                <w:sz w:val="19"/>
                <w:szCs w:val="19"/>
                <w:color w:val="auto"/>
              </w:rPr>
            </w:pPr>
          </w:p>
        </w:tc>
        <w:tc>
          <w:tcPr>
            <w:tcW w:w="12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2019</w:t>
            </w:r>
          </w:p>
        </w:tc>
      </w:tr>
      <w:tr>
        <w:trPr>
          <w:trHeight w:val="257"/>
        </w:trPr>
        <w:tc>
          <w:tcPr>
            <w:tcW w:w="818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Computer software and equipment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21,763</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21,234</w:t>
            </w:r>
          </w:p>
        </w:tc>
      </w:tr>
      <w:tr>
        <w:trPr>
          <w:trHeight w:val="263"/>
        </w:trPr>
        <w:tc>
          <w:tcPr>
            <w:tcW w:w="8180" w:type="dxa"/>
            <w:vAlign w:val="bottom"/>
          </w:tcPr>
          <w:p>
            <w:pPr>
              <w:ind w:left="80"/>
              <w:spacing w:after="0"/>
              <w:rPr>
                <w:sz w:val="20"/>
                <w:szCs w:val="20"/>
                <w:color w:val="auto"/>
              </w:rPr>
            </w:pPr>
            <w:r>
              <w:rPr>
                <w:rFonts w:ascii="Arial" w:cs="Arial" w:eastAsia="Arial" w:hAnsi="Arial"/>
                <w:sz w:val="18"/>
                <w:szCs w:val="18"/>
                <w:color w:val="auto"/>
              </w:rPr>
              <w:t>Furniture and fixtures</w:t>
            </w:r>
          </w:p>
        </w:tc>
        <w:tc>
          <w:tcPr>
            <w:tcW w:w="200" w:type="dxa"/>
            <w:vAlign w:val="bottom"/>
          </w:tcPr>
          <w:p>
            <w:pPr>
              <w:spacing w:after="0"/>
              <w:rPr>
                <w:sz w:val="22"/>
                <w:szCs w:val="22"/>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4,618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4,504</w:t>
            </w:r>
          </w:p>
        </w:tc>
      </w:tr>
      <w:tr>
        <w:trPr>
          <w:trHeight w:val="277"/>
        </w:trPr>
        <w:tc>
          <w:tcPr>
            <w:tcW w:w="8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Leasehold improvements</w:t>
            </w: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21,701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16,953</w:t>
            </w:r>
          </w:p>
        </w:tc>
      </w:tr>
      <w:tr>
        <w:trPr>
          <w:trHeight w:val="263"/>
        </w:trPr>
        <w:tc>
          <w:tcPr>
            <w:tcW w:w="81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Right-of-use assets under finance leases</w:t>
            </w: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1,866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1,866</w:t>
            </w:r>
          </w:p>
        </w:tc>
      </w:tr>
      <w:tr>
        <w:trPr>
          <w:trHeight w:val="257"/>
        </w:trPr>
        <w:tc>
          <w:tcPr>
            <w:tcW w:w="8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49,948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44,557</w:t>
            </w:r>
          </w:p>
        </w:tc>
      </w:tr>
      <w:tr>
        <w:trPr>
          <w:trHeight w:val="263"/>
        </w:trPr>
        <w:tc>
          <w:tcPr>
            <w:tcW w:w="81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(19,414)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(17,710)</w:t>
            </w:r>
          </w:p>
        </w:tc>
      </w:tr>
      <w:tr>
        <w:trPr>
          <w:trHeight w:val="256"/>
        </w:trPr>
        <w:tc>
          <w:tcPr>
            <w:tcW w:w="81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30,534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26,847</w:t>
            </w:r>
          </w:p>
        </w:tc>
      </w:tr>
      <w:tr>
        <w:trPr>
          <w:trHeight w:val="20"/>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Depreciation and amortization related to property and equipment was $2.0 million and $1.5 million in the three months ended March 31, 2020 and 2019,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Acquired Intangible Assets</w:t>
      </w:r>
    </w:p>
    <w:p>
      <w:pPr>
        <w:spacing w:after="0" w:line="247" w:lineRule="exact"/>
        <w:rPr>
          <w:sz w:val="20"/>
          <w:szCs w:val="20"/>
          <w:color w:val="auto"/>
        </w:rPr>
      </w:pPr>
    </w:p>
    <w:p>
      <w:pPr>
        <w:ind w:right="360" w:firstLine="324"/>
        <w:spacing w:after="0" w:line="261" w:lineRule="auto"/>
        <w:rPr>
          <w:sz w:val="20"/>
          <w:szCs w:val="20"/>
          <w:color w:val="auto"/>
        </w:rPr>
      </w:pPr>
      <w:r>
        <w:rPr>
          <w:rFonts w:ascii="Arial" w:cs="Arial" w:eastAsia="Arial" w:hAnsi="Arial"/>
          <w:sz w:val="18"/>
          <w:szCs w:val="18"/>
          <w:color w:val="auto"/>
        </w:rPr>
        <w:t>On December 2, 2019, we acquired Indegy, Ltd. We have not yet finalized the allocation of the purchase price, which may change as additional information becomes available related to any working capital adjustment and income taxes.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March 31, 2020 and December 31, 2019, our goodwill balance was $54.1 million, respectively.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intangible assets subject to amortization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rPr>
              <w:t>March 31, 2020</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9"/>
              </w:rPr>
              <w:t>December 31, 2019</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198"/>
        </w:trPr>
        <w:tc>
          <w:tcPr>
            <w:tcW w:w="2540" w:type="dxa"/>
            <w:vAlign w:val="bottom"/>
          </w:tcPr>
          <w:p>
            <w:pPr>
              <w:spacing w:after="0"/>
              <w:rPr>
                <w:sz w:val="17"/>
                <w:szCs w:val="17"/>
                <w:color w:val="auto"/>
              </w:rPr>
            </w:pPr>
          </w:p>
        </w:tc>
        <w:tc>
          <w:tcPr>
            <w:tcW w:w="1460" w:type="dxa"/>
            <w:vAlign w:val="bottom"/>
            <w:gridSpan w:val="3"/>
          </w:tcPr>
          <w:p>
            <w:pPr>
              <w:ind w:left="80"/>
              <w:spacing w:after="0"/>
              <w:rPr>
                <w:sz w:val="20"/>
                <w:szCs w:val="20"/>
                <w:color w:val="auto"/>
              </w:rPr>
            </w:pPr>
            <w:r>
              <w:rPr>
                <w:rFonts w:ascii="Arial" w:cs="Arial" w:eastAsia="Arial" w:hAnsi="Arial"/>
                <w:sz w:val="16"/>
                <w:szCs w:val="16"/>
                <w:b w:val="1"/>
                <w:bCs w:val="1"/>
                <w:color w:val="auto"/>
              </w:rPr>
              <w:t>Gross Carrying</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Carrying</w:t>
            </w:r>
          </w:p>
        </w:tc>
        <w:tc>
          <w:tcPr>
            <w:tcW w:w="1360" w:type="dxa"/>
            <w:vAlign w:val="bottom"/>
            <w:gridSpan w:val="2"/>
          </w:tcPr>
          <w:p>
            <w:pPr>
              <w:jc w:val="right"/>
              <w:ind w:right="12"/>
              <w:spacing w:after="0"/>
              <w:rPr>
                <w:sz w:val="20"/>
                <w:szCs w:val="20"/>
                <w:color w:val="auto"/>
              </w:rPr>
            </w:pPr>
            <w:r>
              <w:rPr>
                <w:rFonts w:ascii="Arial" w:cs="Arial" w:eastAsia="Arial" w:hAnsi="Arial"/>
                <w:sz w:val="16"/>
                <w:szCs w:val="16"/>
                <w:b w:val="1"/>
                <w:bCs w:val="1"/>
                <w:color w:val="auto"/>
              </w:rPr>
              <w:t>Gross Carrying</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7"/>
                <w:szCs w:val="17"/>
                <w:color w:val="auto"/>
              </w:rPr>
            </w:pPr>
          </w:p>
        </w:tc>
        <w:tc>
          <w:tcPr>
            <w:tcW w:w="1200" w:type="dxa"/>
            <w:vAlign w:val="bottom"/>
          </w:tcPr>
          <w:p>
            <w:pPr>
              <w:jc w:val="right"/>
              <w:ind w:right="114"/>
              <w:spacing w:after="0"/>
              <w:rPr>
                <w:sz w:val="20"/>
                <w:szCs w:val="20"/>
                <w:color w:val="auto"/>
              </w:rPr>
            </w:pPr>
            <w:r>
              <w:rPr>
                <w:rFonts w:ascii="Arial" w:cs="Arial" w:eastAsia="Arial" w:hAnsi="Arial"/>
                <w:sz w:val="16"/>
                <w:szCs w:val="16"/>
                <w:b w:val="1"/>
                <w:bCs w:val="1"/>
                <w:color w:val="auto"/>
              </w:rPr>
              <w:t>Net Carrying</w:t>
            </w:r>
          </w:p>
        </w:tc>
      </w:tr>
      <w:tr>
        <w:trPr>
          <w:trHeight w:val="228"/>
        </w:trPr>
        <w:tc>
          <w:tcPr>
            <w:tcW w:w="25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55"/>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Amount</w:t>
            </w:r>
          </w:p>
        </w:tc>
      </w:tr>
      <w:tr>
        <w:trPr>
          <w:trHeight w:val="257"/>
        </w:trPr>
        <w:tc>
          <w:tcPr>
            <w:tcW w:w="2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Acquired technology</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17,325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14,762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17,325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15,316</w:t>
            </w:r>
          </w:p>
        </w:tc>
      </w:tr>
      <w:tr>
        <w:trPr>
          <w:trHeight w:val="263"/>
        </w:trPr>
        <w:tc>
          <w:tcPr>
            <w:tcW w:w="2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Trade name</w:t>
            </w: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192</w:t>
            </w:r>
          </w:p>
        </w:tc>
      </w:tr>
      <w:tr>
        <w:trPr>
          <w:trHeight w:val="250"/>
        </w:trPr>
        <w:tc>
          <w:tcPr>
            <w:tcW w:w="25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17,525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14,929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17,525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15,508</w:t>
            </w: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640" w:firstLine="324"/>
        <w:spacing w:after="0" w:line="261" w:lineRule="auto"/>
        <w:rPr>
          <w:sz w:val="20"/>
          <w:szCs w:val="20"/>
          <w:color w:val="auto"/>
        </w:rPr>
      </w:pPr>
      <w:r>
        <w:rPr>
          <w:rFonts w:ascii="Arial" w:cs="Arial" w:eastAsia="Arial" w:hAnsi="Arial"/>
          <w:sz w:val="18"/>
          <w:szCs w:val="18"/>
          <w:color w:val="auto"/>
        </w:rPr>
        <w:t>Amortization of acquired intangible assets was $0.6 million and $0.2 million in the three months ended March 31, 2020 and 2019, respectively.</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March 31, 2020, estimated future amortization of acquired intangible assets is as follows:</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Year ending December 31,</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100" w:type="dxa"/>
            <w:vAlign w:val="bottom"/>
          </w:tcPr>
          <w:p>
            <w:pPr>
              <w:ind w:left="40"/>
              <w:spacing w:after="0"/>
              <w:rPr>
                <w:sz w:val="20"/>
                <w:szCs w:val="20"/>
                <w:color w:val="auto"/>
              </w:rPr>
            </w:pPr>
            <w:r>
              <w:rPr>
                <w:rFonts w:ascii="Arial" w:cs="Arial" w:eastAsia="Arial" w:hAnsi="Arial"/>
                <w:sz w:val="18"/>
                <w:szCs w:val="18"/>
                <w:color w:val="auto"/>
              </w:rPr>
              <w:t>2020</w:t>
            </w:r>
            <w:r>
              <w:rPr>
                <w:rFonts w:ascii="Arial" w:cs="Arial" w:eastAsia="Arial" w:hAnsi="Arial"/>
                <w:sz w:val="21"/>
                <w:szCs w:val="21"/>
                <w:color w:val="auto"/>
                <w:vertAlign w:val="superscript"/>
              </w:rPr>
              <w:t>(1)</w:t>
            </w: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57"/>
        </w:trPr>
        <w:tc>
          <w:tcPr>
            <w:tcW w:w="9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8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2,306</w:t>
            </w:r>
          </w:p>
        </w:tc>
        <w:tc>
          <w:tcPr>
            <w:tcW w:w="0" w:type="dxa"/>
            <w:vAlign w:val="bottom"/>
          </w:tcPr>
          <w:p>
            <w:pPr>
              <w:spacing w:after="0"/>
              <w:rPr>
                <w:sz w:val="1"/>
                <w:szCs w:val="1"/>
                <w:color w:val="auto"/>
              </w:rPr>
            </w:pPr>
          </w:p>
        </w:tc>
      </w:tr>
      <w:tr>
        <w:trPr>
          <w:trHeight w:val="250"/>
        </w:trPr>
        <w:tc>
          <w:tcPr>
            <w:tcW w:w="9100" w:type="dxa"/>
            <w:vAlign w:val="bottom"/>
          </w:tcPr>
          <w:p>
            <w:pPr>
              <w:ind w:left="40"/>
              <w:spacing w:after="0"/>
              <w:rPr>
                <w:sz w:val="20"/>
                <w:szCs w:val="20"/>
                <w:color w:val="auto"/>
              </w:rPr>
            </w:pPr>
            <w:r>
              <w:rPr>
                <w:rFonts w:ascii="Arial" w:cs="Arial" w:eastAsia="Arial" w:hAnsi="Arial"/>
                <w:sz w:val="18"/>
                <w:szCs w:val="18"/>
                <w:color w:val="auto"/>
              </w:rPr>
              <w:t>2022</w:t>
            </w:r>
          </w:p>
        </w:tc>
        <w:tc>
          <w:tcPr>
            <w:tcW w:w="8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2,214</w:t>
            </w:r>
          </w:p>
        </w:tc>
        <w:tc>
          <w:tcPr>
            <w:tcW w:w="0" w:type="dxa"/>
            <w:vAlign w:val="bottom"/>
          </w:tcPr>
          <w:p>
            <w:pPr>
              <w:spacing w:after="0"/>
              <w:rPr>
                <w:sz w:val="1"/>
                <w:szCs w:val="1"/>
                <w:color w:val="auto"/>
              </w:rPr>
            </w:pPr>
          </w:p>
        </w:tc>
      </w:tr>
      <w:tr>
        <w:trPr>
          <w:trHeight w:val="263"/>
        </w:trPr>
        <w:tc>
          <w:tcPr>
            <w:tcW w:w="9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8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2,214</w:t>
            </w:r>
          </w:p>
        </w:tc>
        <w:tc>
          <w:tcPr>
            <w:tcW w:w="0" w:type="dxa"/>
            <w:vAlign w:val="bottom"/>
          </w:tcPr>
          <w:p>
            <w:pPr>
              <w:spacing w:after="0"/>
              <w:rPr>
                <w:sz w:val="1"/>
                <w:szCs w:val="1"/>
                <w:color w:val="auto"/>
              </w:rPr>
            </w:pPr>
          </w:p>
        </w:tc>
      </w:tr>
      <w:tr>
        <w:trPr>
          <w:trHeight w:val="250"/>
        </w:trPr>
        <w:tc>
          <w:tcPr>
            <w:tcW w:w="9100" w:type="dxa"/>
            <w:vAlign w:val="bottom"/>
          </w:tcPr>
          <w:p>
            <w:pPr>
              <w:ind w:left="40"/>
              <w:spacing w:after="0"/>
              <w:rPr>
                <w:sz w:val="20"/>
                <w:szCs w:val="20"/>
                <w:color w:val="auto"/>
              </w:rPr>
            </w:pPr>
            <w:r>
              <w:rPr>
                <w:rFonts w:ascii="Arial" w:cs="Arial" w:eastAsia="Arial" w:hAnsi="Arial"/>
                <w:sz w:val="18"/>
                <w:szCs w:val="18"/>
                <w:color w:val="auto"/>
              </w:rPr>
              <w:t>2024</w:t>
            </w:r>
          </w:p>
        </w:tc>
        <w:tc>
          <w:tcPr>
            <w:tcW w:w="8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2,214</w:t>
            </w:r>
          </w:p>
        </w:tc>
        <w:tc>
          <w:tcPr>
            <w:tcW w:w="0" w:type="dxa"/>
            <w:vAlign w:val="bottom"/>
          </w:tcPr>
          <w:p>
            <w:pPr>
              <w:spacing w:after="0"/>
              <w:rPr>
                <w:sz w:val="1"/>
                <w:szCs w:val="1"/>
                <w:color w:val="auto"/>
              </w:rPr>
            </w:pPr>
          </w:p>
        </w:tc>
      </w:tr>
      <w:tr>
        <w:trPr>
          <w:trHeight w:val="257"/>
        </w:trPr>
        <w:tc>
          <w:tcPr>
            <w:tcW w:w="9100" w:type="dxa"/>
            <w:vAlign w:val="bottom"/>
            <w:shd w:val="clear" w:color="auto" w:fill="CCEEFF"/>
          </w:tcPr>
          <w:p>
            <w:pPr>
              <w:jc w:val="center"/>
              <w:ind w:right="8115"/>
              <w:spacing w:after="0"/>
              <w:rPr>
                <w:sz w:val="20"/>
                <w:szCs w:val="20"/>
                <w:color w:val="auto"/>
              </w:rPr>
            </w:pPr>
            <w:r>
              <w:rPr>
                <w:rFonts w:ascii="Arial" w:cs="Arial" w:eastAsia="Arial" w:hAnsi="Arial"/>
                <w:sz w:val="18"/>
                <w:szCs w:val="18"/>
                <w:color w:val="auto"/>
                <w:w w:val="98"/>
              </w:rPr>
              <w:t>Thereafter</w:t>
            </w:r>
          </w:p>
        </w:tc>
        <w:tc>
          <w:tcPr>
            <w:tcW w:w="8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4,246</w:t>
            </w:r>
          </w:p>
        </w:tc>
        <w:tc>
          <w:tcPr>
            <w:tcW w:w="0" w:type="dxa"/>
            <w:vAlign w:val="bottom"/>
          </w:tcPr>
          <w:p>
            <w:pPr>
              <w:spacing w:after="0"/>
              <w:rPr>
                <w:sz w:val="1"/>
                <w:szCs w:val="1"/>
                <w:color w:val="auto"/>
              </w:rPr>
            </w:pPr>
          </w:p>
        </w:tc>
      </w:tr>
      <w:tr>
        <w:trPr>
          <w:trHeight w:val="256"/>
        </w:trPr>
        <w:tc>
          <w:tcPr>
            <w:tcW w:w="9100" w:type="dxa"/>
            <w:vAlign w:val="bottom"/>
          </w:tcPr>
          <w:p>
            <w:pPr>
              <w:jc w:val="center"/>
              <w:ind w:right="8075"/>
              <w:spacing w:after="0"/>
              <w:rPr>
                <w:sz w:val="20"/>
                <w:szCs w:val="20"/>
                <w:color w:val="auto"/>
              </w:rPr>
            </w:pPr>
            <w:r>
              <w:rPr>
                <w:rFonts w:ascii="Arial" w:cs="Arial" w:eastAsia="Arial" w:hAnsi="Arial"/>
                <w:sz w:val="18"/>
                <w:szCs w:val="18"/>
                <w:color w:val="auto"/>
                <w:w w:val="94"/>
              </w:rPr>
              <w:t>Total</w:t>
            </w:r>
          </w:p>
        </w:tc>
        <w:tc>
          <w:tcPr>
            <w:tcW w:w="8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14,929</w:t>
            </w:r>
          </w:p>
        </w:tc>
        <w:tc>
          <w:tcPr>
            <w:tcW w:w="0" w:type="dxa"/>
            <w:vAlign w:val="bottom"/>
          </w:tcPr>
          <w:p>
            <w:pPr>
              <w:spacing w:after="0"/>
              <w:rPr>
                <w:sz w:val="1"/>
                <w:szCs w:val="1"/>
                <w:color w:val="auto"/>
              </w:rPr>
            </w:pPr>
          </w:p>
        </w:tc>
      </w:tr>
      <w:tr>
        <w:trPr>
          <w:trHeight w:val="20"/>
        </w:trPr>
        <w:tc>
          <w:tcPr>
            <w:tcW w:w="9100" w:type="dxa"/>
            <w:vAlign w:val="bottom"/>
            <w:vMerge w:val="restart"/>
          </w:tcPr>
          <w:p>
            <w:pPr>
              <w:jc w:val="center"/>
              <w:ind w:right="8115"/>
              <w:spacing w:after="0"/>
              <w:rPr>
                <w:sz w:val="20"/>
                <w:szCs w:val="20"/>
                <w:color w:val="auto"/>
              </w:rPr>
            </w:pPr>
            <w:r>
              <w:rPr>
                <w:rFonts w:ascii="Arial" w:cs="Arial" w:eastAsia="Arial" w:hAnsi="Arial"/>
                <w:sz w:val="11"/>
                <w:szCs w:val="11"/>
                <w:color w:val="auto"/>
                <w:w w:val="98"/>
              </w:rPr>
              <w:t>_______________</w:t>
            </w:r>
          </w:p>
        </w:tc>
        <w:tc>
          <w:tcPr>
            <w:tcW w:w="8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910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380" w:hanging="372"/>
        <w:spacing w:after="0"/>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the nine months ending December 31, 2020.</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0" w:right="339" w:bottom="1440" w:gutter="0" w:footer="0" w:header="0"/>
        </w:sectPr>
      </w:pPr>
    </w:p>
    <w:bookmarkStart w:id="12" w:name="page13"/>
    <w:bookmarkEnd w:id="12"/>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47"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color w:val="auto"/>
        </w:rPr>
        <w:t>We have operating leases for office facilities and finance leases for computer and office equipment. The components of lease expense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6"/>
                <w:szCs w:val="16"/>
                <w:b w:val="1"/>
                <w:bCs w:val="1"/>
                <w:color w:val="auto"/>
              </w:rPr>
              <w:t>Three Months Ended March 31,</w:t>
            </w:r>
          </w:p>
        </w:tc>
      </w:tr>
      <w:tr>
        <w:trPr>
          <w:trHeight w:val="263"/>
        </w:trPr>
        <w:tc>
          <w:tcPr>
            <w:tcW w:w="81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2019</w:t>
            </w:r>
          </w:p>
        </w:tc>
      </w:tr>
      <w:tr>
        <w:trPr>
          <w:trHeight w:val="257"/>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2,484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981</w:t>
            </w:r>
          </w:p>
        </w:tc>
      </w:tr>
      <w:tr>
        <w:trPr>
          <w:trHeight w:val="20"/>
        </w:trPr>
        <w:tc>
          <w:tcPr>
            <w:tcW w:w="8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78"/>
        </w:trPr>
        <w:tc>
          <w:tcPr>
            <w:tcW w:w="8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Finance lease cost</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8180" w:type="dxa"/>
            <w:vAlign w:val="bottom"/>
          </w:tcPr>
          <w:p>
            <w:pPr>
              <w:ind w:left="280"/>
              <w:spacing w:after="0"/>
              <w:rPr>
                <w:sz w:val="20"/>
                <w:szCs w:val="20"/>
                <w:color w:val="auto"/>
              </w:rPr>
            </w:pPr>
            <w:r>
              <w:rPr>
                <w:rFonts w:ascii="Arial" w:cs="Arial" w:eastAsia="Arial" w:hAnsi="Arial"/>
                <w:sz w:val="18"/>
                <w:szCs w:val="18"/>
                <w:color w:val="auto"/>
              </w:rPr>
              <w:t>Amortization of ROU assets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2"/>
                <w:szCs w:val="22"/>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153</w:t>
            </w:r>
          </w:p>
        </w:tc>
      </w:tr>
      <w:tr>
        <w:trPr>
          <w:trHeight w:val="270"/>
        </w:trPr>
        <w:tc>
          <w:tcPr>
            <w:tcW w:w="8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on lease liabilities</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r>
      <w:tr>
        <w:trPr>
          <w:trHeight w:val="256"/>
        </w:trPr>
        <w:tc>
          <w:tcPr>
            <w:tcW w:w="8180" w:type="dxa"/>
            <w:vAlign w:val="bottom"/>
          </w:tcPr>
          <w:p>
            <w:pPr>
              <w:ind w:left="40"/>
              <w:spacing w:after="0"/>
              <w:rPr>
                <w:sz w:val="20"/>
                <w:szCs w:val="20"/>
                <w:color w:val="auto"/>
              </w:rPr>
            </w:pPr>
            <w:r>
              <w:rPr>
                <w:rFonts w:ascii="Arial" w:cs="Arial" w:eastAsia="Arial" w:hAnsi="Arial"/>
                <w:sz w:val="18"/>
                <w:szCs w:val="18"/>
                <w:color w:val="auto"/>
              </w:rPr>
              <w:t>Total finance lease cost</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155</w:t>
            </w:r>
          </w:p>
        </w:tc>
      </w:tr>
      <w:tr>
        <w:trPr>
          <w:trHeight w:val="20"/>
        </w:trPr>
        <w:tc>
          <w:tcPr>
            <w:tcW w:w="8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Rent expense for short-term leases in the three months ended March 31, 2020 and 2019 was not material.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information related to leases was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ind w:right="52"/>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8"/>
        </w:trPr>
        <w:tc>
          <w:tcPr>
            <w:tcW w:w="81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March 31, 2020</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70"/>
        </w:trPr>
        <w:tc>
          <w:tcPr>
            <w:tcW w:w="81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leases</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8180" w:type="dxa"/>
            <w:vAlign w:val="bottom"/>
          </w:tcPr>
          <w:p>
            <w:pPr>
              <w:ind w:left="280"/>
              <w:spacing w:after="0"/>
              <w:rPr>
                <w:sz w:val="20"/>
                <w:szCs w:val="20"/>
                <w:color w:val="auto"/>
              </w:rPr>
            </w:pPr>
            <w:r>
              <w:rPr>
                <w:rFonts w:ascii="Arial" w:cs="Arial" w:eastAsia="Arial" w:hAnsi="Arial"/>
                <w:sz w:val="18"/>
                <w:szCs w:val="18"/>
                <w:color w:val="auto"/>
              </w:rPr>
              <w:t>Weighted average remaining lease term</w:t>
            </w:r>
          </w:p>
        </w:tc>
        <w:tc>
          <w:tcPr>
            <w:tcW w:w="140" w:type="dxa"/>
            <w:vAlign w:val="bottom"/>
          </w:tcPr>
          <w:p>
            <w:pPr>
              <w:spacing w:after="0"/>
              <w:rPr>
                <w:sz w:val="22"/>
                <w:szCs w:val="22"/>
                <w:color w:val="auto"/>
              </w:rPr>
            </w:pPr>
          </w:p>
        </w:tc>
        <w:tc>
          <w:tcPr>
            <w:tcW w:w="1440" w:type="dxa"/>
            <w:vAlign w:val="bottom"/>
            <w:gridSpan w:val="2"/>
          </w:tcPr>
          <w:p>
            <w:pPr>
              <w:ind w:left="400"/>
              <w:spacing w:after="0"/>
              <w:rPr>
                <w:sz w:val="20"/>
                <w:szCs w:val="20"/>
                <w:color w:val="auto"/>
              </w:rPr>
            </w:pPr>
            <w:r>
              <w:rPr>
                <w:rFonts w:ascii="Arial" w:cs="Arial" w:eastAsia="Arial" w:hAnsi="Arial"/>
                <w:sz w:val="18"/>
                <w:szCs w:val="18"/>
                <w:color w:val="auto"/>
              </w:rPr>
              <w:t>9.9 years</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10.0 years</w:t>
            </w: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Weighted average discount rate</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507"/>
        </w:trPr>
        <w:tc>
          <w:tcPr>
            <w:tcW w:w="8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jc w:val="right"/>
              <w:ind w:right="232"/>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64"/>
        </w:trPr>
        <w:tc>
          <w:tcPr>
            <w:tcW w:w="81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70"/>
        </w:trPr>
        <w:tc>
          <w:tcPr>
            <w:tcW w:w="81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ROU assets obtained in exchange for lease obligations</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8180" w:type="dxa"/>
            <w:vAlign w:val="bottom"/>
          </w:tcPr>
          <w:p>
            <w:pPr>
              <w:ind w:left="280"/>
              <w:spacing w:after="0"/>
              <w:rPr>
                <w:sz w:val="20"/>
                <w:szCs w:val="20"/>
                <w:color w:val="auto"/>
              </w:rPr>
            </w:pPr>
            <w:r>
              <w:rPr>
                <w:rFonts w:ascii="Arial" w:cs="Arial" w:eastAsia="Arial" w:hAnsi="Arial"/>
                <w:sz w:val="18"/>
                <w:szCs w:val="18"/>
                <w:color w:val="auto"/>
              </w:rPr>
              <w:t>Operating leases</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2,198</w:t>
            </w: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Finance leases</w:t>
            </w:r>
          </w:p>
        </w:tc>
        <w:tc>
          <w:tcPr>
            <w:tcW w:w="1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648"/>
        </w:trPr>
        <w:tc>
          <w:tcPr>
            <w:tcW w:w="8180" w:type="dxa"/>
            <w:vAlign w:val="bottom"/>
          </w:tcPr>
          <w:p>
            <w:pPr>
              <w:ind w:left="340"/>
              <w:spacing w:after="0"/>
              <w:rPr>
                <w:sz w:val="20"/>
                <w:szCs w:val="20"/>
                <w:color w:val="auto"/>
              </w:rPr>
            </w:pPr>
            <w:r>
              <w:rPr>
                <w:rFonts w:ascii="Arial" w:cs="Arial" w:eastAsia="Arial" w:hAnsi="Arial"/>
                <w:sz w:val="18"/>
                <w:szCs w:val="18"/>
                <w:color w:val="auto"/>
              </w:rPr>
              <w:t>Maturities of operating lease liabilities at March 31, 2020 were as follows: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818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180" w:type="dxa"/>
            <w:vAlign w:val="bottom"/>
          </w:tcPr>
          <w:p>
            <w:pPr>
              <w:ind w:left="40"/>
              <w:spacing w:after="0"/>
              <w:rPr>
                <w:sz w:val="20"/>
                <w:szCs w:val="20"/>
                <w:color w:val="auto"/>
              </w:rPr>
            </w:pPr>
            <w:r>
              <w:rPr>
                <w:rFonts w:ascii="Arial" w:cs="Arial" w:eastAsia="Arial" w:hAnsi="Arial"/>
                <w:sz w:val="18"/>
                <w:szCs w:val="18"/>
                <w:color w:val="auto"/>
              </w:rPr>
              <w:t>2020</w:t>
            </w:r>
            <w:r>
              <w:rPr>
                <w:rFonts w:ascii="Arial" w:cs="Arial" w:eastAsia="Arial" w:hAnsi="Arial"/>
                <w:sz w:val="21"/>
                <w:szCs w:val="21"/>
                <w:color w:val="auto"/>
                <w:vertAlign w:val="superscript"/>
              </w:rPr>
              <w:t>(1)</w:t>
            </w: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3,866</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6,749</w:t>
            </w:r>
          </w:p>
        </w:tc>
        <w:tc>
          <w:tcPr>
            <w:tcW w:w="0" w:type="dxa"/>
            <w:vAlign w:val="bottom"/>
          </w:tcPr>
          <w:p>
            <w:pPr>
              <w:spacing w:after="0"/>
              <w:rPr>
                <w:sz w:val="1"/>
                <w:szCs w:val="1"/>
                <w:color w:val="auto"/>
              </w:rPr>
            </w:pPr>
          </w:p>
        </w:tc>
      </w:tr>
      <w:tr>
        <w:trPr>
          <w:trHeight w:val="250"/>
        </w:trPr>
        <w:tc>
          <w:tcPr>
            <w:tcW w:w="8180" w:type="dxa"/>
            <w:vAlign w:val="bottom"/>
          </w:tcPr>
          <w:p>
            <w:pPr>
              <w:ind w:left="4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6,985</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6,993</w:t>
            </w:r>
          </w:p>
        </w:tc>
        <w:tc>
          <w:tcPr>
            <w:tcW w:w="0" w:type="dxa"/>
            <w:vAlign w:val="bottom"/>
          </w:tcPr>
          <w:p>
            <w:pPr>
              <w:spacing w:after="0"/>
              <w:rPr>
                <w:sz w:val="1"/>
                <w:szCs w:val="1"/>
                <w:color w:val="auto"/>
              </w:rPr>
            </w:pPr>
          </w:p>
        </w:tc>
      </w:tr>
      <w:tr>
        <w:trPr>
          <w:trHeight w:val="250"/>
        </w:trPr>
        <w:tc>
          <w:tcPr>
            <w:tcW w:w="8180" w:type="dxa"/>
            <w:vAlign w:val="bottom"/>
          </w:tcPr>
          <w:p>
            <w:pPr>
              <w:ind w:left="40"/>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7,129</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50,935</w:t>
            </w:r>
          </w:p>
        </w:tc>
        <w:tc>
          <w:tcPr>
            <w:tcW w:w="0" w:type="dxa"/>
            <w:vAlign w:val="bottom"/>
          </w:tcPr>
          <w:p>
            <w:pPr>
              <w:spacing w:after="0"/>
              <w:rPr>
                <w:sz w:val="1"/>
                <w:szCs w:val="1"/>
                <w:color w:val="auto"/>
              </w:rPr>
            </w:pPr>
          </w:p>
        </w:tc>
      </w:tr>
      <w:tr>
        <w:trPr>
          <w:trHeight w:val="250"/>
        </w:trPr>
        <w:tc>
          <w:tcPr>
            <w:tcW w:w="8180" w:type="dxa"/>
            <w:vAlign w:val="bottom"/>
          </w:tcPr>
          <w:p>
            <w:pPr>
              <w:ind w:left="280"/>
              <w:spacing w:after="0"/>
              <w:rPr>
                <w:sz w:val="20"/>
                <w:szCs w:val="20"/>
                <w:color w:val="auto"/>
              </w:rPr>
            </w:pPr>
            <w:r>
              <w:rPr>
                <w:rFonts w:ascii="Arial" w:cs="Arial" w:eastAsia="Arial" w:hAnsi="Arial"/>
                <w:sz w:val="18"/>
                <w:szCs w:val="18"/>
                <w:color w:val="auto"/>
              </w:rPr>
              <w:t>Total lease payments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82,657</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Imputed interest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(22,985)</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Tenant incentives</w:t>
            </w:r>
          </w:p>
        </w:tc>
        <w:tc>
          <w:tcPr>
            <w:tcW w:w="14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(14,505)</w:t>
            </w:r>
          </w:p>
        </w:tc>
        <w:tc>
          <w:tcPr>
            <w:tcW w:w="0" w:type="dxa"/>
            <w:vAlign w:val="bottom"/>
          </w:tcPr>
          <w:p>
            <w:pPr>
              <w:spacing w:after="0"/>
              <w:rPr>
                <w:sz w:val="1"/>
                <w:szCs w:val="1"/>
                <w:color w:val="auto"/>
              </w:rPr>
            </w:pPr>
          </w:p>
        </w:tc>
      </w:tr>
      <w:tr>
        <w:trPr>
          <w:trHeight w:val="257"/>
        </w:trPr>
        <w:tc>
          <w:tcPr>
            <w:tcW w:w="8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45,167</w:t>
            </w: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Arial" w:cs="Arial" w:eastAsia="Arial" w:hAnsi="Arial"/>
                <w:sz w:val="11"/>
                <w:szCs w:val="11"/>
                <w:color w:val="auto"/>
              </w:rPr>
              <w:t>_______________</w:t>
            </w: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81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380" w:hanging="372"/>
        <w:spacing w:after="0"/>
        <w:tabs>
          <w:tab w:leader="none" w:pos="3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the nine months ending December 31, 2020.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247" w:lineRule="exact"/>
        <w:rPr>
          <w:sz w:val="20"/>
          <w:szCs w:val="20"/>
          <w:color w:val="auto"/>
        </w:rPr>
      </w:pPr>
    </w:p>
    <w:p>
      <w:pPr>
        <w:jc w:val="both"/>
        <w:ind w:right="80" w:firstLine="324"/>
        <w:spacing w:after="0" w:line="256" w:lineRule="auto"/>
        <w:rPr>
          <w:sz w:val="20"/>
          <w:szCs w:val="20"/>
          <w:color w:val="auto"/>
        </w:rPr>
      </w:pPr>
      <w:r>
        <w:rPr>
          <w:rFonts w:ascii="Arial" w:cs="Arial" w:eastAsia="Arial" w:hAnsi="Arial"/>
          <w:sz w:val="18"/>
          <w:szCs w:val="18"/>
          <w:color w:val="auto"/>
        </w:rPr>
        <w:t>There were no amounts outstanding under our $25.0 million revolving credit facility (“Credit Facility”) with Silicon Valley Bank in the three months ended March 31, 2020 or in 2019. Our borrowing capacity at March 31, 2020 was reduced by $2.5 million related to a standby letter of credit for the security deposit on our new headquarters lease.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240"/>
          </w:cols>
          <w:pgMar w:left="320" w:top="140" w:right="339" w:bottom="1440" w:gutter="0" w:footer="0" w:header="0"/>
          <w:type w:val="continuous"/>
        </w:sectPr>
      </w:pPr>
    </w:p>
    <w:bookmarkStart w:id="13" w:name="page14"/>
    <w:bookmarkEnd w:id="1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480" w:firstLine="324"/>
        <w:spacing w:after="0" w:line="261" w:lineRule="auto"/>
        <w:rPr>
          <w:sz w:val="20"/>
          <w:szCs w:val="20"/>
          <w:color w:val="auto"/>
        </w:rPr>
      </w:pPr>
      <w:r>
        <w:rPr>
          <w:rFonts w:ascii="Arial" w:cs="Arial" w:eastAsia="Arial" w:hAnsi="Arial"/>
          <w:sz w:val="18"/>
          <w:szCs w:val="18"/>
          <w:color w:val="auto"/>
        </w:rPr>
        <w:t>In April 2020, the maturity date of the Credit Facility was extended by 60 days until July 3, 2020. Additionally, the Credit Facility was amended to increase the maximum amount of letters of credit that may be issued from $5.0 million to $6.5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247" w:lineRule="exact"/>
        <w:rPr>
          <w:sz w:val="20"/>
          <w:szCs w:val="20"/>
          <w:color w:val="auto"/>
        </w:rPr>
      </w:pPr>
    </w:p>
    <w:p>
      <w:pPr>
        <w:ind w:right="460" w:firstLine="324"/>
        <w:spacing w:after="0" w:line="261" w:lineRule="auto"/>
        <w:rPr>
          <w:sz w:val="20"/>
          <w:szCs w:val="20"/>
          <w:color w:val="auto"/>
        </w:rPr>
      </w:pPr>
      <w:r>
        <w:rPr>
          <w:rFonts w:ascii="Arial" w:cs="Arial" w:eastAsia="Arial" w:hAnsi="Arial"/>
          <w:sz w:val="18"/>
          <w:szCs w:val="18"/>
          <w:color w:val="auto"/>
        </w:rPr>
        <w:t>Under the evergreen provision in our 2018 Equity Incentive Plan ("2018 Plan"), we reserved an additional 4,929,361 shares of our common stock for issuance in January 2020. At March 31, 2020, there were 17,555,416 shares available for grant under the 2018 Plan.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Stock-based compensation expense included in the consolidated statements of operations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6"/>
                <w:szCs w:val="16"/>
                <w:b w:val="1"/>
                <w:bCs w:val="1"/>
                <w:color w:val="auto"/>
              </w:rPr>
              <w:t>Three Months Ended March 31,</w:t>
            </w:r>
          </w:p>
        </w:tc>
      </w:tr>
      <w:tr>
        <w:trPr>
          <w:trHeight w:val="263"/>
        </w:trPr>
        <w:tc>
          <w:tcPr>
            <w:tcW w:w="80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2019</w:t>
            </w:r>
          </w:p>
        </w:tc>
      </w:tr>
      <w:tr>
        <w:trPr>
          <w:trHeight w:val="257"/>
        </w:trPr>
        <w:tc>
          <w:tcPr>
            <w:tcW w:w="8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747</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652</w:t>
            </w:r>
          </w:p>
        </w:tc>
      </w:tr>
      <w:tr>
        <w:trPr>
          <w:trHeight w:val="263"/>
        </w:trPr>
        <w:tc>
          <w:tcPr>
            <w:tcW w:w="808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4,496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3,366</w:t>
            </w:r>
          </w:p>
        </w:tc>
      </w:tr>
      <w:tr>
        <w:trPr>
          <w:trHeight w:val="277"/>
        </w:trPr>
        <w:tc>
          <w:tcPr>
            <w:tcW w:w="8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2,948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2,030</w:t>
            </w:r>
          </w:p>
        </w:tc>
      </w:tr>
      <w:tr>
        <w:trPr>
          <w:trHeight w:val="263"/>
        </w:trPr>
        <w:tc>
          <w:tcPr>
            <w:tcW w:w="8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4,844</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3,271</w:t>
            </w:r>
          </w:p>
        </w:tc>
      </w:tr>
      <w:tr>
        <w:trPr>
          <w:trHeight w:val="256"/>
        </w:trPr>
        <w:tc>
          <w:tcPr>
            <w:tcW w:w="8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stock-based compensation expense</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13,035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9,319</w:t>
            </w:r>
          </w:p>
        </w:tc>
      </w:tr>
      <w:tr>
        <w:trPr>
          <w:trHeight w:val="20"/>
        </w:trPr>
        <w:tc>
          <w:tcPr>
            <w:tcW w:w="8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180" w:firstLine="324"/>
        <w:spacing w:after="0" w:line="261" w:lineRule="auto"/>
        <w:rPr>
          <w:sz w:val="20"/>
          <w:szCs w:val="20"/>
          <w:color w:val="auto"/>
        </w:rPr>
      </w:pPr>
      <w:r>
        <w:rPr>
          <w:rFonts w:ascii="Arial" w:cs="Arial" w:eastAsia="Arial" w:hAnsi="Arial"/>
          <w:sz w:val="18"/>
          <w:szCs w:val="18"/>
          <w:color w:val="auto"/>
        </w:rPr>
        <w:t>At March 31, 2020, the unrecognized stock-based compensation expense related to unvested restricted stock units was $134.5 million, which is expected to be recognized over an estimated remaining weighted average period of 3.4 years.</w:t>
      </w:r>
    </w:p>
    <w:p>
      <w:pPr>
        <w:spacing w:after="0" w:line="198" w:lineRule="exact"/>
        <w:rPr>
          <w:sz w:val="20"/>
          <w:szCs w:val="20"/>
          <w:color w:val="auto"/>
        </w:rPr>
      </w:pPr>
    </w:p>
    <w:p>
      <w:pPr>
        <w:ind w:right="280" w:firstLine="324"/>
        <w:spacing w:after="0" w:line="261" w:lineRule="auto"/>
        <w:rPr>
          <w:sz w:val="20"/>
          <w:szCs w:val="20"/>
          <w:color w:val="auto"/>
        </w:rPr>
      </w:pPr>
      <w:r>
        <w:rPr>
          <w:rFonts w:ascii="Arial" w:cs="Arial" w:eastAsia="Arial" w:hAnsi="Arial"/>
          <w:sz w:val="18"/>
          <w:szCs w:val="18"/>
          <w:color w:val="auto"/>
        </w:rPr>
        <w:t>At March 31, 2020, the total unrecognized stock-based compensation expense related to outstanding stock options was $20.3 million, which is expected to be recognized over an estimated remaining weighted average period of 1.9 years.</w:t>
      </w:r>
    </w:p>
    <w:p>
      <w:pPr>
        <w:spacing w:after="0" w:line="198" w:lineRule="exact"/>
        <w:rPr>
          <w:sz w:val="20"/>
          <w:szCs w:val="20"/>
          <w:color w:val="auto"/>
        </w:rPr>
      </w:pPr>
    </w:p>
    <w:p>
      <w:pPr>
        <w:ind w:right="600" w:firstLine="324"/>
        <w:spacing w:after="0" w:line="261" w:lineRule="auto"/>
        <w:rPr>
          <w:sz w:val="20"/>
          <w:szCs w:val="20"/>
          <w:color w:val="auto"/>
        </w:rPr>
      </w:pPr>
      <w:r>
        <w:rPr>
          <w:rFonts w:ascii="Arial" w:cs="Arial" w:eastAsia="Arial" w:hAnsi="Arial"/>
          <w:sz w:val="18"/>
          <w:szCs w:val="18"/>
          <w:color w:val="auto"/>
        </w:rPr>
        <w:t>At March 31, 2020, the unrecognized stock-based compensation expense related to unvested awards of restricted stock was $1.3 million, which is expected to be recognized over an estimated remaining period of 0.8 years.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and Restricted Stock Units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restricted stock and restricted stock units activity is presented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80" w:type="dxa"/>
            <w:vAlign w:val="bottom"/>
          </w:tcPr>
          <w:p>
            <w:pPr>
              <w:spacing w:after="0"/>
              <w:rPr>
                <w:sz w:val="19"/>
                <w:szCs w:val="19"/>
                <w:color w:val="auto"/>
              </w:rPr>
            </w:pPr>
          </w:p>
        </w:tc>
        <w:tc>
          <w:tcPr>
            <w:tcW w:w="3020" w:type="dxa"/>
            <w:vAlign w:val="bottom"/>
            <w:tcBorders>
              <w:bottom w:val="single" w:sz="8" w:color="auto"/>
            </w:tcBorders>
            <w:gridSpan w:val="4"/>
          </w:tcPr>
          <w:p>
            <w:pPr>
              <w:jc w:val="right"/>
              <w:ind w:right="774"/>
              <w:spacing w:after="0"/>
              <w:rPr>
                <w:sz w:val="20"/>
                <w:szCs w:val="20"/>
                <w:color w:val="auto"/>
              </w:rPr>
            </w:pPr>
            <w:r>
              <w:rPr>
                <w:rFonts w:ascii="Arial" w:cs="Arial" w:eastAsia="Arial" w:hAnsi="Arial"/>
                <w:sz w:val="16"/>
                <w:szCs w:val="16"/>
                <w:b w:val="1"/>
                <w:bCs w:val="1"/>
                <w:color w:val="auto"/>
              </w:rPr>
              <w:t>Restricted Stock</w:t>
            </w:r>
          </w:p>
        </w:tc>
        <w:tc>
          <w:tcPr>
            <w:tcW w:w="120" w:type="dxa"/>
            <w:vAlign w:val="bottom"/>
          </w:tcPr>
          <w:p>
            <w:pPr>
              <w:spacing w:after="0"/>
              <w:rPr>
                <w:sz w:val="19"/>
                <w:szCs w:val="19"/>
                <w:color w:val="auto"/>
              </w:rPr>
            </w:pPr>
          </w:p>
        </w:tc>
        <w:tc>
          <w:tcPr>
            <w:tcW w:w="302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6"/>
                <w:szCs w:val="16"/>
                <w:b w:val="1"/>
                <w:bCs w:val="1"/>
                <w:color w:val="auto"/>
              </w:rPr>
              <w:t>Restricted Stock Units</w:t>
            </w:r>
          </w:p>
        </w:tc>
      </w:tr>
      <w:tr>
        <w:trPr>
          <w:trHeight w:val="198"/>
        </w:trPr>
        <w:tc>
          <w:tcPr>
            <w:tcW w:w="50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Weighted</w:t>
            </w: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54"/>
              <w:spacing w:after="0"/>
              <w:rPr>
                <w:sz w:val="20"/>
                <w:szCs w:val="20"/>
                <w:color w:val="auto"/>
              </w:rPr>
            </w:pPr>
            <w:r>
              <w:rPr>
                <w:rFonts w:ascii="Arial" w:cs="Arial" w:eastAsia="Arial" w:hAnsi="Arial"/>
                <w:sz w:val="16"/>
                <w:szCs w:val="16"/>
                <w:b w:val="1"/>
                <w:bCs w:val="1"/>
                <w:color w:val="auto"/>
                <w:w w:val="99"/>
              </w:rPr>
              <w:t>Weighted</w:t>
            </w:r>
          </w:p>
        </w:tc>
      </w:tr>
      <w:tr>
        <w:trPr>
          <w:trHeight w:val="189"/>
        </w:trPr>
        <w:tc>
          <w:tcPr>
            <w:tcW w:w="50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Average</w:t>
            </w: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54"/>
              <w:spacing w:after="0"/>
              <w:rPr>
                <w:sz w:val="20"/>
                <w:szCs w:val="20"/>
                <w:color w:val="auto"/>
              </w:rPr>
            </w:pPr>
            <w:r>
              <w:rPr>
                <w:rFonts w:ascii="Arial" w:cs="Arial" w:eastAsia="Arial" w:hAnsi="Arial"/>
                <w:sz w:val="16"/>
                <w:szCs w:val="16"/>
                <w:b w:val="1"/>
                <w:bCs w:val="1"/>
                <w:color w:val="auto"/>
              </w:rPr>
              <w:t>Average</w:t>
            </w:r>
          </w:p>
        </w:tc>
      </w:tr>
      <w:tr>
        <w:trPr>
          <w:trHeight w:val="189"/>
        </w:trPr>
        <w:tc>
          <w:tcPr>
            <w:tcW w:w="5080" w:type="dxa"/>
            <w:vAlign w:val="bottom"/>
          </w:tcPr>
          <w:p>
            <w:pPr>
              <w:spacing w:after="0"/>
              <w:rPr>
                <w:sz w:val="16"/>
                <w:szCs w:val="16"/>
                <w:color w:val="auto"/>
              </w:rPr>
            </w:pPr>
          </w:p>
        </w:tc>
        <w:tc>
          <w:tcPr>
            <w:tcW w:w="1440" w:type="dxa"/>
            <w:vAlign w:val="bottom"/>
          </w:tcPr>
          <w:p>
            <w:pPr>
              <w:jc w:val="right"/>
              <w:ind w:right="333"/>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Grant Date Fair</w:t>
            </w:r>
          </w:p>
        </w:tc>
        <w:tc>
          <w:tcPr>
            <w:tcW w:w="1440" w:type="dxa"/>
            <w:vAlign w:val="bottom"/>
          </w:tcPr>
          <w:p>
            <w:pPr>
              <w:jc w:val="right"/>
              <w:ind w:right="333"/>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54"/>
              <w:spacing w:after="0"/>
              <w:rPr>
                <w:sz w:val="20"/>
                <w:szCs w:val="20"/>
                <w:color w:val="auto"/>
              </w:rPr>
            </w:pPr>
            <w:r>
              <w:rPr>
                <w:rFonts w:ascii="Arial" w:cs="Arial" w:eastAsia="Arial" w:hAnsi="Arial"/>
                <w:sz w:val="16"/>
                <w:szCs w:val="16"/>
                <w:b w:val="1"/>
                <w:bCs w:val="1"/>
                <w:color w:val="auto"/>
              </w:rPr>
              <w:t>Grant Date Fair</w:t>
            </w:r>
          </w:p>
        </w:tc>
      </w:tr>
      <w:tr>
        <w:trPr>
          <w:trHeight w:val="228"/>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 except for per share data)</w:t>
            </w:r>
          </w:p>
        </w:tc>
        <w:tc>
          <w:tcPr>
            <w:tcW w:w="144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of Shares</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b w:val="1"/>
                <w:bCs w:val="1"/>
                <w:color w:val="auto"/>
                <w:w w:val="98"/>
              </w:rPr>
              <w:t>Value</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of Shares</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w w:val="98"/>
              </w:rPr>
              <w:t>Value</w:t>
            </w:r>
          </w:p>
        </w:tc>
      </w:tr>
      <w:tr>
        <w:trPr>
          <w:trHeight w:val="256"/>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Unvested balance at December 31, 2019</w:t>
            </w:r>
          </w:p>
        </w:tc>
        <w:tc>
          <w:tcPr>
            <w:tcW w:w="1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495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2,894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26.34</w:t>
            </w:r>
          </w:p>
        </w:tc>
      </w:tr>
      <w:tr>
        <w:trPr>
          <w:trHeight w:val="263"/>
        </w:trPr>
        <w:tc>
          <w:tcPr>
            <w:tcW w:w="5080" w:type="dxa"/>
            <w:vAlign w:val="bottom"/>
          </w:tcPr>
          <w:p>
            <w:pPr>
              <w:ind w:left="22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3,082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28.00</w:t>
            </w:r>
          </w:p>
        </w:tc>
      </w:tr>
      <w:tr>
        <w:trPr>
          <w:trHeight w:val="277"/>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29.14</w:t>
            </w:r>
          </w:p>
        </w:tc>
      </w:tr>
      <w:tr>
        <w:trPr>
          <w:trHeight w:val="264"/>
        </w:trPr>
        <w:tc>
          <w:tcPr>
            <w:tcW w:w="5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w:t>
            </w:r>
          </w:p>
        </w:tc>
        <w:tc>
          <w:tcPr>
            <w:tcW w:w="14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26.16</w:t>
            </w: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balance at March 31, 2020</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4.25</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5,450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27.07</w:t>
            </w:r>
          </w:p>
        </w:tc>
      </w:tr>
      <w:tr>
        <w:trPr>
          <w:trHeight w:val="20"/>
        </w:trPr>
        <w:tc>
          <w:tcPr>
            <w:tcW w:w="50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845"/>
        </w:trPr>
        <w:tc>
          <w:tcPr>
            <w:tcW w:w="5080" w:type="dxa"/>
            <w:vAlign w:val="bottom"/>
          </w:tcPr>
          <w:p>
            <w:pPr>
              <w:spacing w:after="0"/>
              <w:rPr>
                <w:sz w:val="24"/>
                <w:szCs w:val="24"/>
                <w:color w:val="auto"/>
              </w:rPr>
            </w:pPr>
          </w:p>
        </w:tc>
        <w:tc>
          <w:tcPr>
            <w:tcW w:w="1440" w:type="dxa"/>
            <w:vAlign w:val="bottom"/>
          </w:tcPr>
          <w:p>
            <w:pPr>
              <w:jc w:val="right"/>
              <w:ind w:right="71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240"/>
          </w:cols>
          <w:pgMar w:left="320" w:top="140" w:right="339" w:bottom="1440" w:gutter="0" w:footer="0" w:header="0"/>
        </w:sectPr>
      </w:pPr>
    </w:p>
    <w:bookmarkStart w:id="14" w:name="page15"/>
    <w:bookmarkEnd w:id="1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stock option activity is presented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Weighted-</w:t>
            </w: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Average</w:t>
            </w: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tcPr>
          <w:p>
            <w:pPr>
              <w:spacing w:after="0"/>
              <w:rPr>
                <w:sz w:val="16"/>
                <w:szCs w:val="16"/>
                <w:color w:val="auto"/>
              </w:rPr>
            </w:pPr>
          </w:p>
        </w:tc>
        <w:tc>
          <w:tcPr>
            <w:tcW w:w="1440" w:type="dxa"/>
            <w:vAlign w:val="bottom"/>
          </w:tcPr>
          <w:p>
            <w:pPr>
              <w:jc w:val="right"/>
              <w:ind w:right="332"/>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Average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Contractual Term</w:t>
            </w:r>
          </w:p>
        </w:tc>
        <w:tc>
          <w:tcPr>
            <w:tcW w:w="200" w:type="dxa"/>
            <w:vAlign w:val="bottom"/>
          </w:tcPr>
          <w:p>
            <w:pPr>
              <w:spacing w:after="0"/>
              <w:rPr>
                <w:sz w:val="16"/>
                <w:szCs w:val="16"/>
                <w:color w:val="auto"/>
              </w:rPr>
            </w:pPr>
          </w:p>
        </w:tc>
        <w:tc>
          <w:tcPr>
            <w:tcW w:w="1320" w:type="dxa"/>
            <w:vAlign w:val="bottom"/>
          </w:tcPr>
          <w:p>
            <w:pPr>
              <w:jc w:val="right"/>
              <w:ind w:right="273"/>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228"/>
        </w:trPr>
        <w:tc>
          <w:tcPr>
            <w:tcW w:w="50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 except for per share data and years)</w:t>
            </w:r>
          </w:p>
        </w:tc>
        <w:tc>
          <w:tcPr>
            <w:tcW w:w="144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of Shares</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rPr>
              <w:t>Exercise Price</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 years)</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3"/>
              <w:spacing w:after="0"/>
              <w:rPr>
                <w:sz w:val="20"/>
                <w:szCs w:val="20"/>
                <w:color w:val="auto"/>
              </w:rPr>
            </w:pPr>
            <w:r>
              <w:rPr>
                <w:rFonts w:ascii="Arial" w:cs="Arial" w:eastAsia="Arial" w:hAnsi="Arial"/>
                <w:sz w:val="16"/>
                <w:szCs w:val="16"/>
                <w:b w:val="1"/>
                <w:bCs w:val="1"/>
                <w:color w:val="auto"/>
                <w:w w:val="98"/>
              </w:rPr>
              <w:t>Intrinsic Value</w:t>
            </w: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2019</w:t>
            </w:r>
          </w:p>
        </w:tc>
        <w:tc>
          <w:tcPr>
            <w:tcW w:w="1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12,939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8.38</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201,608</w:t>
            </w:r>
          </w:p>
        </w:tc>
        <w:tc>
          <w:tcPr>
            <w:tcW w:w="0" w:type="dxa"/>
            <w:vAlign w:val="bottom"/>
          </w:tcPr>
          <w:p>
            <w:pPr>
              <w:spacing w:after="0"/>
              <w:rPr>
                <w:sz w:val="1"/>
                <w:szCs w:val="1"/>
                <w:color w:val="auto"/>
              </w:rPr>
            </w:pPr>
          </w:p>
        </w:tc>
      </w:tr>
      <w:tr>
        <w:trPr>
          <w:trHeight w:val="290"/>
        </w:trPr>
        <w:tc>
          <w:tcPr>
            <w:tcW w:w="5020" w:type="dxa"/>
            <w:vAlign w:val="bottom"/>
          </w:tcPr>
          <w:p>
            <w:pPr>
              <w:ind w:left="22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12,383</w:t>
            </w:r>
          </w:p>
        </w:tc>
        <w:tc>
          <w:tcPr>
            <w:tcW w:w="0" w:type="dxa"/>
            <w:vAlign w:val="bottom"/>
          </w:tcPr>
          <w:p>
            <w:pPr>
              <w:spacing w:after="0"/>
              <w:rPr>
                <w:sz w:val="1"/>
                <w:szCs w:val="1"/>
                <w:color w:val="auto"/>
              </w:rPr>
            </w:pPr>
          </w:p>
        </w:tc>
      </w:tr>
      <w:tr>
        <w:trPr>
          <w:trHeight w:val="290"/>
        </w:trPr>
        <w:tc>
          <w:tcPr>
            <w:tcW w:w="5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Forfeited/canceled</w:t>
            </w:r>
          </w:p>
        </w:tc>
        <w:tc>
          <w:tcPr>
            <w:tcW w:w="1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color w:val="auto"/>
              </w:rPr>
              <w:t>10.78</w:t>
            </w:r>
          </w:p>
        </w:tc>
        <w:tc>
          <w:tcPr>
            <w:tcW w:w="10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31, 2020</w:t>
            </w: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12,114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8.45</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162,596</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vMerge w:val="restart"/>
          </w:tcPr>
          <w:p>
            <w:pPr>
              <w:jc w:val="right"/>
              <w:ind w:right="13"/>
              <w:spacing w:after="0"/>
              <w:rPr>
                <w:sz w:val="20"/>
                <w:szCs w:val="20"/>
                <w:color w:val="auto"/>
              </w:rPr>
            </w:pPr>
            <w:r>
              <w:rPr>
                <w:rFonts w:ascii="Arial" w:cs="Arial" w:eastAsia="Arial" w:hAnsi="Arial"/>
                <w:sz w:val="18"/>
                <w:szCs w:val="18"/>
                <w:color w:val="auto"/>
              </w:rPr>
              <w:t>106,847</w:t>
            </w:r>
          </w:p>
        </w:tc>
        <w:tc>
          <w:tcPr>
            <w:tcW w:w="0" w:type="dxa"/>
            <w:vAlign w:val="bottom"/>
          </w:tcPr>
          <w:p>
            <w:pPr>
              <w:spacing w:after="0" w:line="20" w:lineRule="exact"/>
              <w:rPr>
                <w:sz w:val="1"/>
                <w:szCs w:val="1"/>
                <w:color w:val="auto"/>
              </w:rPr>
            </w:pPr>
          </w:p>
        </w:tc>
      </w:tr>
      <w:tr>
        <w:trPr>
          <w:trHeight w:val="237"/>
        </w:trPr>
        <w:tc>
          <w:tcPr>
            <w:tcW w:w="5020" w:type="dxa"/>
            <w:vAlign w:val="bottom"/>
          </w:tcPr>
          <w:p>
            <w:pPr>
              <w:ind w:left="40"/>
              <w:spacing w:after="0"/>
              <w:rPr>
                <w:sz w:val="20"/>
                <w:szCs w:val="20"/>
                <w:color w:val="auto"/>
              </w:rPr>
            </w:pPr>
            <w:r>
              <w:rPr>
                <w:rFonts w:ascii="Arial" w:cs="Arial" w:eastAsia="Arial" w:hAnsi="Arial"/>
                <w:sz w:val="18"/>
                <w:szCs w:val="18"/>
                <w:color w:val="auto"/>
              </w:rPr>
              <w:t>Exercisable at March 31, 2020</w:t>
            </w:r>
          </w:p>
        </w:tc>
        <w:tc>
          <w:tcPr>
            <w:tcW w:w="1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6,783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0"/>
                <w:szCs w:val="20"/>
                <w:color w:val="auto"/>
              </w:rPr>
            </w:pPr>
          </w:p>
        </w:tc>
        <w:tc>
          <w:tcPr>
            <w:tcW w:w="1460" w:type="dxa"/>
            <w:vAlign w:val="bottom"/>
          </w:tcPr>
          <w:p>
            <w:pPr>
              <w:jc w:val="right"/>
              <w:ind w:right="496"/>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March 31, 2020, there were 12.1 million stock options that were vested and expected to vest.</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2018 Employee Stock Purchase Plan</w:t>
      </w:r>
    </w:p>
    <w:p>
      <w:pPr>
        <w:spacing w:after="0" w:line="247" w:lineRule="exact"/>
        <w:rPr>
          <w:sz w:val="20"/>
          <w:szCs w:val="20"/>
          <w:color w:val="auto"/>
        </w:rPr>
      </w:pPr>
    </w:p>
    <w:p>
      <w:pPr>
        <w:jc w:val="both"/>
        <w:ind w:right="140" w:firstLine="324"/>
        <w:spacing w:after="0" w:line="256" w:lineRule="auto"/>
        <w:rPr>
          <w:sz w:val="20"/>
          <w:szCs w:val="20"/>
          <w:color w:val="auto"/>
        </w:rPr>
      </w:pPr>
      <w:r>
        <w:rPr>
          <w:rFonts w:ascii="Arial" w:cs="Arial" w:eastAsia="Arial" w:hAnsi="Arial"/>
          <w:sz w:val="18"/>
          <w:szCs w:val="18"/>
          <w:color w:val="auto"/>
        </w:rPr>
        <w:t>Under the evergreen provision in our 2018 Employee Stock Purchase Plan ("2018 ESPP"), we reserved an additional 1,478,808 shares of our common stock for issuance in January 2020. At March 31, 2020, there were 5,721,517 shares reserved for issuance under the 2018 ESPP.</w:t>
      </w:r>
    </w:p>
    <w:p>
      <w:pPr>
        <w:spacing w:after="0" w:line="202" w:lineRule="exact"/>
        <w:rPr>
          <w:sz w:val="20"/>
          <w:szCs w:val="20"/>
          <w:color w:val="auto"/>
        </w:rPr>
      </w:pPr>
    </w:p>
    <w:p>
      <w:pPr>
        <w:ind w:right="180" w:firstLine="324"/>
        <w:spacing w:after="0" w:line="261" w:lineRule="auto"/>
        <w:rPr>
          <w:sz w:val="20"/>
          <w:szCs w:val="20"/>
          <w:color w:val="auto"/>
        </w:rPr>
      </w:pPr>
      <w:r>
        <w:rPr>
          <w:rFonts w:ascii="Arial" w:cs="Arial" w:eastAsia="Arial" w:hAnsi="Arial"/>
          <w:sz w:val="18"/>
          <w:szCs w:val="18"/>
          <w:color w:val="auto"/>
        </w:rPr>
        <w:t>In the three months ended March 31, 2020, employees purchased 377,378 shares of our common stock at a weighted average price of $19.36 per share, resulting in $7.3 million of cash proceeds.</w:t>
      </w:r>
    </w:p>
    <w:p>
      <w:pPr>
        <w:spacing w:after="0" w:line="198"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At March 31, 2020, there was $1.7 million of employee contributions to the 2018 ESPP included in accrued compensation. The unrecognized stock-based compensation expense related to our 2018 ESPP was $8.7 million, which is expected to be recognized over the remaining weighted average period of 0.8 years.</w:t>
      </w:r>
    </w:p>
    <w:p>
      <w:pPr>
        <w:spacing w:after="0" w:line="202" w:lineRule="exact"/>
        <w:rPr>
          <w:sz w:val="20"/>
          <w:szCs w:val="20"/>
          <w:color w:val="auto"/>
        </w:rPr>
      </w:pPr>
    </w:p>
    <w:p>
      <w:pPr>
        <w:ind w:right="520" w:firstLine="324"/>
        <w:spacing w:after="0" w:line="261" w:lineRule="auto"/>
        <w:rPr>
          <w:sz w:val="20"/>
          <w:szCs w:val="20"/>
          <w:color w:val="auto"/>
        </w:rPr>
      </w:pPr>
      <w:r>
        <w:rPr>
          <w:rFonts w:ascii="Arial" w:cs="Arial" w:eastAsia="Arial" w:hAnsi="Arial"/>
          <w:sz w:val="18"/>
          <w:szCs w:val="18"/>
          <w:color w:val="auto"/>
        </w:rPr>
        <w:t>The fair value of the 2018 ESPP purchase rights was estimated on the offering or modification dates using a Black-Scholes option-pricing model and the following assumptions:</w:t>
      </w:r>
    </w:p>
    <w:p>
      <w:pPr>
        <w:spacing w:after="0" w:line="154" w:lineRule="exact"/>
        <w:rPr>
          <w:sz w:val="20"/>
          <w:szCs w:val="20"/>
          <w:color w:val="auto"/>
        </w:rPr>
      </w:pPr>
    </w:p>
    <w:p>
      <w:pPr>
        <w:ind w:left="786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31750</wp:posOffset>
            </wp:positionV>
            <wp:extent cx="27774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4"/>
          </w:tcPr>
          <w:p>
            <w:pPr>
              <w:jc w:val="right"/>
              <w:ind w:right="791"/>
              <w:spacing w:after="0"/>
              <w:rPr>
                <w:sz w:val="20"/>
                <w:szCs w:val="20"/>
                <w:color w:val="auto"/>
              </w:rPr>
            </w:pPr>
            <w:r>
              <w:rPr>
                <w:rFonts w:ascii="Arial" w:cs="Arial" w:eastAsia="Arial" w:hAnsi="Arial"/>
                <w:sz w:val="16"/>
                <w:szCs w:val="16"/>
                <w:b w:val="1"/>
                <w:bCs w:val="1"/>
                <w:color w:val="auto"/>
              </w:rPr>
              <w:t>2019</w:t>
            </w:r>
          </w:p>
        </w:tc>
      </w:tr>
      <w:tr>
        <w:trPr>
          <w:trHeight w:val="257"/>
        </w:trPr>
        <w:tc>
          <w:tcPr>
            <w:tcW w:w="7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40" w:type="dxa"/>
            <w:vAlign w:val="bottom"/>
            <w:gridSpan w:val="2"/>
            <w:shd w:val="clear" w:color="auto" w:fill="CCEEFF"/>
          </w:tcPr>
          <w:p>
            <w:pPr>
              <w:jc w:val="right"/>
              <w:ind w:right="259"/>
              <w:spacing w:after="0"/>
              <w:rPr>
                <w:sz w:val="20"/>
                <w:szCs w:val="20"/>
                <w:color w:val="auto"/>
              </w:rPr>
            </w:pPr>
            <w:r>
              <w:rPr>
                <w:rFonts w:ascii="Arial" w:cs="Arial" w:eastAsia="Arial" w:hAnsi="Arial"/>
                <w:sz w:val="18"/>
                <w:szCs w:val="18"/>
                <w:color w:val="auto"/>
                <w:w w:val="99"/>
              </w:rPr>
              <w:t>— 2.0</w:t>
            </w: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2.0</w:t>
            </w:r>
          </w:p>
        </w:tc>
      </w:tr>
      <w:tr>
        <w:trPr>
          <w:trHeight w:val="263"/>
        </w:trPr>
        <w:tc>
          <w:tcPr>
            <w:tcW w:w="7180" w:type="dxa"/>
            <w:vAlign w:val="bottom"/>
            <w:gridSpan w:val="2"/>
          </w:tcPr>
          <w:p>
            <w:pPr>
              <w:ind w:left="40"/>
              <w:spacing w:after="0"/>
              <w:rPr>
                <w:sz w:val="20"/>
                <w:szCs w:val="20"/>
                <w:color w:val="auto"/>
              </w:rPr>
            </w:pPr>
            <w:r>
              <w:rPr>
                <w:rFonts w:ascii="Arial" w:cs="Arial" w:eastAsia="Arial" w:hAnsi="Arial"/>
                <w:sz w:val="18"/>
                <w:szCs w:val="18"/>
                <w:color w:val="auto"/>
              </w:rPr>
              <w:t>Expected volatility</w:t>
            </w:r>
          </w:p>
        </w:tc>
        <w:tc>
          <w:tcPr>
            <w:tcW w:w="640" w:type="dxa"/>
            <w:vAlign w:val="bottom"/>
          </w:tcPr>
          <w:p>
            <w:pPr>
              <w:jc w:val="right"/>
              <w:spacing w:after="0"/>
              <w:rPr>
                <w:sz w:val="20"/>
                <w:szCs w:val="20"/>
                <w:color w:val="auto"/>
              </w:rPr>
            </w:pPr>
            <w:r>
              <w:rPr>
                <w:rFonts w:ascii="Arial" w:cs="Arial" w:eastAsia="Arial" w:hAnsi="Arial"/>
                <w:sz w:val="18"/>
                <w:szCs w:val="18"/>
                <w:color w:val="auto"/>
              </w:rPr>
              <w:t>41.6%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9"/>
              </w:rPr>
              <w:t>— 47.9%</w:t>
            </w:r>
          </w:p>
        </w:tc>
        <w:tc>
          <w:tcPr>
            <w:tcW w:w="1400" w:type="dxa"/>
            <w:vAlign w:val="bottom"/>
            <w:gridSpan w:val="6"/>
          </w:tcPr>
          <w:p>
            <w:pPr>
              <w:jc w:val="right"/>
              <w:ind w:right="20"/>
              <w:spacing w:after="0"/>
              <w:rPr>
                <w:sz w:val="20"/>
                <w:szCs w:val="20"/>
                <w:color w:val="auto"/>
              </w:rPr>
            </w:pPr>
            <w:r>
              <w:rPr>
                <w:rFonts w:ascii="Arial" w:cs="Arial" w:eastAsia="Arial" w:hAnsi="Arial"/>
                <w:sz w:val="18"/>
                <w:szCs w:val="18"/>
                <w:color w:val="auto"/>
              </w:rPr>
              <w:t>35.4%</w:t>
            </w:r>
          </w:p>
        </w:tc>
        <w:tc>
          <w:tcPr>
            <w:tcW w:w="1180" w:type="dxa"/>
            <w:vAlign w:val="bottom"/>
          </w:tcPr>
          <w:p>
            <w:pPr>
              <w:ind w:left="20"/>
              <w:spacing w:after="0"/>
              <w:rPr>
                <w:sz w:val="20"/>
                <w:szCs w:val="20"/>
                <w:color w:val="auto"/>
              </w:rPr>
            </w:pPr>
            <w:r>
              <w:rPr>
                <w:rFonts w:ascii="Arial" w:cs="Arial" w:eastAsia="Arial" w:hAnsi="Arial"/>
                <w:sz w:val="18"/>
                <w:szCs w:val="18"/>
                <w:color w:val="auto"/>
              </w:rPr>
              <w:t>— 44.6%</w:t>
            </w:r>
          </w:p>
        </w:tc>
      </w:tr>
      <w:tr>
        <w:trPr>
          <w:trHeight w:val="277"/>
        </w:trPr>
        <w:tc>
          <w:tcPr>
            <w:tcW w:w="7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4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w w:val="99"/>
              </w:rPr>
              <w:t>— 0.9%</w:t>
            </w:r>
          </w:p>
        </w:tc>
        <w:tc>
          <w:tcPr>
            <w:tcW w:w="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2.5%</w:t>
            </w:r>
          </w:p>
        </w:tc>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2.6%</w:t>
            </w:r>
          </w:p>
        </w:tc>
      </w:tr>
      <w:tr>
        <w:trPr>
          <w:trHeight w:val="257"/>
        </w:trPr>
        <w:tc>
          <w:tcPr>
            <w:tcW w:w="7180" w:type="dxa"/>
            <w:vAlign w:val="bottom"/>
            <w:gridSpan w:val="2"/>
          </w:tcPr>
          <w:p>
            <w:pPr>
              <w:ind w:left="40"/>
              <w:spacing w:after="0"/>
              <w:rPr>
                <w:sz w:val="20"/>
                <w:szCs w:val="20"/>
                <w:color w:val="auto"/>
              </w:rPr>
            </w:pPr>
            <w:r>
              <w:rPr>
                <w:rFonts w:ascii="Arial" w:cs="Arial" w:eastAsia="Arial" w:hAnsi="Arial"/>
                <w:sz w:val="18"/>
                <w:szCs w:val="18"/>
                <w:color w:val="auto"/>
              </w:rPr>
              <w:t>Expected dividend yield</w:t>
            </w:r>
          </w:p>
        </w:tc>
        <w:tc>
          <w:tcPr>
            <w:tcW w:w="640" w:type="dxa"/>
            <w:vAlign w:val="bottom"/>
          </w:tcPr>
          <w:p>
            <w:pPr>
              <w:spacing w:after="0"/>
              <w:rPr>
                <w:sz w:val="22"/>
                <w:szCs w:val="22"/>
                <w:color w:val="auto"/>
              </w:rPr>
            </w:pPr>
          </w:p>
        </w:tc>
        <w:tc>
          <w:tcPr>
            <w:tcW w:w="84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851"/>
              <w:spacing w:after="0"/>
              <w:rPr>
                <w:sz w:val="20"/>
                <w:szCs w:val="20"/>
                <w:color w:val="auto"/>
              </w:rPr>
            </w:pPr>
            <w:r>
              <w:rPr>
                <w:rFonts w:ascii="Arial" w:cs="Arial" w:eastAsia="Arial" w:hAnsi="Arial"/>
                <w:sz w:val="18"/>
                <w:szCs w:val="18"/>
                <w:color w:val="auto"/>
              </w:rPr>
              <w:t>—</w:t>
            </w:r>
          </w:p>
        </w:tc>
      </w:tr>
      <w:tr>
        <w:trPr>
          <w:trHeight w:val="662"/>
        </w:trPr>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10. Net Loss Per Share</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2"/>
        </w:trPr>
        <w:tc>
          <w:tcPr>
            <w:tcW w:w="7180" w:type="dxa"/>
            <w:vAlign w:val="bottom"/>
            <w:gridSpan w:val="2"/>
          </w:tcPr>
          <w:p>
            <w:pPr>
              <w:ind w:left="340"/>
              <w:spacing w:after="0"/>
              <w:rPr>
                <w:sz w:val="20"/>
                <w:szCs w:val="20"/>
                <w:color w:val="auto"/>
              </w:rPr>
            </w:pPr>
            <w:r>
              <w:rPr>
                <w:rFonts w:ascii="Arial" w:cs="Arial" w:eastAsia="Arial" w:hAnsi="Arial"/>
                <w:sz w:val="18"/>
                <w:szCs w:val="18"/>
                <w:color w:val="auto"/>
              </w:rPr>
              <w:t>The following table sets forth the computation of basic and diluted net loss per share:</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98"/>
        </w:trPr>
        <w:tc>
          <w:tcPr>
            <w:tcW w:w="6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60" w:type="dxa"/>
            <w:vAlign w:val="bottom"/>
            <w:tcBorders>
              <w:bottom w:val="single" w:sz="8" w:color="auto"/>
            </w:tcBorders>
            <w:gridSpan w:val="8"/>
          </w:tcPr>
          <w:p>
            <w:pPr>
              <w:jc w:val="right"/>
              <w:ind w:right="231"/>
              <w:spacing w:after="0"/>
              <w:rPr>
                <w:sz w:val="20"/>
                <w:szCs w:val="20"/>
                <w:color w:val="auto"/>
              </w:rPr>
            </w:pPr>
            <w:r>
              <w:rPr>
                <w:rFonts w:ascii="Arial" w:cs="Arial" w:eastAsia="Arial" w:hAnsi="Arial"/>
                <w:sz w:val="16"/>
                <w:szCs w:val="16"/>
                <w:b w:val="1"/>
                <w:bCs w:val="1"/>
                <w:color w:val="auto"/>
              </w:rPr>
              <w:t>Three Months Ended March 31,</w:t>
            </w:r>
          </w:p>
        </w:tc>
      </w:tr>
      <w:tr>
        <w:trPr>
          <w:trHeight w:val="264"/>
        </w:trPr>
        <w:tc>
          <w:tcPr>
            <w:tcW w:w="71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64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2019</w:t>
            </w:r>
          </w:p>
        </w:tc>
      </w:tr>
      <w:tr>
        <w:trPr>
          <w:trHeight w:val="256"/>
        </w:trPr>
        <w:tc>
          <w:tcPr>
            <w:tcW w:w="7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64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59"/>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(22,977)</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(21,440)</w:t>
            </w:r>
          </w:p>
        </w:tc>
      </w:tr>
      <w:tr>
        <w:trPr>
          <w:trHeight w:val="20"/>
        </w:trPr>
        <w:tc>
          <w:tcPr>
            <w:tcW w:w="7180" w:type="dxa"/>
            <w:vAlign w:val="bottom"/>
            <w:tcBorders>
              <w:top w:val="single" w:sz="8" w:color="CCEEFF"/>
            </w:tcBorders>
            <w:gridSpan w:val="2"/>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gridSpan w:val="3"/>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304"/>
        </w:trPr>
        <w:tc>
          <w:tcPr>
            <w:tcW w:w="6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6"/>
        </w:trPr>
        <w:tc>
          <w:tcPr>
            <w:tcW w:w="7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shares used to compute net loss per share</w:t>
            </w:r>
          </w:p>
        </w:tc>
        <w:tc>
          <w:tcPr>
            <w:tcW w:w="6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98,855</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93,738</w:t>
            </w:r>
          </w:p>
        </w:tc>
      </w:tr>
      <w:tr>
        <w:trPr>
          <w:trHeight w:val="20"/>
        </w:trPr>
        <w:tc>
          <w:tcPr>
            <w:tcW w:w="71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7180" w:type="dxa"/>
            <w:vAlign w:val="bottom"/>
            <w:gridSpan w:val="2"/>
          </w:tcPr>
          <w:p>
            <w:pPr>
              <w:ind w:left="40"/>
              <w:spacing w:after="0"/>
              <w:rPr>
                <w:sz w:val="20"/>
                <w:szCs w:val="20"/>
                <w:color w:val="auto"/>
              </w:rPr>
            </w:pPr>
            <w:r>
              <w:rPr>
                <w:rFonts w:ascii="Arial" w:cs="Arial" w:eastAsia="Arial" w:hAnsi="Arial"/>
                <w:sz w:val="18"/>
                <w:szCs w:val="18"/>
                <w:color w:val="auto"/>
              </w:rPr>
              <w:t>Net loss per share, basic and diluted</w:t>
            </w:r>
          </w:p>
        </w:tc>
        <w:tc>
          <w:tcPr>
            <w:tcW w:w="640" w:type="dxa"/>
            <w:vAlign w:val="bottom"/>
          </w:tcPr>
          <w:p>
            <w:pPr>
              <w:spacing w:after="0"/>
              <w:rPr>
                <w:sz w:val="20"/>
                <w:szCs w:val="20"/>
                <w:color w:val="auto"/>
              </w:rPr>
            </w:pPr>
          </w:p>
        </w:tc>
        <w:tc>
          <w:tcPr>
            <w:tcW w:w="840" w:type="dxa"/>
            <w:vAlign w:val="bottom"/>
            <w:gridSpan w:val="2"/>
          </w:tcPr>
          <w:p>
            <w:pPr>
              <w:jc w:val="right"/>
              <w:ind w:right="259"/>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(0.23)</w:t>
            </w:r>
          </w:p>
        </w:tc>
        <w:tc>
          <w:tcPr>
            <w:tcW w:w="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(0.23)</w:t>
            </w:r>
          </w:p>
        </w:tc>
      </w:tr>
      <w:tr>
        <w:trPr>
          <w:trHeight w:val="20"/>
        </w:trPr>
        <w:tc>
          <w:tcPr>
            <w:tcW w:w="6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240"/>
          </w:cols>
          <w:pgMar w:left="320" w:top="140" w:right="339" w:bottom="1440" w:gutter="0" w:footer="0" w:header="0"/>
          <w:type w:val="continuous"/>
        </w:sectPr>
      </w:pPr>
    </w:p>
    <w:bookmarkStart w:id="15" w:name="page16"/>
    <w:bookmarkEnd w:id="15"/>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280" w:firstLine="324"/>
        <w:spacing w:after="0" w:line="261" w:lineRule="auto"/>
        <w:rPr>
          <w:sz w:val="20"/>
          <w:szCs w:val="20"/>
          <w:color w:val="auto"/>
        </w:rPr>
      </w:pPr>
      <w:r>
        <w:rPr>
          <w:rFonts w:ascii="Arial" w:cs="Arial" w:eastAsia="Arial" w:hAnsi="Arial"/>
          <w:sz w:val="18"/>
          <w:szCs w:val="18"/>
          <w:color w:val="auto"/>
        </w:rPr>
        <w:t>The following potentially dilutive securities have been excluded from the diluted per share calculations because they would have been antidilutive: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20" w:type="dxa"/>
            <w:vAlign w:val="bottom"/>
          </w:tcPr>
          <w:p>
            <w:pPr>
              <w:spacing w:after="0"/>
              <w:rPr>
                <w:sz w:val="19"/>
                <w:szCs w:val="19"/>
                <w:color w:val="auto"/>
              </w:rPr>
            </w:pPr>
          </w:p>
        </w:tc>
        <w:tc>
          <w:tcPr>
            <w:tcW w:w="3020" w:type="dxa"/>
            <w:vAlign w:val="bottom"/>
            <w:tcBorders>
              <w:bottom w:val="single" w:sz="8" w:color="auto"/>
            </w:tcBorders>
            <w:gridSpan w:val="3"/>
          </w:tcPr>
          <w:p>
            <w:pPr>
              <w:jc w:val="right"/>
              <w:ind w:right="212"/>
              <w:spacing w:after="0"/>
              <w:rPr>
                <w:sz w:val="20"/>
                <w:szCs w:val="20"/>
                <w:color w:val="auto"/>
              </w:rPr>
            </w:pPr>
            <w:r>
              <w:rPr>
                <w:rFonts w:ascii="Arial" w:cs="Arial" w:eastAsia="Arial" w:hAnsi="Arial"/>
                <w:sz w:val="16"/>
                <w:szCs w:val="16"/>
                <w:b w:val="1"/>
                <w:bCs w:val="1"/>
                <w:color w:val="auto"/>
              </w:rPr>
              <w:t>Three Months Ended March 31,</w:t>
            </w:r>
          </w:p>
        </w:tc>
      </w:tr>
      <w:tr>
        <w:trPr>
          <w:trHeight w:val="264"/>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46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2019</w:t>
            </w:r>
          </w:p>
        </w:tc>
      </w:tr>
      <w:tr>
        <w:trPr>
          <w:trHeight w:val="256"/>
        </w:trPr>
        <w:tc>
          <w:tcPr>
            <w:tcW w:w="8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4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12,114</w:t>
            </w: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15,632</w:t>
            </w:r>
          </w:p>
        </w:tc>
      </w:tr>
      <w:tr>
        <w:trPr>
          <w:trHeight w:val="263"/>
        </w:trPr>
        <w:tc>
          <w:tcPr>
            <w:tcW w:w="8220" w:type="dxa"/>
            <w:vAlign w:val="bottom"/>
          </w:tcPr>
          <w:p>
            <w:pPr>
              <w:ind w:left="40"/>
              <w:spacing w:after="0"/>
              <w:rPr>
                <w:sz w:val="20"/>
                <w:szCs w:val="20"/>
                <w:color w:val="auto"/>
              </w:rPr>
            </w:pPr>
            <w:r>
              <w:rPr>
                <w:rFonts w:ascii="Arial" w:cs="Arial" w:eastAsia="Arial" w:hAnsi="Arial"/>
                <w:sz w:val="18"/>
                <w:szCs w:val="18"/>
                <w:color w:val="auto"/>
              </w:rPr>
              <w:t>Restricted stock units</w:t>
            </w: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5,450</w:t>
            </w:r>
          </w:p>
        </w:tc>
        <w:tc>
          <w:tcPr>
            <w:tcW w:w="120" w:type="dxa"/>
            <w:vAlign w:val="bottom"/>
          </w:tcPr>
          <w:p>
            <w:pPr>
              <w:spacing w:after="0"/>
              <w:rPr>
                <w:sz w:val="22"/>
                <w:szCs w:val="22"/>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2,934</w:t>
            </w:r>
          </w:p>
        </w:tc>
      </w:tr>
      <w:tr>
        <w:trPr>
          <w:trHeight w:val="277"/>
        </w:trPr>
        <w:tc>
          <w:tcPr>
            <w:tcW w:w="8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Restricted shares</w:t>
            </w:r>
          </w:p>
        </w:tc>
        <w:tc>
          <w:tcPr>
            <w:tcW w:w="14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396</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791</w:t>
            </w:r>
          </w:p>
        </w:tc>
      </w:tr>
      <w:tr>
        <w:trPr>
          <w:trHeight w:val="263"/>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Shares to be issued under the 2018 ESPP</w:t>
            </w:r>
          </w:p>
        </w:tc>
        <w:tc>
          <w:tcPr>
            <w:tcW w:w="14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65</w:t>
            </w:r>
          </w:p>
        </w:tc>
      </w:tr>
      <w:tr>
        <w:trPr>
          <w:trHeight w:val="257"/>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4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18,047</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19,422</w:t>
            </w:r>
          </w:p>
        </w:tc>
      </w:tr>
      <w:tr>
        <w:trPr>
          <w:trHeight w:val="20"/>
        </w:trPr>
        <w:tc>
          <w:tcPr>
            <w:tcW w:w="8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Geographic Information</w:t>
      </w:r>
    </w:p>
    <w:p>
      <w:pPr>
        <w:spacing w:after="0" w:line="247"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We operate as one operating segment. Our Chief Executive Officer, who is our chief operating decision maker, reviews financial information on a consolidated basis for purposes of making operating decisions, allocating resources, and evaluating financial performance.</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Revenue by region, based on the address of the end user as specified in our subscription, license or service agreements, was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6"/>
                <w:szCs w:val="16"/>
                <w:b w:val="1"/>
                <w:bCs w:val="1"/>
                <w:color w:val="auto"/>
              </w:rPr>
              <w:t>Three Months Ended March 31,</w:t>
            </w:r>
          </w:p>
        </w:tc>
      </w:tr>
      <w:tr>
        <w:trPr>
          <w:trHeight w:val="264"/>
        </w:trPr>
        <w:tc>
          <w:tcPr>
            <w:tcW w:w="81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2019</w:t>
            </w:r>
          </w:p>
        </w:tc>
      </w:tr>
      <w:tr>
        <w:trPr>
          <w:trHeight w:val="256"/>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69,314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56,091</w:t>
            </w:r>
          </w:p>
        </w:tc>
      </w:tr>
      <w:tr>
        <w:trPr>
          <w:trHeight w:val="263"/>
        </w:trPr>
        <w:tc>
          <w:tcPr>
            <w:tcW w:w="8180" w:type="dxa"/>
            <w:vAlign w:val="bottom"/>
          </w:tcPr>
          <w:p>
            <w:pPr>
              <w:ind w:left="40"/>
              <w:spacing w:after="0"/>
              <w:rPr>
                <w:sz w:val="20"/>
                <w:szCs w:val="20"/>
                <w:color w:val="auto"/>
              </w:rPr>
            </w:pPr>
            <w:r>
              <w:rPr>
                <w:rFonts w:ascii="Arial" w:cs="Arial" w:eastAsia="Arial" w:hAnsi="Arial"/>
                <w:sz w:val="18"/>
                <w:szCs w:val="18"/>
                <w:color w:val="auto"/>
              </w:rPr>
              <w:t>Europe, Middle East and Africa</w:t>
            </w:r>
          </w:p>
        </w:tc>
        <w:tc>
          <w:tcPr>
            <w:tcW w:w="24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23,550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17,307</w:t>
            </w:r>
          </w:p>
        </w:tc>
      </w:tr>
      <w:tr>
        <w:trPr>
          <w:trHeight w:val="270"/>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9,784</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6,903</w:t>
            </w:r>
          </w:p>
        </w:tc>
      </w:tr>
      <w:tr>
        <w:trPr>
          <w:trHeight w:val="256"/>
        </w:trPr>
        <w:tc>
          <w:tcPr>
            <w:tcW w:w="8180" w:type="dxa"/>
            <w:vAlign w:val="bottom"/>
          </w:tcPr>
          <w:p>
            <w:pPr>
              <w:ind w:left="28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102,648</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80,301</w:t>
            </w:r>
          </w:p>
        </w:tc>
      </w:tr>
      <w:tr>
        <w:trPr>
          <w:trHeight w:val="20"/>
        </w:trPr>
        <w:tc>
          <w:tcPr>
            <w:tcW w:w="8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240" w:firstLine="324"/>
        <w:spacing w:after="0" w:line="261" w:lineRule="auto"/>
        <w:rPr>
          <w:sz w:val="20"/>
          <w:szCs w:val="20"/>
          <w:color w:val="auto"/>
        </w:rPr>
      </w:pPr>
      <w:r>
        <w:rPr>
          <w:rFonts w:ascii="Arial" w:cs="Arial" w:eastAsia="Arial" w:hAnsi="Arial"/>
          <w:sz w:val="18"/>
          <w:szCs w:val="18"/>
          <w:color w:val="auto"/>
        </w:rPr>
        <w:t>Customers located in the United States accounted for 62%, and 65% of revenue in the three months ended March 31, 2020 and 2019, respectively. No other country accounted for 10% or more of revenue in the periods presented.</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property and equipment, net by geographic area is summarized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4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114"/>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8"/>
        </w:trPr>
        <w:tc>
          <w:tcPr>
            <w:tcW w:w="40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4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2"/>
              <w:spacing w:after="0"/>
              <w:rPr>
                <w:sz w:val="20"/>
                <w:szCs w:val="20"/>
                <w:color w:val="auto"/>
              </w:rPr>
            </w:pPr>
            <w:r>
              <w:rPr>
                <w:rFonts w:ascii="Arial" w:cs="Arial" w:eastAsia="Arial" w:hAnsi="Arial"/>
                <w:sz w:val="16"/>
                <w:szCs w:val="16"/>
                <w:b w:val="1"/>
                <w:bCs w:val="1"/>
                <w:color w:val="auto"/>
              </w:rPr>
              <w:t>March 31, 2020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57"/>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25,734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21,464</w:t>
            </w:r>
          </w:p>
        </w:tc>
        <w:tc>
          <w:tcPr>
            <w:tcW w:w="0" w:type="dxa"/>
            <w:vAlign w:val="bottom"/>
          </w:tcPr>
          <w:p>
            <w:pPr>
              <w:spacing w:after="0"/>
              <w:rPr>
                <w:sz w:val="1"/>
                <w:szCs w:val="1"/>
                <w:color w:val="auto"/>
              </w:rPr>
            </w:pPr>
          </w:p>
        </w:tc>
      </w:tr>
      <w:tr>
        <w:trPr>
          <w:trHeight w:val="263"/>
        </w:trPr>
        <w:tc>
          <w:tcPr>
            <w:tcW w:w="4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International</w:t>
            </w:r>
          </w:p>
        </w:tc>
        <w:tc>
          <w:tcPr>
            <w:tcW w:w="4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4,800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5,383</w:t>
            </w:r>
          </w:p>
        </w:tc>
        <w:tc>
          <w:tcPr>
            <w:tcW w:w="0" w:type="dxa"/>
            <w:vAlign w:val="bottom"/>
          </w:tcPr>
          <w:p>
            <w:pPr>
              <w:spacing w:after="0"/>
              <w:rPr>
                <w:sz w:val="1"/>
                <w:szCs w:val="1"/>
                <w:color w:val="auto"/>
              </w:rPr>
            </w:pPr>
          </w:p>
        </w:tc>
      </w:tr>
      <w:tr>
        <w:trPr>
          <w:trHeight w:val="257"/>
        </w:trPr>
        <w:tc>
          <w:tcPr>
            <w:tcW w:w="4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Property and equipment, net</w:t>
            </w:r>
          </w:p>
        </w:tc>
        <w:tc>
          <w:tcPr>
            <w:tcW w:w="4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30,534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26,847</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Arial" w:cs="Arial" w:eastAsia="Arial" w:hAnsi="Arial"/>
                <w:sz w:val="18"/>
                <w:szCs w:val="18"/>
                <w:color w:val="auto"/>
              </w:rPr>
              <w:t>16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04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1440" w:gutter="0" w:footer="0" w:header="0"/>
        </w:sectPr>
      </w:pPr>
    </w:p>
    <w:bookmarkStart w:id="16" w:name="page17"/>
    <w:bookmarkEnd w:id="1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(1) our consolidated financial statements and related notes included elsewhere in this Quarterly Report on Form 10-Q, or this Form 10-Q, and (2) our consolidated financial statements, related notes and management's discussion and analysis of financial condition and results of operations in our Annual Report on Form 10-K for the year ended December 31, 2019, or the 10-K, filed with the Securities and Exchange Commission on February 28, 2020. This Form 10-Q contains forward-looking statements within the meaning of Section 27A of the Securities Act and Section 21E of the Securities Exchange Act of 1934, as amended, or the Exchange Act. These statements are often identified by the use of words such as “anticipate,” “believe,” “continue,” “could,” “estimate,” “expect,” “intend,” “may,” “plan,” “project,” “will,” “would” or the negative or plural of these words or similar expressions or variations. Such forward-looking statements are subject to a number of risks, uncertainties, assumptions and other factors that could cause actual results and the timing of certain events to differ materially from future results expressed or implied by the forward-looking statements. Factors that could cause or contribute to such differences include, but are not limited to, those identified herein, and those discussed in the section titled “Risk Factors,” set forth in Part II, Item 1A of this Form 10-Q and in our other filings with the SEC. Such risks and uncertainties may be amplified by the COVID-19 pandemic and its potential impact on our business and the global economy. You should not rely upon forward-looking statements as predictions of future events.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55" w:lineRule="exact"/>
        <w:rPr>
          <w:sz w:val="20"/>
          <w:szCs w:val="20"/>
          <w:color w:val="auto"/>
        </w:rPr>
      </w:pPr>
    </w:p>
    <w:p>
      <w:pPr>
        <w:ind w:right="260" w:firstLine="324"/>
        <w:spacing w:after="0" w:line="254" w:lineRule="auto"/>
        <w:rPr>
          <w:sz w:val="20"/>
          <w:szCs w:val="20"/>
          <w:color w:val="auto"/>
        </w:rPr>
      </w:pPr>
      <w:r>
        <w:rPr>
          <w:rFonts w:ascii="Arial" w:cs="Arial" w:eastAsia="Arial" w:hAnsi="Arial"/>
          <w:sz w:val="18"/>
          <w:szCs w:val="18"/>
          <w:color w:val="auto"/>
        </w:rPr>
        <w:t>We are a leading provider of solutions for a new category of cybersecurity that we call Cyber Exposure. Cyber Exposure is a discipline for managing, measuring and comparing cybersecurity risk in the digital era. Our enterprise platform enables broad visibility into an organization’s cyber exposure across the modern attack surface and deep insights that help organizations translate vulnerability data into business insights to understand and reduce their cybersecurity risk.</w:t>
      </w:r>
    </w:p>
    <w:p>
      <w:pPr>
        <w:spacing w:after="0" w:line="312"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Our enterprise platform offerings include Tenable.io, which is our software as a service, or SaaS, offering and Tenable.sc, which is our on-premises offering, both of which provide organizations with applications purpose-built for areas of both traditional and modern attack surfaces, including IT infrastructure and applications, cloud environments and industrial Internet of things, or IoT, and operational technology, or OT, environments. These applications are designed with views, workflows and dashboards to help identify vulnerabilities, internal and regulatory compliance violations, misconfigurations and other cybersecurity issues, prioritize these issues for remediation, and provide insightful remediation guidance.</w:t>
      </w:r>
    </w:p>
    <w:p>
      <w:pPr>
        <w:spacing w:after="0" w:line="316" w:lineRule="exact"/>
        <w:rPr>
          <w:sz w:val="20"/>
          <w:szCs w:val="20"/>
          <w:color w:val="auto"/>
        </w:rPr>
      </w:pPr>
    </w:p>
    <w:p>
      <w:pPr>
        <w:jc w:val="both"/>
        <w:ind w:right="40" w:firstLine="324"/>
        <w:spacing w:after="0" w:line="256" w:lineRule="auto"/>
        <w:rPr>
          <w:sz w:val="20"/>
          <w:szCs w:val="20"/>
          <w:color w:val="auto"/>
        </w:rPr>
      </w:pPr>
      <w:r>
        <w:rPr>
          <w:rFonts w:ascii="Arial" w:cs="Arial" w:eastAsia="Arial" w:hAnsi="Arial"/>
          <w:sz w:val="18"/>
          <w:szCs w:val="18"/>
          <w:color w:val="auto"/>
        </w:rPr>
        <w:t>Our enterprise platform offerings are primarily sold on a subscription basis with a one-year term. Our subscription terms are generally not longer than three years. These offerings are typically prepaid in advance. To a lesser extent, we generate ratably recognizable revenue from perpetual licenses and from the related ongoing maintenance.</w:t>
      </w:r>
    </w:p>
    <w:p>
      <w:pPr>
        <w:spacing w:after="0" w:line="310"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We sell and market our products and services through our field sales force that works closely with our channel partners, which includes a network of distributors and resellers, in developing sales opportunities. We use a two-tiered channel model whereby we sell our enterprise platform offerings to our distributors, which in turn sell to our resellers, which then sell to end users, which we call customers.</w:t>
      </w:r>
    </w:p>
    <w:p>
      <w:pPr>
        <w:spacing w:after="0" w:line="310"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Many of our enterprise platform customers initially use either our free or paid version of Nessus, one of the industry’s most widely deployed vulnerability assessment solutions. Nessus, which is the technology that underpins our enterprise platform offerings, is designed to quickly and accurately identify vulnerabilities, configuration and compliance issues and malware. Our free version of Nessus, Nessus Essentials, allows for vulnerability assessment over a limited number of IP addresses. We believe many of our Nessus customers begin with Nessus Essentials and subsequently upgrade to Nessus Professional, the paid version of Nessus; however, we expect many users to continue to use Nessus Essentials.</w:t>
      </w:r>
    </w:p>
    <w:p>
      <w:pPr>
        <w:spacing w:after="0" w:line="208" w:lineRule="exact"/>
        <w:rPr>
          <w:sz w:val="20"/>
          <w:szCs w:val="20"/>
          <w:color w:val="auto"/>
        </w:rPr>
      </w:pPr>
    </w:p>
    <w:p>
      <w:pPr>
        <w:jc w:val="both"/>
        <w:ind w:right="300" w:firstLine="324"/>
        <w:spacing w:after="0" w:line="256" w:lineRule="auto"/>
        <w:rPr>
          <w:sz w:val="20"/>
          <w:szCs w:val="20"/>
          <w:color w:val="auto"/>
        </w:rPr>
      </w:pPr>
      <w:r>
        <w:rPr>
          <w:rFonts w:ascii="Arial" w:cs="Arial" w:eastAsia="Arial" w:hAnsi="Arial"/>
          <w:sz w:val="18"/>
          <w:szCs w:val="18"/>
          <w:color w:val="auto"/>
        </w:rPr>
        <w:t>We have experienced rapid growth in recent years. Revenue in the three months ended March 31, 2020 and 2019 was $102.6 million and $80.3 million, respectively, representing respective year-over-year growth of 28%. Our net loss in the three months ended March 31, 2020 and 2019 was $23.0 million and $21.4 million, respectively, as we continue to invest in our business and market opportunity.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0" w:right="339" w:bottom="1440" w:gutter="0" w:footer="0" w:header="0"/>
        </w:sectPr>
      </w:pPr>
    </w:p>
    <w:bookmarkStart w:id="17" w:name="page18"/>
    <w:bookmarkEnd w:id="1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COVID-19 Update</w:t>
      </w:r>
    </w:p>
    <w:p>
      <w:pPr>
        <w:spacing w:after="0" w:line="247"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color w:val="auto"/>
        </w:rPr>
        <w:t>We are closely monitoring the impact of the COVID-19 pandemic on our customers, partners, employees and service providers. The extent to which the COVID-19 pandemic will impact our business and operations will depend on future developments that are highly uncertain. While in the near-term we may experience reductions in our billing and revenue growth rates, we are proactively managing expenditures, including reductions of non-critical and discretionary expenses, while preserving strategic investment in sales capacity and research and development. This may result in improved leverage related to gross margins as well as sales and marketing, research and development, and general and administrative expenses as a percent of revenue. For additional information on the potential effects of the COVID-19 pandemic on our business, financial condition and results of operations, see the "Liquidity and Capital Resources" section below and “Risk Factors” in Part II, Item 1A of this Form 10-Q.</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are our key financial results: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ind w:right="231"/>
              <w:spacing w:after="0"/>
              <w:rPr>
                <w:sz w:val="20"/>
                <w:szCs w:val="20"/>
                <w:color w:val="auto"/>
              </w:rPr>
            </w:pPr>
            <w:r>
              <w:rPr>
                <w:rFonts w:ascii="Arial" w:cs="Arial" w:eastAsia="Arial" w:hAnsi="Arial"/>
                <w:sz w:val="16"/>
                <w:szCs w:val="16"/>
                <w:b w:val="1"/>
                <w:bCs w:val="1"/>
                <w:color w:val="auto"/>
              </w:rPr>
              <w:t>Three Months Ended March 31,</w:t>
            </w:r>
          </w:p>
        </w:tc>
      </w:tr>
      <w:tr>
        <w:trPr>
          <w:trHeight w:val="263"/>
        </w:trPr>
        <w:tc>
          <w:tcPr>
            <w:tcW w:w="81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2019</w:t>
            </w:r>
          </w:p>
        </w:tc>
      </w:tr>
      <w:tr>
        <w:trPr>
          <w:trHeight w:val="257"/>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102,648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80,301</w:t>
            </w:r>
          </w:p>
        </w:tc>
      </w:tr>
      <w:tr>
        <w:trPr>
          <w:trHeight w:val="263"/>
        </w:trPr>
        <w:tc>
          <w:tcPr>
            <w:tcW w:w="818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(21,672)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(22,685)</w:t>
            </w:r>
          </w:p>
        </w:tc>
      </w:tr>
      <w:tr>
        <w:trPr>
          <w:trHeight w:val="277"/>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(21,440)</w:t>
            </w:r>
          </w:p>
        </w:tc>
      </w:tr>
      <w:tr>
        <w:trPr>
          <w:trHeight w:val="263"/>
        </w:trPr>
        <w:tc>
          <w:tcPr>
            <w:tcW w:w="8180" w:type="dxa"/>
            <w:vAlign w:val="bottom"/>
          </w:tcPr>
          <w:p>
            <w:pPr>
              <w:ind w:left="40"/>
              <w:spacing w:after="0"/>
              <w:rPr>
                <w:sz w:val="20"/>
                <w:szCs w:val="20"/>
                <w:color w:val="auto"/>
              </w:rPr>
            </w:pPr>
            <w:r>
              <w:rPr>
                <w:rFonts w:ascii="Arial" w:cs="Arial" w:eastAsia="Arial" w:hAnsi="Arial"/>
                <w:sz w:val="18"/>
                <w:szCs w:val="18"/>
                <w:color w:val="auto"/>
              </w:rPr>
              <w:t>Net loss per share, basic and diluted</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(0.23)</w:t>
            </w:r>
          </w:p>
        </w:tc>
      </w:tr>
      <w:tr>
        <w:trPr>
          <w:trHeight w:val="277"/>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4,492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r>
      <w:tr>
        <w:trPr>
          <w:trHeight w:val="257"/>
        </w:trPr>
        <w:tc>
          <w:tcPr>
            <w:tcW w:w="8180" w:type="dxa"/>
            <w:vAlign w:val="bottom"/>
          </w:tcPr>
          <w:p>
            <w:pPr>
              <w:ind w:left="4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(2,306)</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Product Leadership</w:t>
      </w:r>
    </w:p>
    <w:p>
      <w:pPr>
        <w:spacing w:after="0" w:line="24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Our enterprise platform offerings provide visibility into the broadest range of traditional and modern IT assets across cloud and on-premises environments. We are intensely focused on continued innovation and ongoing development of our enterprise platform offerings that empower organizations to understand and reduce their cyber exposure. Additionally, we continue to expand the capabilities of our Nessus products, specifically as they relate to the ability to scan for and detect the rapidly expanding volume of vulnerabilities.</w:t>
      </w:r>
    </w:p>
    <w:p>
      <w:pPr>
        <w:spacing w:after="0" w:line="204"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We intend to continue to invest in our engineering capabilities and marketing activities to maintain our position in the highly-competitive market for cybersecurity solutions. Our results of operations may fluctuate as we make these investments to drive increased customer adoption and usage.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Enterprise Platform Customer Acquisition</w:t>
      </w:r>
    </w:p>
    <w:p>
      <w:pPr>
        <w:spacing w:after="0" w:line="247"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We believe that our customer base provides a significant opportunity to expand sales of our enterprise platform offerings and that our ability to continue to grow enterprise platform customers will increase future opportunities for renewals and follow-on sales. We believe that we have significant room to increase our market share.</w:t>
      </w:r>
    </w:p>
    <w:p>
      <w:pPr>
        <w:spacing w:after="0" w:line="202"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We expect to grow our enterprise platform customers by continuing to expand our sales organization and leveraging our channel partner network, which we believe will allow us to identify new enterprise customers, enter new markets, including internationally, as well as to convert more of our existing Nessus Professional customers to enterprise platform customers.</w:t>
      </w:r>
    </w:p>
    <w:p>
      <w:pPr>
        <w:spacing w:after="0" w:line="202" w:lineRule="exact"/>
        <w:rPr>
          <w:sz w:val="20"/>
          <w:szCs w:val="20"/>
          <w:color w:val="auto"/>
        </w:rPr>
      </w:pPr>
    </w:p>
    <w:p>
      <w:pPr>
        <w:ind w:right="280" w:firstLine="324"/>
        <w:spacing w:after="0" w:line="261" w:lineRule="auto"/>
        <w:rPr>
          <w:sz w:val="20"/>
          <w:szCs w:val="20"/>
          <w:color w:val="auto"/>
        </w:rPr>
      </w:pPr>
      <w:r>
        <w:rPr>
          <w:rFonts w:ascii="Arial" w:cs="Arial" w:eastAsia="Arial" w:hAnsi="Arial"/>
          <w:sz w:val="18"/>
          <w:szCs w:val="18"/>
          <w:color w:val="auto"/>
        </w:rPr>
        <w:t>We have increased our sales and marketing headcount in recent years and we will continue to invest in our partner network and sales and marketing capability in order to grow domestically and internationally.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0" w:right="339" w:bottom="1440" w:gutter="0" w:footer="0" w:header="0"/>
        </w:sectPr>
      </w:pPr>
    </w:p>
    <w:bookmarkStart w:id="18" w:name="page19"/>
    <w:bookmarkEnd w:id="1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Retaining and Expanding Revenue from Existing Customers</w:t>
      </w:r>
    </w:p>
    <w:p>
      <w:pPr>
        <w:spacing w:after="0" w:line="247"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Our enterprise platform offerings utilize IT asset-based or IP address-based pricing models. Once enterprise customers have licensed our platform offerings, they typically seek broader coverage over their traditional IT assets, including networking infrastructure, desktops and on-premises servers. As customers launch new applications or migrate existing applications to the cloud and deploy web applications, containers, IoT and OT, they often increase the scope of their subscriptions and/or add additional perpetual licenses to our enterprise platforms.</w:t>
      </w:r>
    </w:p>
    <w:p>
      <w:pPr>
        <w:spacing w:after="0" w:line="205"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We are also focused on upselling customers from Nessus Professional to our enterprise platform offerings. Nessus Professional customers are typically organizations or independent security consultants that use Nessus Professional for a single vulnerability assessment at a point in time. We seek to convert these customers to our enterprise platform offerings, which provide continuous visibility and insights into their attack surface, as their needs develop.</w:t>
      </w:r>
    </w:p>
    <w:p>
      <w:pPr>
        <w:spacing w:after="0" w:line="20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Further, we plan to expand existing platform capabilities and launch new products, which we believe will drive new product purchases and follow-on purchases over time, thereby contributing to customer renewals. We believe that there is a significant opportunity to drive additional sales to existing customers, and we expect to invest in sales and marketing and customer success personnel and activities to achieve additional revenue growth from existing customers. However, our ability to increase sales to existing customers will depend on a number of factors, including satisfaction or dissatisfaction with our products and services, competition, pricing, current economic conditions or overall changes in our and our clients' spending levels.</w:t>
      </w:r>
    </w:p>
    <w:p>
      <w:pPr>
        <w:spacing w:after="0" w:line="208"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color w:val="auto"/>
        </w:rPr>
        <w:t>We evaluate our ability to expand sales with our existing customers by assessing our dollar-based net expansion rate. We calculate our dollar-based net expansion rate as follows:</w:t>
      </w:r>
    </w:p>
    <w:p>
      <w:pPr>
        <w:spacing w:after="0" w:line="198" w:lineRule="exact"/>
        <w:rPr>
          <w:sz w:val="20"/>
          <w:szCs w:val="20"/>
          <w:color w:val="auto"/>
        </w:rPr>
      </w:pPr>
    </w:p>
    <w:p>
      <w:pPr>
        <w:ind w:left="660" w:right="120" w:hanging="247"/>
        <w:spacing w:after="0" w:line="25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Denominator: To calculate our dollar-based net expansion rate as of the end of a reporting period, we first determine the annual recurring revenue, or ARR, from all active subscriptions and maintenance from perpetual licenses as of the last day of the same reporting period in the prior year. This represents recurring payments that we expect to receive in the next 12-month period from the cohort of customers that existed on the last day of the same reporting period in the prior year.</w:t>
      </w:r>
    </w:p>
    <w:p>
      <w:pPr>
        <w:spacing w:after="0" w:line="203" w:lineRule="exact"/>
        <w:rPr>
          <w:rFonts w:ascii="Arial" w:cs="Arial" w:eastAsia="Arial" w:hAnsi="Arial"/>
          <w:sz w:val="18"/>
          <w:szCs w:val="18"/>
          <w:color w:val="auto"/>
        </w:rPr>
      </w:pPr>
    </w:p>
    <w:p>
      <w:pPr>
        <w:ind w:left="660" w:right="140" w:hanging="247"/>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Numerator: We measure the ARR for that same cohort of customers representing all subscriptions and maintenance from perpetual licenses based on customer orders as of the end of the reporting period.</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calculate dollar-based net expansion rate by dividing the numerator by the denominator.</w:t>
      </w:r>
    </w:p>
    <w:p>
      <w:pPr>
        <w:spacing w:after="0" w:line="225" w:lineRule="exact"/>
        <w:rPr>
          <w:sz w:val="20"/>
          <w:szCs w:val="20"/>
          <w:color w:val="auto"/>
        </w:rPr>
      </w:pPr>
    </w:p>
    <w:p>
      <w:pPr>
        <w:jc w:val="both"/>
        <w:ind w:right="340" w:firstLine="324"/>
        <w:spacing w:after="0" w:line="256" w:lineRule="auto"/>
        <w:rPr>
          <w:sz w:val="20"/>
          <w:szCs w:val="20"/>
          <w:color w:val="auto"/>
        </w:rPr>
      </w:pPr>
      <w:r>
        <w:rPr>
          <w:rFonts w:ascii="Arial" w:cs="Arial" w:eastAsia="Arial" w:hAnsi="Arial"/>
          <w:sz w:val="18"/>
          <w:szCs w:val="18"/>
          <w:color w:val="auto"/>
        </w:rPr>
        <w:t>While our dollar-based net expansion rate may decline or fluctuate from quarter to quarter based on the result of a number of factors, including our existing customers' satisfaction with our solutions, the pricing of our solutions and the ability of competing solutions and the pricing thereof, our dollar-based net expansion rate has historically exceeded, and we expect that it will continue to exceed, 110%.</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in Business Growth</w:t>
      </w:r>
    </w:p>
    <w:p>
      <w:pPr>
        <w:spacing w:after="0" w:line="24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Since our founding, we have invested significantly in growing our business. We intend to continue to invest in sales and marketing to grow our sales team, expand brand and Cyber Exposure awareness and optimize our channel partner network. We also intend to continue to invest in our research and development team to further our technological leadership position in Cyber Exposure and enhance the functionality of our solutions. Any investments we make in our sales and marketing and research and development teams will occur in advance of experiencing the benefits from such investments, so it may be difficult for us to determine if we are efficiently allocating resources in those areas. We may also explore acquisitions of businesses, technology and/or development personnel that will expand and enhance the functionality of our platform offerings. These investment activities could increase our net losses over the short term if our revenue growth does not increase at higher rates. However, we expect that these investments will ultimately benefit our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and Financial Metrics</w:t>
      </w:r>
    </w:p>
    <w:p>
      <w:pPr>
        <w:spacing w:after="0" w:line="247" w:lineRule="exact"/>
        <w:rPr>
          <w:sz w:val="20"/>
          <w:szCs w:val="20"/>
          <w:color w:val="auto"/>
        </w:rPr>
      </w:pPr>
    </w:p>
    <w:p>
      <w:pPr>
        <w:jc w:val="both"/>
        <w:ind w:right="480" w:firstLine="324"/>
        <w:spacing w:after="0" w:line="254" w:lineRule="auto"/>
        <w:rPr>
          <w:sz w:val="20"/>
          <w:szCs w:val="20"/>
          <w:color w:val="auto"/>
        </w:rPr>
      </w:pPr>
      <w:r>
        <w:rPr>
          <w:rFonts w:ascii="Arial" w:cs="Arial" w:eastAsia="Arial" w:hAnsi="Arial"/>
          <w:sz w:val="18"/>
          <w:szCs w:val="18"/>
          <w:color w:val="auto"/>
        </w:rPr>
        <w:t>To supplement our consolidated financial statements, which are prepared and presented in accordance with GAAP, we use certain operating metrics and non-GAAP financial measures, as described below, to understand and evaluate our core operating and financial performance. These non-GAAP financial measures, which may be different than similarly titled measures used by other companies, are presented to enhance investors’ overall understanding of our financial</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0" w:right="339" w:bottom="1440" w:gutter="0" w:footer="0" w:header="0"/>
        </w:sectPr>
      </w:pPr>
    </w:p>
    <w:bookmarkStart w:id="19" w:name="page20"/>
    <w:bookmarkEnd w:id="1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performance and should not be considered a substitute for, or superior to, the financial information prepared and presented in accordance with GAAP.</w:t>
      </w:r>
    </w:p>
    <w:p>
      <w:pPr>
        <w:spacing w:after="0" w:line="198"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We believe that these operating metrics and non-GAAP financial measures provide useful information about our operating and financial performance, enhance the overall understanding of our past performance and future prospects and allow for greater transparency with respect to important metrics used by management for financial and operational decision-making. We present these operating metrics and non-GAAP financial measures to assist investors in seeing our operating and financial performance using a management view and because we believe that these measures provide an additional tool for investors to use in comparing our core operating and financial performance over multiple periods with other companies in our industry.</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Calculated Current Billings</w:t>
      </w:r>
    </w:p>
    <w:p>
      <w:pPr>
        <w:spacing w:after="0" w:line="247"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We use the non-GAAP measure of calculated current billings, which we believe is a key metric to measure our periodic performance. Given that most of our customers pay in advance, we typically recognize a majority of the related revenue ratably over time. We use calculated current billings to measure and monitor our ability to provide our business with the working capital generated by upfront payments from our customers.</w:t>
      </w:r>
    </w:p>
    <w:p>
      <w:pPr>
        <w:spacing w:after="0" w:line="204"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Calculated current billings consists of revenue recognized in a period plus the change in current deferred revenue in the corresponding period. We believe that calculated current billings, which excludes deferred revenue for periods beyond twelve months in a customer’s contractual term, more closely correlates with annual contract value and that the variability in total billings, depending on the timing of large multi-year contracts and the preference for annual billing versus multi-year upfront billing, may distort growth in one period over another. While we believe that calculated current billings provides valuable insight into the cash that will be generated from sales of our subscriptions, this metric may vary from period-to-period for a number of reasons, and therefore has a number of limitations as a quarter-to-quarter or year-over-year comparative measure. For example, calculated current billings include amounts that have not yet been recognized as revenue; an increasing number of large sales transactions, for which the timing has and will continue to vary, may occur in quarters subsequent to or in advance of those that we anticipate; and our calculation of current billings may be different from other companies that report similar financial measures. Additionally, calculated current billings in any one period may be impacted by the timing of customer renewals, including early renewals, which could favorably or unfavorably impact year-over-year comparisons. Because of these and other limitations, you should consider calculated current billings along with revenue and our other GAAP financial results.</w:t>
      </w:r>
    </w:p>
    <w:p>
      <w:pPr>
        <w:spacing w:after="0" w:line="192"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 xml:space="preserve">Our adoption of Accounting Standards Codification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at January 1, 2017 resulted in a $55.0 million increase in deferred revenue primarily related to the deferral of perpetual license revenue. This cumulative adjustment to deferred revenue at January 1, 2017 increased calculated current billings by $16.7 million, $ 11.8 million and $5.6 million in 2017, 2018 and 2019, respectively, and is expected to increase our calculated current billings by $1.9 million in 2020.</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reconciliation of revenue, the most directly comparable financial measure calculated in accordance 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GAAP, to calculated current billings: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6"/>
                <w:szCs w:val="16"/>
                <w:b w:val="1"/>
                <w:bCs w:val="1"/>
                <w:color w:val="auto"/>
              </w:rPr>
              <w:t>Three Months Ended March 31,</w:t>
            </w:r>
          </w:p>
        </w:tc>
      </w:tr>
      <w:tr>
        <w:trPr>
          <w:trHeight w:val="263"/>
        </w:trPr>
        <w:tc>
          <w:tcPr>
            <w:tcW w:w="81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2019</w:t>
            </w:r>
          </w:p>
        </w:tc>
      </w:tr>
      <w:tr>
        <w:trPr>
          <w:trHeight w:val="257"/>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102,648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80,301</w:t>
            </w:r>
          </w:p>
        </w:tc>
      </w:tr>
      <w:tr>
        <w:trPr>
          <w:trHeight w:val="263"/>
        </w:trPr>
        <w:tc>
          <w:tcPr>
            <w:tcW w:w="8180" w:type="dxa"/>
            <w:vAlign w:val="bottom"/>
          </w:tcPr>
          <w:p>
            <w:pPr>
              <w:ind w:left="40"/>
              <w:spacing w:after="0"/>
              <w:rPr>
                <w:sz w:val="20"/>
                <w:szCs w:val="20"/>
                <w:color w:val="auto"/>
              </w:rPr>
            </w:pPr>
            <w:r>
              <w:rPr>
                <w:rFonts w:ascii="Arial" w:cs="Arial" w:eastAsia="Arial" w:hAnsi="Arial"/>
                <w:sz w:val="18"/>
                <w:szCs w:val="18"/>
                <w:color w:val="auto"/>
              </w:rPr>
              <w:t>Add: Deferred revenue (current), end of period</w:t>
            </w:r>
          </w:p>
        </w:tc>
        <w:tc>
          <w:tcPr>
            <w:tcW w:w="24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270,916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214,508</w:t>
            </w:r>
          </w:p>
        </w:tc>
      </w:tr>
      <w:tr>
        <w:trPr>
          <w:trHeight w:val="270"/>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Deferred revenue (current), beginning of period</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(274,348)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(213,644)</w:t>
            </w:r>
          </w:p>
        </w:tc>
      </w:tr>
      <w:tr>
        <w:trPr>
          <w:trHeight w:val="256"/>
        </w:trPr>
        <w:tc>
          <w:tcPr>
            <w:tcW w:w="8180" w:type="dxa"/>
            <w:vAlign w:val="bottom"/>
          </w:tcPr>
          <w:p>
            <w:pPr>
              <w:ind w:left="280"/>
              <w:spacing w:after="0"/>
              <w:rPr>
                <w:sz w:val="20"/>
                <w:szCs w:val="20"/>
                <w:color w:val="auto"/>
              </w:rPr>
            </w:pPr>
            <w:r>
              <w:rPr>
                <w:rFonts w:ascii="Arial" w:cs="Arial" w:eastAsia="Arial" w:hAnsi="Arial"/>
                <w:sz w:val="18"/>
                <w:szCs w:val="18"/>
                <w:color w:val="auto"/>
              </w:rPr>
              <w:t>Calculated current billings</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99,216</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81,165</w:t>
            </w:r>
          </w:p>
        </w:tc>
      </w:tr>
      <w:tr>
        <w:trPr>
          <w:trHeight w:val="20"/>
        </w:trPr>
        <w:tc>
          <w:tcPr>
            <w:tcW w:w="8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Free Cash Flow</w:t>
      </w:r>
    </w:p>
    <w:p>
      <w:pPr>
        <w:spacing w:after="0" w:line="247"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We use the non-GAAP measure of free cash flow, which we define as GAAP net cash flows from operating activities reduced by purchases of property and equipment. We believe free cash flow is an important liquidity measure of the cash (if any) that is available, after purchases of property and equipment, for investment in our business and to make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0" w:right="339" w:bottom="1440" w:gutter="0" w:footer="0" w:header="0"/>
        </w:sectPr>
      </w:pPr>
    </w:p>
    <w:bookmarkStart w:id="20" w:name="page21"/>
    <w:bookmarkEnd w:id="2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acquisitions. We believe that free cash flow is useful to investors as a liquidity measure because it measures our ability to generate or use cash.</w:t>
      </w:r>
    </w:p>
    <w:p>
      <w:pPr>
        <w:spacing w:after="0" w:line="198"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Our use of free cash flow has limitations as an analytical tool and you should not consider it in isolation or as a substitute for an analysis of our results under GAAP. First, free cash flow is not a substitute for net cash flows from operating activities. Second, other companies may calculate free cash flow or similarly titled non-GAAP financial measures differently or may use other measures to evaluate their performance, all of which could reduce the usefulness of free cash flow as a tool for comparison. Additionally, the utility of free cash flow is further limited as it does not reflect our future contractual commitments and does not represent the total increase or decrease in our cash balance for a given period. Because of these and other limitations, you should consider free cash flow along with net cash provided by (used in) operating activities and our other GAAP financial measures.</w:t>
      </w:r>
    </w:p>
    <w:p>
      <w:pPr>
        <w:spacing w:after="0" w:line="207"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color w:val="auto"/>
        </w:rPr>
        <w:t>The following table presents a reconciliation of net cash provided by (used in) operating activities, the most directly comparable financial measure calculated in accordance with GAAP, to free cash flow: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63"/>
        </w:trPr>
        <w:tc>
          <w:tcPr>
            <w:tcW w:w="81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4,492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63"/>
        </w:trPr>
        <w:tc>
          <w:tcPr>
            <w:tcW w:w="8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(2,306)</w:t>
            </w:r>
          </w:p>
        </w:tc>
        <w:tc>
          <w:tcPr>
            <w:tcW w:w="0" w:type="dxa"/>
            <w:vAlign w:val="bottom"/>
          </w:tcPr>
          <w:p>
            <w:pPr>
              <w:spacing w:after="0"/>
              <w:rPr>
                <w:sz w:val="1"/>
                <w:szCs w:val="1"/>
                <w:color w:val="auto"/>
              </w:rPr>
            </w:pPr>
          </w:p>
        </w:tc>
      </w:tr>
      <w:tr>
        <w:trPr>
          <w:trHeight w:val="256"/>
        </w:trPr>
        <w:tc>
          <w:tcPr>
            <w:tcW w:w="8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Free cash flow</w:t>
            </w:r>
            <w:r>
              <w:rPr>
                <w:rFonts w:ascii="Arial" w:cs="Arial" w:eastAsia="Arial" w:hAnsi="Arial"/>
                <w:sz w:val="21"/>
                <w:szCs w:val="21"/>
                <w:color w:val="auto"/>
                <w:vertAlign w:val="superscript"/>
              </w:rPr>
              <w:t>(1)</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3,878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Arial" w:cs="Arial" w:eastAsia="Arial" w:hAnsi="Arial"/>
                <w:sz w:val="11"/>
                <w:szCs w:val="11"/>
                <w:color w:val="auto"/>
              </w:rPr>
              <w:t>_______________</w:t>
            </w: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81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right="160" w:firstLine="8"/>
        <w:spacing w:after="0" w:line="253" w:lineRule="auto"/>
        <w:tabs>
          <w:tab w:leader="none" w:pos="378" w:val="left"/>
        </w:tabs>
        <w:numPr>
          <w:ilvl w:val="0"/>
          <w:numId w:val="9"/>
        </w:numPr>
        <w:rPr>
          <w:rFonts w:ascii="Arial" w:cs="Arial" w:eastAsia="Arial" w:hAnsi="Arial"/>
          <w:sz w:val="16"/>
          <w:szCs w:val="16"/>
          <w:color w:val="auto"/>
        </w:rPr>
      </w:pPr>
      <w:r>
        <w:rPr>
          <w:rFonts w:ascii="Arial" w:cs="Arial" w:eastAsia="Arial" w:hAnsi="Arial"/>
          <w:sz w:val="16"/>
          <w:szCs w:val="16"/>
          <w:color w:val="auto"/>
        </w:rPr>
        <w:t>Free cash flow included a reduction related to employee stock purchase plan activity of $3.7 million and $4.9 million in the three months ended March 31, 2020 and 2019, respectively. The three months ended March 31, 2020 also included $0.7 million of acquisition-related payments for Indegy and $0.1 million of capital expenditures for our new headquarters.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Enterprise Platform Customers</w:t>
      </w:r>
    </w:p>
    <w:p>
      <w:pPr>
        <w:spacing w:after="0" w:line="247"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color w:val="auto"/>
        </w:rPr>
        <w:t>We believe that our customer base provides a significant opportunity to expand sales of our enterprise platform offerings. The following tables summarize key components of our customer base: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9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b w:val="1"/>
                <w:bCs w:val="1"/>
                <w:color w:val="auto"/>
              </w:rPr>
              <w:t>Three Months Ended March 31,</w:t>
            </w:r>
          </w:p>
        </w:tc>
      </w:tr>
      <w:tr>
        <w:trPr>
          <w:trHeight w:val="263"/>
        </w:trPr>
        <w:tc>
          <w:tcPr>
            <w:tcW w:w="698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 (%)</w:t>
            </w:r>
          </w:p>
        </w:tc>
      </w:tr>
      <w:tr>
        <w:trPr>
          <w:trHeight w:val="256"/>
        </w:trPr>
        <w:tc>
          <w:tcPr>
            <w:tcW w:w="6980" w:type="dxa"/>
            <w:vAlign w:val="bottom"/>
            <w:shd w:val="clear" w:color="auto" w:fill="CCEEFF"/>
          </w:tcPr>
          <w:p>
            <w:pPr>
              <w:jc w:val="right"/>
              <w:ind w:right="1808"/>
              <w:spacing w:after="0"/>
              <w:rPr>
                <w:sz w:val="20"/>
                <w:szCs w:val="20"/>
                <w:color w:val="auto"/>
              </w:rPr>
            </w:pPr>
            <w:r>
              <w:rPr>
                <w:rFonts w:ascii="Arial" w:cs="Arial" w:eastAsia="Arial" w:hAnsi="Arial"/>
                <w:sz w:val="18"/>
                <w:szCs w:val="18"/>
                <w:color w:val="auto"/>
                <w:w w:val="99"/>
              </w:rPr>
              <w:t>Number of new enterprise platform customers added in period</w:t>
            </w:r>
            <w:r>
              <w:rPr>
                <w:rFonts w:ascii="Arial" w:cs="Arial" w:eastAsia="Arial" w:hAnsi="Arial"/>
                <w:sz w:val="21"/>
                <w:szCs w:val="21"/>
                <w:color w:val="auto"/>
                <w:w w:val="99"/>
                <w:vertAlign w:val="superscript"/>
              </w:rPr>
              <w:t>(1)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940" w:type="dxa"/>
            <w:vAlign w:val="bottom"/>
            <w:gridSpan w:val="3"/>
            <w:shd w:val="clear" w:color="auto" w:fill="CCEEFF"/>
          </w:tcPr>
          <w:p>
            <w:pPr>
              <w:jc w:val="right"/>
              <w:ind w:right="439"/>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455"/>
              <w:spacing w:after="0"/>
              <w:rPr>
                <w:sz w:val="20"/>
                <w:szCs w:val="20"/>
                <w:color w:val="auto"/>
              </w:rPr>
            </w:pPr>
            <w:r>
              <w:rPr>
                <w:rFonts w:ascii="Arial" w:cs="Arial" w:eastAsia="Arial" w:hAnsi="Arial"/>
                <w:sz w:val="18"/>
                <w:szCs w:val="18"/>
                <w:color w:val="auto"/>
              </w:rPr>
              <w:t>3%</w:t>
            </w:r>
          </w:p>
        </w:tc>
      </w:tr>
      <w:tr>
        <w:trPr>
          <w:trHeight w:val="123"/>
        </w:trPr>
        <w:tc>
          <w:tcPr>
            <w:tcW w:w="6980" w:type="dxa"/>
            <w:vAlign w:val="bottom"/>
          </w:tcPr>
          <w:p>
            <w:pPr>
              <w:jc w:val="right"/>
              <w:ind w:right="6008"/>
              <w:spacing w:after="0" w:line="124" w:lineRule="exact"/>
              <w:rPr>
                <w:sz w:val="20"/>
                <w:szCs w:val="20"/>
                <w:color w:val="auto"/>
              </w:rPr>
            </w:pPr>
            <w:r>
              <w:rPr>
                <w:rFonts w:ascii="Arial" w:cs="Arial" w:eastAsia="Arial" w:hAnsi="Arial"/>
                <w:sz w:val="11"/>
                <w:szCs w:val="11"/>
                <w:color w:val="auto"/>
                <w:w w:val="95"/>
              </w:rPr>
              <w:t>_______________</w:t>
            </w:r>
          </w:p>
        </w:tc>
        <w:tc>
          <w:tcPr>
            <w:tcW w:w="8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r>
    </w:tbl>
    <w:p>
      <w:pPr>
        <w:ind w:right="240" w:firstLine="8"/>
        <w:spacing w:after="0" w:line="253" w:lineRule="auto"/>
        <w:tabs>
          <w:tab w:leader="none" w:pos="378"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define an enterprise platform customer as a customer that has licensed Tenable.io or Tenable.sc for an annual amount of $5,000 or greater. New enterprise platform customers represent new customer logos during the periods presented and do not include customer conversions from Nessus Professional to enterprise platforms.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98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At March 31,</w:t>
            </w:r>
          </w:p>
        </w:tc>
        <w:tc>
          <w:tcPr>
            <w:tcW w:w="1340" w:type="dxa"/>
            <w:vAlign w:val="bottom"/>
            <w:tcBorders>
              <w:bottom w:val="single" w:sz="8" w:color="auto"/>
            </w:tcBorders>
          </w:tcPr>
          <w:p>
            <w:pPr>
              <w:spacing w:after="0"/>
              <w:rPr>
                <w:sz w:val="19"/>
                <w:szCs w:val="19"/>
                <w:color w:val="auto"/>
              </w:rPr>
            </w:pPr>
          </w:p>
        </w:tc>
      </w:tr>
      <w:tr>
        <w:trPr>
          <w:trHeight w:val="264"/>
        </w:trPr>
        <w:tc>
          <w:tcPr>
            <w:tcW w:w="698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 (%)</w:t>
            </w:r>
          </w:p>
        </w:tc>
      </w:tr>
      <w:tr>
        <w:trPr>
          <w:trHeight w:val="215"/>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Number of customers with $100,000 and greater in annual contract value at end of</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period</w:t>
            </w:r>
          </w:p>
        </w:tc>
        <w:tc>
          <w:tcPr>
            <w:tcW w:w="134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665</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rPr>
              <w:t>35%</w:t>
            </w:r>
          </w:p>
        </w:tc>
      </w:tr>
    </w:tbl>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Non-GAAP Loss from Operations and Non-GAAP Operating Margin</w:t>
      </w:r>
    </w:p>
    <w:p>
      <w:pPr>
        <w:spacing w:after="0" w:line="247"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We use non-GAAP loss from operations along with non-GAAP operating margin as key indicators of our financial performance. We define these non-GAAP financial measures as their respective GAAP measures, excluding the effects of stock-based compensation, acquisition-related expenses and amortization of acquired intangible assets. Acquisition-related expenses include transaction expenses and costs related to the transfer of acquired intellectual property.</w:t>
      </w:r>
    </w:p>
    <w:p>
      <w:pPr>
        <w:spacing w:after="0" w:line="204" w:lineRule="exact"/>
        <w:rPr>
          <w:sz w:val="20"/>
          <w:szCs w:val="20"/>
          <w:color w:val="auto"/>
        </w:rPr>
      </w:pPr>
    </w:p>
    <w:p>
      <w:pPr>
        <w:jc w:val="both"/>
        <w:ind w:right="260" w:firstLine="324"/>
        <w:spacing w:after="0" w:line="256" w:lineRule="auto"/>
        <w:rPr>
          <w:sz w:val="20"/>
          <w:szCs w:val="20"/>
          <w:color w:val="auto"/>
        </w:rPr>
      </w:pPr>
      <w:r>
        <w:rPr>
          <w:rFonts w:ascii="Arial" w:cs="Arial" w:eastAsia="Arial" w:hAnsi="Arial"/>
          <w:sz w:val="18"/>
          <w:szCs w:val="18"/>
          <w:color w:val="auto"/>
        </w:rPr>
        <w:t>We believe that these non-GAAP financial measures provide useful information about our core operating results over multiple periods. There are a number of limitations related to the use of the non-GAAP financial measures as compared to GAAP loss from operations and operating margin, including that non-GAAP loss from operations and non-GAAP operating</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0" w:right="339" w:bottom="1440" w:gutter="0" w:footer="0" w:header="0"/>
        </w:sectPr>
      </w:pPr>
    </w:p>
    <w:bookmarkStart w:id="21" w:name="page22"/>
    <w:bookmarkEnd w:id="21"/>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margin exclude stock-based compensation expense, which has been, and will continue to be for the foreseeable future, a significant recurring expense in our business and an important part of our compensation strategy.</w:t>
      </w:r>
    </w:p>
    <w:p>
      <w:pPr>
        <w:spacing w:after="0" w:line="198"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The following table presents a reconciliation of loss from operations, the most directly comparable financial measure calculated in accordance with GAAP, to non-GAAP loss from operations, and operating margin, the most directly comparable financial measure calculated in accordance with GAAP, to non-GAAP operating margin: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6"/>
                <w:szCs w:val="16"/>
                <w:b w:val="1"/>
                <w:bCs w:val="1"/>
                <w:color w:val="auto"/>
              </w:rPr>
              <w:t>Three Months Ended March 31,</w:t>
            </w:r>
          </w:p>
        </w:tc>
      </w:tr>
      <w:tr>
        <w:trPr>
          <w:trHeight w:val="264"/>
        </w:trPr>
        <w:tc>
          <w:tcPr>
            <w:tcW w:w="79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2019</w:t>
            </w:r>
          </w:p>
        </w:tc>
      </w:tr>
      <w:tr>
        <w:trPr>
          <w:trHeight w:val="256"/>
        </w:trPr>
        <w:tc>
          <w:tcPr>
            <w:tcW w:w="7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(21,672)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(22,685)</w:t>
            </w:r>
          </w:p>
        </w:tc>
      </w:tr>
      <w:tr>
        <w:trPr>
          <w:trHeight w:val="263"/>
        </w:trPr>
        <w:tc>
          <w:tcPr>
            <w:tcW w:w="792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22"/>
                <w:szCs w:val="22"/>
                <w:color w:val="auto"/>
              </w:rPr>
            </w:pPr>
          </w:p>
        </w:tc>
        <w:tc>
          <w:tcPr>
            <w:tcW w:w="1300" w:type="dxa"/>
            <w:vAlign w:val="bottom"/>
          </w:tcPr>
          <w:p>
            <w:pPr>
              <w:jc w:val="right"/>
              <w:ind w:right="172"/>
              <w:spacing w:after="0"/>
              <w:rPr>
                <w:sz w:val="20"/>
                <w:szCs w:val="20"/>
                <w:color w:val="auto"/>
              </w:rPr>
            </w:pPr>
            <w:r>
              <w:rPr>
                <w:rFonts w:ascii="Arial" w:cs="Arial" w:eastAsia="Arial" w:hAnsi="Arial"/>
                <w:sz w:val="18"/>
                <w:szCs w:val="18"/>
                <w:color w:val="auto"/>
              </w:rPr>
              <w:t>13,035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71"/>
              <w:spacing w:after="0"/>
              <w:rPr>
                <w:sz w:val="20"/>
                <w:szCs w:val="20"/>
                <w:color w:val="auto"/>
              </w:rPr>
            </w:pPr>
            <w:r>
              <w:rPr>
                <w:rFonts w:ascii="Arial" w:cs="Arial" w:eastAsia="Arial" w:hAnsi="Arial"/>
                <w:sz w:val="18"/>
                <w:szCs w:val="18"/>
                <w:color w:val="auto"/>
              </w:rPr>
              <w:t>9,319</w:t>
            </w:r>
          </w:p>
        </w:tc>
      </w:tr>
      <w:tr>
        <w:trPr>
          <w:trHeight w:val="277"/>
        </w:trPr>
        <w:tc>
          <w:tcPr>
            <w:tcW w:w="7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Acquisition-related expenses</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r>
      <w:tr>
        <w:trPr>
          <w:trHeight w:val="263"/>
        </w:trPr>
        <w:tc>
          <w:tcPr>
            <w:tcW w:w="79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Amortization of acquired intangible assets</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579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151</w:t>
            </w:r>
          </w:p>
        </w:tc>
      </w:tr>
      <w:tr>
        <w:trPr>
          <w:trHeight w:val="257"/>
        </w:trPr>
        <w:tc>
          <w:tcPr>
            <w:tcW w:w="7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Non-GAAP loss from operations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(7,719)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(13,215)</w:t>
            </w:r>
          </w:p>
        </w:tc>
      </w:tr>
      <w:tr>
        <w:trPr>
          <w:trHeight w:val="20"/>
        </w:trPr>
        <w:tc>
          <w:tcPr>
            <w:tcW w:w="7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305"/>
        </w:trPr>
        <w:tc>
          <w:tcPr>
            <w:tcW w:w="7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7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57"/>
        </w:trPr>
        <w:tc>
          <w:tcPr>
            <w:tcW w:w="7920" w:type="dxa"/>
            <w:vAlign w:val="bottom"/>
          </w:tcPr>
          <w:p>
            <w:pPr>
              <w:ind w:left="40"/>
              <w:spacing w:after="0"/>
              <w:rPr>
                <w:sz w:val="20"/>
                <w:szCs w:val="20"/>
                <w:color w:val="auto"/>
              </w:rPr>
            </w:pPr>
            <w:r>
              <w:rPr>
                <w:rFonts w:ascii="Arial" w:cs="Arial" w:eastAsia="Arial" w:hAnsi="Arial"/>
                <w:sz w:val="18"/>
                <w:szCs w:val="18"/>
                <w:color w:val="auto"/>
              </w:rPr>
              <w:t>Non-GAAP operating margin</w:t>
            </w:r>
          </w:p>
        </w:tc>
        <w:tc>
          <w:tcPr>
            <w:tcW w:w="3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Non-GAAP Net Loss and Non-GAAP Net Loss Per Share</w:t>
      </w:r>
    </w:p>
    <w:p>
      <w:pPr>
        <w:spacing w:after="0" w:line="247"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use non-GAAP net loss, which excludes the effect of stock-based compensation, acquisition-related expenses and amortization of acquired intangible assets, as well as the related tax impact, to calculate non-GAAP net loss per share. We believe that these non-GAAP measures provide important information to management and investors because they facilitate comparisons of our core operating results over multiple periods.</w:t>
      </w:r>
    </w:p>
    <w:p>
      <w:pPr>
        <w:spacing w:after="0" w:line="204"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The following table presents a reconciliation of net loss and net loss per share, the most comparable financial measures calculated in accordance with GAAP, to non-GAAP net loss and non-GAAP net loss per share: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ind w:right="231"/>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63"/>
        </w:trPr>
        <w:tc>
          <w:tcPr>
            <w:tcW w:w="81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 except for per share amounts)</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(21,440)</w:t>
            </w:r>
          </w:p>
        </w:tc>
        <w:tc>
          <w:tcPr>
            <w:tcW w:w="0" w:type="dxa"/>
            <w:vAlign w:val="bottom"/>
          </w:tcPr>
          <w:p>
            <w:pPr>
              <w:spacing w:after="0"/>
              <w:rPr>
                <w:sz w:val="1"/>
                <w:szCs w:val="1"/>
                <w:color w:val="auto"/>
              </w:rPr>
            </w:pPr>
          </w:p>
        </w:tc>
      </w:tr>
      <w:tr>
        <w:trPr>
          <w:trHeight w:val="263"/>
        </w:trPr>
        <w:tc>
          <w:tcPr>
            <w:tcW w:w="8180" w:type="dxa"/>
            <w:vAlign w:val="bottom"/>
          </w:tcPr>
          <w:p>
            <w:pPr>
              <w:ind w:left="40"/>
              <w:spacing w:after="0"/>
              <w:rPr>
                <w:sz w:val="20"/>
                <w:szCs w:val="20"/>
                <w:color w:val="auto"/>
              </w:rPr>
            </w:pPr>
            <w:r>
              <w:rPr>
                <w:rFonts w:ascii="Arial" w:cs="Arial" w:eastAsia="Arial" w:hAnsi="Arial"/>
                <w:sz w:val="18"/>
                <w:szCs w:val="18"/>
                <w:color w:val="auto"/>
              </w:rPr>
              <w:t>Acquisition-related expenses</w:t>
            </w:r>
          </w:p>
        </w:tc>
        <w:tc>
          <w:tcPr>
            <w:tcW w:w="2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13,035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9,319</w:t>
            </w:r>
          </w:p>
        </w:tc>
        <w:tc>
          <w:tcPr>
            <w:tcW w:w="0" w:type="dxa"/>
            <w:vAlign w:val="bottom"/>
          </w:tcPr>
          <w:p>
            <w:pPr>
              <w:spacing w:after="0"/>
              <w:rPr>
                <w:sz w:val="1"/>
                <w:szCs w:val="1"/>
                <w:color w:val="auto"/>
              </w:rPr>
            </w:pPr>
          </w:p>
        </w:tc>
      </w:tr>
      <w:tr>
        <w:trPr>
          <w:trHeight w:val="270"/>
        </w:trPr>
        <w:tc>
          <w:tcPr>
            <w:tcW w:w="8180" w:type="dxa"/>
            <w:vAlign w:val="bottom"/>
          </w:tcPr>
          <w:p>
            <w:pPr>
              <w:ind w:left="40"/>
              <w:spacing w:after="0"/>
              <w:rPr>
                <w:sz w:val="20"/>
                <w:szCs w:val="20"/>
                <w:color w:val="auto"/>
              </w:rPr>
            </w:pPr>
            <w:r>
              <w:rPr>
                <w:rFonts w:ascii="Arial" w:cs="Arial" w:eastAsia="Arial" w:hAnsi="Arial"/>
                <w:sz w:val="18"/>
                <w:szCs w:val="18"/>
                <w:color w:val="auto"/>
              </w:rPr>
              <w:t>Tax impact of stock-based compensation</w:t>
            </w:r>
            <w:r>
              <w:rPr>
                <w:rFonts w:ascii="Arial" w:cs="Arial" w:eastAsia="Arial" w:hAnsi="Arial"/>
                <w:sz w:val="21"/>
                <w:szCs w:val="21"/>
                <w:color w:val="auto"/>
                <w:vertAlign w:val="superscript"/>
              </w:rPr>
              <w:t>(1)</w:t>
            </w:r>
          </w:p>
        </w:tc>
        <w:tc>
          <w:tcPr>
            <w:tcW w:w="2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70"/>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acquired intangible assets</w:t>
            </w:r>
            <w:r>
              <w:rPr>
                <w:rFonts w:ascii="Arial" w:cs="Arial" w:eastAsia="Arial" w:hAnsi="Arial"/>
                <w:sz w:val="21"/>
                <w:szCs w:val="21"/>
                <w:color w:val="auto"/>
                <w:vertAlign w:val="superscript"/>
              </w:rPr>
              <w:t>(2)</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90"/>
        </w:trPr>
        <w:tc>
          <w:tcPr>
            <w:tcW w:w="81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Non-GAAP net loss</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(8,826)</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(12,619)</w:t>
            </w:r>
          </w:p>
        </w:tc>
        <w:tc>
          <w:tcPr>
            <w:tcW w:w="0" w:type="dxa"/>
            <w:vAlign w:val="bottom"/>
          </w:tcPr>
          <w:p>
            <w:pPr>
              <w:spacing w:after="0"/>
              <w:rPr>
                <w:sz w:val="1"/>
                <w:szCs w:val="1"/>
                <w:color w:val="auto"/>
              </w:rPr>
            </w:pPr>
          </w:p>
        </w:tc>
      </w:tr>
      <w:tr>
        <w:trPr>
          <w:trHeight w:val="304"/>
        </w:trPr>
        <w:tc>
          <w:tcPr>
            <w:tcW w:w="8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180" w:type="dxa"/>
            <w:vAlign w:val="bottom"/>
          </w:tcPr>
          <w:p>
            <w:pPr>
              <w:ind w:left="40"/>
              <w:spacing w:after="0"/>
              <w:rPr>
                <w:sz w:val="20"/>
                <w:szCs w:val="20"/>
                <w:color w:val="auto"/>
              </w:rPr>
            </w:pPr>
            <w:r>
              <w:rPr>
                <w:rFonts w:ascii="Arial" w:cs="Arial" w:eastAsia="Arial" w:hAnsi="Arial"/>
                <w:sz w:val="18"/>
                <w:szCs w:val="18"/>
                <w:color w:val="auto"/>
              </w:rPr>
              <w:t>Net loss per share, basic and diluted</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2"/>
                <w:szCs w:val="22"/>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Acquisition-related expenses</w:t>
            </w:r>
          </w:p>
        </w:tc>
        <w:tc>
          <w:tcPr>
            <w:tcW w:w="24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818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impact of stock-based compensation</w:t>
            </w:r>
            <w:r>
              <w:rPr>
                <w:rFonts w:ascii="Arial" w:cs="Arial" w:eastAsia="Arial" w:hAnsi="Arial"/>
                <w:sz w:val="21"/>
                <w:szCs w:val="21"/>
                <w:color w:val="auto"/>
                <w:vertAlign w:val="superscript"/>
              </w:rPr>
              <w:t>(1)</w:t>
            </w:r>
          </w:p>
        </w:tc>
        <w:tc>
          <w:tcPr>
            <w:tcW w:w="24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Amortization of acquired intangible assets</w:t>
            </w:r>
            <w:r>
              <w:rPr>
                <w:rFonts w:ascii="Arial" w:cs="Arial" w:eastAsia="Arial" w:hAnsi="Arial"/>
                <w:sz w:val="21"/>
                <w:szCs w:val="21"/>
                <w:color w:val="auto"/>
                <w:vertAlign w:val="superscript"/>
              </w:rPr>
              <w:t>(2)</w:t>
            </w: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Non-GAAP net loss per share, basic and diluted</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used to compute net loss per share, basic and diluted</w:t>
            </w: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98,855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93,738</w:t>
            </w: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Arial" w:cs="Arial" w:eastAsia="Arial" w:hAnsi="Arial"/>
                <w:sz w:val="11"/>
                <w:szCs w:val="11"/>
                <w:color w:val="auto"/>
              </w:rPr>
              <w:t>________________</w:t>
            </w: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81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tax impact of stock-based compensation is based on the tax treatment for the applicable tax jurisdictions.</w:t>
      </w:r>
    </w:p>
    <w:p>
      <w:pPr>
        <w:spacing w:after="0" w:line="59" w:lineRule="exact"/>
        <w:rPr>
          <w:rFonts w:ascii="Arial" w:cs="Arial" w:eastAsia="Arial" w:hAnsi="Arial"/>
          <w:sz w:val="16"/>
          <w:szCs w:val="16"/>
          <w:color w:val="auto"/>
        </w:rPr>
      </w:pPr>
    </w:p>
    <w:p>
      <w:pPr>
        <w:ind w:left="380" w:hanging="372"/>
        <w:spacing w:after="0"/>
        <w:tabs>
          <w:tab w:leader="none" w:pos="3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tax impact of amortization of acquired intangible assets is not material.</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0" w:right="339" w:bottom="1440" w:gutter="0" w:footer="0" w:header="0"/>
        </w:sectPr>
      </w:pPr>
    </w:p>
    <w:bookmarkStart w:id="22" w:name="page23"/>
    <w:bookmarkEnd w:id="22"/>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247" w:lineRule="exact"/>
        <w:rPr>
          <w:sz w:val="20"/>
          <w:szCs w:val="20"/>
          <w:color w:val="auto"/>
        </w:rPr>
      </w:pPr>
    </w:p>
    <w:p>
      <w:pPr>
        <w:ind w:right="460" w:firstLine="324"/>
        <w:spacing w:after="0" w:line="261" w:lineRule="auto"/>
        <w:rPr>
          <w:sz w:val="20"/>
          <w:szCs w:val="20"/>
          <w:color w:val="auto"/>
        </w:rPr>
      </w:pPr>
      <w:r>
        <w:rPr>
          <w:rFonts w:ascii="Arial" w:cs="Arial" w:eastAsia="Arial" w:hAnsi="Arial"/>
          <w:sz w:val="18"/>
          <w:szCs w:val="18"/>
          <w:color w:val="auto"/>
        </w:rPr>
        <w:t>We generate revenue from subscription arrangements for our software and cloud-based solutions, perpetual licenses, maintenance associated with perpetual licenses and professional services.</w:t>
      </w:r>
    </w:p>
    <w:p>
      <w:pPr>
        <w:spacing w:after="0" w:line="198"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Our subscription arrangements generally have annual or multi-year contractual terms to use our software or cloud-based solutions, including ongoing software updates during the contractual period. Revenue is recognized ratably over the subscription term given the critical utility provided by the ongoing updates that are released throughout the contract period.</w:t>
      </w:r>
    </w:p>
    <w:p>
      <w:pPr>
        <w:spacing w:after="0" w:line="202"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perpetual licenses are generally sold with one or more years of maintenance, which includes ongoing software updates. Given the critical utility provided by the ongoing software updates and updated ability to identify network vulnerabilities included in maintenance, we combine the perpetual license and the maintenance into a single performance obligation. Perpetual license arrangements generally contain a material right related to the customer’s ability to renew maintenance at a price that is less than the initial license fee. We apply a practical alternative to allocating a portion of the transaction price to the material right performance obligation and estimate a hypothetical transaction price which includes fees for expected maintenance renewals based on the estimated economic life of perpetual license contracts. We allocate the transaction price between the cybersecurity subscription provided in the initial contract and the material right related to expected contract renewals based on the hypothetical transaction price. We recognize the amount allocated to the combined license and maintenance performance obligation over the initial contractual period, which is generally one year. We recognize the amount allocated to the material right over the expected maintenance renewal period, which begins at the end of the initial contractual term and is generally four years. We have estimated the five-year economic life of perpetual license contracts based on historical contract attrition, expected renewal periods, the lifecycle of our technology and other factors. This estimate may change over time.</w:t>
      </w:r>
    </w:p>
    <w:p>
      <w:pPr>
        <w:spacing w:after="0" w:line="210" w:lineRule="exact"/>
        <w:rPr>
          <w:sz w:val="20"/>
          <w:szCs w:val="20"/>
          <w:color w:val="auto"/>
        </w:rPr>
      </w:pPr>
    </w:p>
    <w:p>
      <w:pPr>
        <w:ind w:right="600" w:firstLine="324"/>
        <w:spacing w:after="0" w:line="256" w:lineRule="auto"/>
        <w:rPr>
          <w:sz w:val="20"/>
          <w:szCs w:val="20"/>
          <w:color w:val="auto"/>
        </w:rPr>
      </w:pPr>
      <w:r>
        <w:rPr>
          <w:rFonts w:ascii="Arial" w:cs="Arial" w:eastAsia="Arial" w:hAnsi="Arial"/>
          <w:sz w:val="18"/>
          <w:szCs w:val="18"/>
          <w:color w:val="auto"/>
        </w:rPr>
        <w:t>Professional services and other revenue is primarily comprised of advisory services and training related to the deployment and optimization of our products. These services do not result in significant customization of our products. Professional services and other revenue is recognized as the services are performed.</w:t>
      </w:r>
    </w:p>
    <w:p>
      <w:pPr>
        <w:spacing w:after="0" w:line="202" w:lineRule="exact"/>
        <w:rPr>
          <w:sz w:val="20"/>
          <w:szCs w:val="20"/>
          <w:color w:val="auto"/>
        </w:rPr>
      </w:pPr>
    </w:p>
    <w:p>
      <w:pPr>
        <w:ind w:right="260" w:firstLine="324"/>
        <w:spacing w:after="0" w:line="252" w:lineRule="auto"/>
        <w:rPr>
          <w:sz w:val="20"/>
          <w:szCs w:val="20"/>
          <w:color w:val="auto"/>
        </w:rPr>
      </w:pPr>
      <w:r>
        <w:rPr>
          <w:rFonts w:ascii="Arial" w:cs="Arial" w:eastAsia="Arial" w:hAnsi="Arial"/>
          <w:sz w:val="18"/>
          <w:szCs w:val="18"/>
          <w:color w:val="auto"/>
        </w:rPr>
        <w:t>We have historically experienced, and expect in the future to experience, seasonality in entering into agreements with customers. We typically enter into a significantly higher percentage of agreements with new customers, as well as renewal agreements with existing customers, in the third and fourth quarters of the year. The increase in customer agreements in the third quarter is primarily attributable to U.S. government and related agencies, and the increase in the fourth quarter is primarily attributable to large enterprise account buying patterns typical in the software industry. The ratable nature of our subscription revenue makes this seasonality less apparent in our overall financial results.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4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Cost of revenue includes personnel costs related to our technical support group that provides assistance to customers, including salaries, benefits, bonuses, payroll taxes and stock-based compensation. Cost of revenue also includes cloud infrastructure costs, the costs related to professional services and training, depreciation, amortization of acquired and developed technology and allocated overhead costs, which consist of information technology and facilities.</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intend to continue to invest additional resources in our cloud-based platform and customer support team as we grow our business.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level and timing of investment in these areas could affect our cost of revenue in the future.</w:t>
      </w:r>
    </w:p>
    <w:p>
      <w:pPr>
        <w:spacing w:after="0" w:line="225" w:lineRule="exact"/>
        <w:rPr>
          <w:sz w:val="20"/>
          <w:szCs w:val="20"/>
          <w:color w:val="auto"/>
        </w:rPr>
      </w:pPr>
    </w:p>
    <w:p>
      <w:pPr>
        <w:jc w:val="both"/>
        <w:ind w:right="80" w:firstLine="324"/>
        <w:spacing w:after="0" w:line="254" w:lineRule="auto"/>
        <w:rPr>
          <w:sz w:val="20"/>
          <w:szCs w:val="20"/>
          <w:color w:val="auto"/>
        </w:rPr>
      </w:pPr>
      <w:r>
        <w:rPr>
          <w:rFonts w:ascii="Arial" w:cs="Arial" w:eastAsia="Arial" w:hAnsi="Arial"/>
          <w:sz w:val="18"/>
          <w:szCs w:val="18"/>
          <w:color w:val="auto"/>
        </w:rPr>
        <w:t>Gross profit, or revenue less cost of revenue, and gross margin, or gross profit as a percentage of revenue, have been and will continue to be affected by various factors, including the timing of our acquisition of new customers and our renewals of and follow-on sales to existing customers, the costs associated with operating our cloud-based platform, the extent to which we expand our customer support team and the extent to which we can increase the efficiency of our technology and infrastructure through technological improvements.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140" w:right="359" w:bottom="1440" w:gutter="0" w:footer="0" w:header="0"/>
        </w:sectPr>
      </w:pPr>
    </w:p>
    <w:bookmarkStart w:id="23" w:name="page24"/>
    <w:bookmarkEnd w:id="2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We expect our gross profit to increase in absolute dollars but our gross margin to decrease, as we expect revenue from our cloud-based subscriptions to increase as a percentage of revenue, although our gross margin could fluctuate from period to period depending on the interplay of all of these factors.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4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operating expenses consist of sales and marketing, research and development and general and administrative expenses. Personnel costs are the most significant component of operating expenses and consist of salaries, benefits, bonuses, payroll taxes and stock-based compensation expense. Operating expenses also include depreciation and amortization as well as allocated overhead costs, including IT and facilities costs.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w:t>
      </w:r>
    </w:p>
    <w:p>
      <w:pPr>
        <w:spacing w:after="0" w:line="243"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Sales and marketing expense consists of personnel costs, sales commissions, marketing programs, travel and entertainment, expenses for conferences and events and allocated overhead costs. We capitalize sales commissions, including related incremental fringe benefit costs, and recognize the expense over an estimated period of benefit, which ranges between three and four years for subscription arrangements and five years for perpetual license arrangements. Sales commissions on contract renewals are capitalized and amortized ratably over the contract term, with the exception of contracts with renewal periods that are one year or less, in which case the incremental costs are expensed as incurred. Sales commissions on professional services arrangements are expensed as incurred as the contractual period of these arrangements are generally less that one year.</w:t>
      </w:r>
    </w:p>
    <w:p>
      <w:pPr>
        <w:spacing w:after="0" w:line="207"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We intend to continue to make investments in our sales and marketing teams to grow revenue, further penetrate the market and expand our global customer base. We expect our sales and marketing expense to continue to increase in absolute dollars and to be our largest operating expense category for the foreseeable future. However, as our revenue increases, we expect our sales and marketing expense to decrease as a percentage of our revenue over the long term. Our sales and marketing expense may fluctuate as a percentage of our revenue from period to period due to the timing and extent of these expenses, including sales commissions, which may fluctuate depending on the mix of sales and related expense recognition.</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243" w:lineRule="exact"/>
        <w:rPr>
          <w:sz w:val="20"/>
          <w:szCs w:val="20"/>
          <w:color w:val="auto"/>
        </w:rPr>
      </w:pPr>
    </w:p>
    <w:p>
      <w:pPr>
        <w:ind w:right="520" w:firstLine="324"/>
        <w:spacing w:after="0" w:line="254" w:lineRule="auto"/>
        <w:rPr>
          <w:sz w:val="20"/>
          <w:szCs w:val="20"/>
          <w:color w:val="auto"/>
        </w:rPr>
      </w:pPr>
      <w:r>
        <w:rPr>
          <w:rFonts w:ascii="Arial" w:cs="Arial" w:eastAsia="Arial" w:hAnsi="Arial"/>
          <w:sz w:val="18"/>
          <w:szCs w:val="18"/>
          <w:color w:val="auto"/>
        </w:rPr>
        <w:t>Research and development expense consists of personnel costs, software used to develop our products, travel and entertainment, consulting and professional fees for third-party development resources as well as allocated overhead. Our research and development expense supports our efforts to continue to add capabilities to our existing products and enable the continued detection of new network vulnerabilities.</w:t>
      </w:r>
    </w:p>
    <w:p>
      <w:pPr>
        <w:spacing w:after="0" w:line="20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expect our research and development expense to continue to increase in absolute dollars for the foreseeable future as we continue to invest in research and development efforts to enhance the functionality of our cloud-based platform. However, we expect our research and development expense to decrease as a percentage of our revenue over the long term, although our research and development expense may fluctuate as a percentage of our revenue from period to period due to the timing and extent of these expenses.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243"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General and administrative expense consists of personnel costs for our executive, finance, legal, human resources and administrative departments. Additional expenses include travel and entertainment, professional fees, insurance, allocated overhead and acquisition-related costs.</w:t>
      </w:r>
    </w:p>
    <w:p>
      <w:pPr>
        <w:spacing w:after="0" w:line="202"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expect our general and administrative expense to continue to increase in absolute dollars for the foreseeable future due to additional costs associated with accounting, compliance, insurance and investor relations as a public company. However, we expect our general and administrative expense to decrease as a percentage of our revenue over the long term, although our general and administrative expense may fluctuate as a percentage of our revenue from period to period due to the timing and extent of these expenses.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0" w:right="339" w:bottom="1440" w:gutter="0" w:footer="0" w:header="0"/>
        </w:sectPr>
      </w:pPr>
    </w:p>
    <w:bookmarkStart w:id="24" w:name="page25"/>
    <w:bookmarkEnd w:id="2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247" w:lineRule="exact"/>
        <w:rPr>
          <w:sz w:val="20"/>
          <w:szCs w:val="20"/>
          <w:color w:val="auto"/>
        </w:rPr>
      </w:pPr>
    </w:p>
    <w:p>
      <w:pPr>
        <w:ind w:right="180" w:firstLine="324"/>
        <w:spacing w:after="0" w:line="261" w:lineRule="auto"/>
        <w:rPr>
          <w:sz w:val="20"/>
          <w:szCs w:val="20"/>
          <w:color w:val="auto"/>
        </w:rPr>
      </w:pPr>
      <w:r>
        <w:rPr>
          <w:rFonts w:ascii="Arial" w:cs="Arial" w:eastAsia="Arial" w:hAnsi="Arial"/>
          <w:sz w:val="18"/>
          <w:szCs w:val="18"/>
          <w:color w:val="auto"/>
        </w:rPr>
        <w:t>Interest income, net consists primarily of interest income earned on cash and cash equivalents and short-term investments and interest expense in connection with fees for our unused revolving credit facility.</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expense, net consists primarily of foreign currency remeasurement and transaction gains and losses.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47"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Provision for income taxes consists of income taxes in certain foreign jurisdictions in which we conduct business and the related withholding taxes on sales with customers. We have recorded deferred tax assets for which a full valuation allowance has been provided, including net operating loss carryforwards and tax credits. We expect to maintain this full valuation allowance for the foreseeable future as it is more likely than not that some or all of those deferred tax assets may not be realized based on our history of losses.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set forth our consolidated results of operations: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6"/>
          </w:tcPr>
          <w:p>
            <w:pPr>
              <w:jc w:val="right"/>
              <w:ind w:right="231"/>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63"/>
        </w:trPr>
        <w:tc>
          <w:tcPr>
            <w:tcW w:w="52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8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57"/>
        </w:trPr>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102,648</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80,301</w:t>
            </w:r>
          </w:p>
        </w:tc>
        <w:tc>
          <w:tcPr>
            <w:tcW w:w="0" w:type="dxa"/>
            <w:vAlign w:val="bottom"/>
          </w:tcPr>
          <w:p>
            <w:pPr>
              <w:spacing w:after="0"/>
              <w:rPr>
                <w:sz w:val="1"/>
                <w:szCs w:val="1"/>
                <w:color w:val="auto"/>
              </w:rPr>
            </w:pPr>
          </w:p>
        </w:tc>
      </w:tr>
      <w:tr>
        <w:trPr>
          <w:trHeight w:val="270"/>
        </w:trPr>
        <w:tc>
          <w:tcPr>
            <w:tcW w:w="5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revenue</w:t>
            </w:r>
            <w:r>
              <w:rPr>
                <w:rFonts w:ascii="Arial" w:cs="Arial" w:eastAsia="Arial" w:hAnsi="Arial"/>
                <w:sz w:val="21"/>
                <w:szCs w:val="21"/>
                <w:color w:val="auto"/>
                <w:vertAlign w:val="superscript"/>
              </w:rPr>
              <w:t>(1)</w:t>
            </w:r>
          </w:p>
        </w:tc>
        <w:tc>
          <w:tcPr>
            <w:tcW w:w="28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18,701</w:t>
            </w:r>
          </w:p>
        </w:tc>
        <w:tc>
          <w:tcPr>
            <w:tcW w:w="60" w:type="dxa"/>
            <w:vAlign w:val="bottom"/>
            <w:tcBorders>
              <w:bottom w:val="single" w:sz="8" w:color="auto"/>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13,226</w:t>
            </w:r>
          </w:p>
        </w:tc>
        <w:tc>
          <w:tcPr>
            <w:tcW w:w="0" w:type="dxa"/>
            <w:vAlign w:val="bottom"/>
          </w:tcPr>
          <w:p>
            <w:pPr>
              <w:spacing w:after="0"/>
              <w:rPr>
                <w:sz w:val="1"/>
                <w:szCs w:val="1"/>
                <w:color w:val="auto"/>
              </w:rPr>
            </w:pPr>
          </w:p>
        </w:tc>
      </w:tr>
      <w:tr>
        <w:trPr>
          <w:trHeight w:val="250"/>
        </w:trPr>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83,947</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67,075</w:t>
            </w:r>
          </w:p>
        </w:tc>
        <w:tc>
          <w:tcPr>
            <w:tcW w:w="0" w:type="dxa"/>
            <w:vAlign w:val="bottom"/>
          </w:tcPr>
          <w:p>
            <w:pPr>
              <w:spacing w:after="0"/>
              <w:rPr>
                <w:sz w:val="1"/>
                <w:szCs w:val="1"/>
                <w:color w:val="auto"/>
              </w:rPr>
            </w:pPr>
          </w:p>
        </w:tc>
      </w:tr>
      <w:tr>
        <w:trPr>
          <w:trHeight w:val="263"/>
        </w:trPr>
        <w:tc>
          <w:tcPr>
            <w:tcW w:w="52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21"/>
                <w:szCs w:val="21"/>
                <w:color w:val="auto"/>
                <w:vertAlign w:val="superscript"/>
              </w:rPr>
              <w:t>(1)</w:t>
            </w:r>
          </w:p>
        </w:tc>
        <w:tc>
          <w:tcPr>
            <w:tcW w:w="2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59,855</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52,689</w:t>
            </w:r>
          </w:p>
        </w:tc>
        <w:tc>
          <w:tcPr>
            <w:tcW w:w="0" w:type="dxa"/>
            <w:vAlign w:val="bottom"/>
          </w:tcPr>
          <w:p>
            <w:pPr>
              <w:spacing w:after="0"/>
              <w:rPr>
                <w:sz w:val="1"/>
                <w:szCs w:val="1"/>
                <w:color w:val="auto"/>
              </w:rPr>
            </w:pPr>
          </w:p>
        </w:tc>
      </w:tr>
      <w:tr>
        <w:trPr>
          <w:trHeight w:val="270"/>
        </w:trPr>
        <w:tc>
          <w:tcPr>
            <w:tcW w:w="5220" w:type="dxa"/>
            <w:vAlign w:val="bottom"/>
          </w:tcPr>
          <w:p>
            <w:pPr>
              <w:ind w:left="28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21"/>
                <w:szCs w:val="21"/>
                <w:color w:val="auto"/>
                <w:vertAlign w:val="superscript"/>
              </w:rPr>
              <w:t>(1)</w:t>
            </w:r>
          </w:p>
        </w:tc>
        <w:tc>
          <w:tcPr>
            <w:tcW w:w="2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26,831</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21,935</w:t>
            </w:r>
          </w:p>
        </w:tc>
        <w:tc>
          <w:tcPr>
            <w:tcW w:w="0" w:type="dxa"/>
            <w:vAlign w:val="bottom"/>
          </w:tcPr>
          <w:p>
            <w:pPr>
              <w:spacing w:after="0"/>
              <w:rPr>
                <w:sz w:val="1"/>
                <w:szCs w:val="1"/>
                <w:color w:val="auto"/>
              </w:rPr>
            </w:pPr>
          </w:p>
        </w:tc>
      </w:tr>
      <w:tr>
        <w:trPr>
          <w:trHeight w:val="270"/>
        </w:trPr>
        <w:tc>
          <w:tcPr>
            <w:tcW w:w="5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21"/>
                <w:szCs w:val="21"/>
                <w:color w:val="auto"/>
                <w:vertAlign w:val="superscript"/>
              </w:rPr>
              <w:t>(1)</w:t>
            </w:r>
          </w:p>
        </w:tc>
        <w:tc>
          <w:tcPr>
            <w:tcW w:w="2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18,933</w:t>
            </w:r>
          </w:p>
        </w:tc>
        <w:tc>
          <w:tcPr>
            <w:tcW w:w="6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15,136</w:t>
            </w:r>
          </w:p>
        </w:tc>
        <w:tc>
          <w:tcPr>
            <w:tcW w:w="0" w:type="dxa"/>
            <w:vAlign w:val="bottom"/>
          </w:tcPr>
          <w:p>
            <w:pPr>
              <w:spacing w:after="0"/>
              <w:rPr>
                <w:sz w:val="1"/>
                <w:szCs w:val="1"/>
                <w:color w:val="auto"/>
              </w:rPr>
            </w:pPr>
          </w:p>
        </w:tc>
      </w:tr>
      <w:tr>
        <w:trPr>
          <w:trHeight w:val="244"/>
        </w:trPr>
        <w:tc>
          <w:tcPr>
            <w:tcW w:w="5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operating expenses</w:t>
            </w:r>
          </w:p>
        </w:tc>
        <w:tc>
          <w:tcPr>
            <w:tcW w:w="28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105,619</w:t>
            </w: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89,760</w:t>
            </w:r>
          </w:p>
        </w:tc>
        <w:tc>
          <w:tcPr>
            <w:tcW w:w="0" w:type="dxa"/>
            <w:vAlign w:val="bottom"/>
          </w:tcPr>
          <w:p>
            <w:pPr>
              <w:spacing w:after="0"/>
              <w:rPr>
                <w:sz w:val="1"/>
                <w:szCs w:val="1"/>
                <w:color w:val="auto"/>
              </w:rPr>
            </w:pPr>
          </w:p>
        </w:tc>
      </w:tr>
      <w:tr>
        <w:trPr>
          <w:trHeight w:val="256"/>
        </w:trPr>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(21,672)</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(22,685)</w:t>
            </w:r>
          </w:p>
        </w:tc>
        <w:tc>
          <w:tcPr>
            <w:tcW w:w="0" w:type="dxa"/>
            <w:vAlign w:val="bottom"/>
          </w:tcPr>
          <w:p>
            <w:pPr>
              <w:spacing w:after="0"/>
              <w:rPr>
                <w:sz w:val="1"/>
                <w:szCs w:val="1"/>
                <w:color w:val="auto"/>
              </w:rPr>
            </w:pPr>
          </w:p>
        </w:tc>
      </w:tr>
      <w:tr>
        <w:trPr>
          <w:trHeight w:val="263"/>
        </w:trPr>
        <w:tc>
          <w:tcPr>
            <w:tcW w:w="5220" w:type="dxa"/>
            <w:vAlign w:val="bottom"/>
          </w:tcPr>
          <w:p>
            <w:pPr>
              <w:ind w:left="280"/>
              <w:spacing w:after="0"/>
              <w:rPr>
                <w:sz w:val="20"/>
                <w:szCs w:val="20"/>
                <w:color w:val="auto"/>
              </w:rPr>
            </w:pPr>
            <w:r>
              <w:rPr>
                <w:rFonts w:ascii="Arial" w:cs="Arial" w:eastAsia="Arial" w:hAnsi="Arial"/>
                <w:sz w:val="18"/>
                <w:szCs w:val="18"/>
                <w:color w:val="auto"/>
              </w:rPr>
              <w:t>Interest income, net</w:t>
            </w:r>
          </w:p>
        </w:tc>
        <w:tc>
          <w:tcPr>
            <w:tcW w:w="2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734</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70"/>
        </w:trPr>
        <w:tc>
          <w:tcPr>
            <w:tcW w:w="5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expense, net</w:t>
            </w:r>
          </w:p>
        </w:tc>
        <w:tc>
          <w:tcPr>
            <w:tcW w:w="2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(960)</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50"/>
        </w:trPr>
        <w:tc>
          <w:tcPr>
            <w:tcW w:w="522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2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(21,898)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(21,343)</w:t>
            </w:r>
          </w:p>
        </w:tc>
        <w:tc>
          <w:tcPr>
            <w:tcW w:w="0" w:type="dxa"/>
            <w:vAlign w:val="bottom"/>
          </w:tcPr>
          <w:p>
            <w:pPr>
              <w:spacing w:after="0"/>
              <w:rPr>
                <w:sz w:val="1"/>
                <w:szCs w:val="1"/>
                <w:color w:val="auto"/>
              </w:rPr>
            </w:pPr>
          </w:p>
        </w:tc>
      </w:tr>
      <w:tr>
        <w:trPr>
          <w:trHeight w:val="270"/>
        </w:trPr>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6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57"/>
        </w:trPr>
        <w:tc>
          <w:tcPr>
            <w:tcW w:w="5220" w:type="dxa"/>
            <w:vAlign w:val="bottom"/>
          </w:tcPr>
          <w:p>
            <w:pPr>
              <w:ind w:left="40"/>
              <w:spacing w:after="0"/>
              <w:rPr>
                <w:sz w:val="20"/>
                <w:szCs w:val="20"/>
                <w:color w:val="auto"/>
              </w:rPr>
            </w:pPr>
            <w:r>
              <w:rPr>
                <w:rFonts w:ascii="Arial" w:cs="Arial" w:eastAsia="Arial" w:hAnsi="Arial"/>
                <w:sz w:val="18"/>
                <w:szCs w:val="18"/>
                <w:color w:val="auto"/>
              </w:rPr>
              <w:t>Net loss</w:t>
            </w:r>
          </w:p>
        </w:tc>
        <w:tc>
          <w:tcPr>
            <w:tcW w:w="31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(22,977)</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(21,440)</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1"/>
                <w:szCs w:val="11"/>
                <w:color w:val="auto"/>
              </w:rPr>
              <w:t>_______________</w:t>
            </w: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5220" w:type="dxa"/>
            <w:vAlign w:val="bottom"/>
            <w:vMerge w:val="continue"/>
          </w:tcPr>
          <w:p>
            <w:pPr>
              <w:spacing w:after="0"/>
              <w:rPr>
                <w:sz w:val="8"/>
                <w:szCs w:val="8"/>
                <w:color w:val="auto"/>
              </w:rPr>
            </w:pPr>
          </w:p>
        </w:tc>
        <w:tc>
          <w:tcPr>
            <w:tcW w:w="2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5220" w:type="dxa"/>
            <w:vAlign w:val="bottom"/>
          </w:tcPr>
          <w:p>
            <w:pPr>
              <w:spacing w:after="0"/>
              <w:rPr>
                <w:sz w:val="20"/>
                <w:szCs w:val="20"/>
                <w:color w:val="auto"/>
              </w:rPr>
            </w:pPr>
            <w:r>
              <w:rPr>
                <w:rFonts w:ascii="Arial" w:cs="Arial" w:eastAsia="Arial" w:hAnsi="Arial"/>
                <w:sz w:val="18"/>
                <w:szCs w:val="18"/>
                <w:color w:val="auto"/>
              </w:rPr>
              <w:t>(1)  Includes stock-based compensation expense as follows:</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52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jc w:val="right"/>
              <w:ind w:right="271"/>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64"/>
        </w:trPr>
        <w:tc>
          <w:tcPr>
            <w:tcW w:w="52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8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2020</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56"/>
        </w:trPr>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747</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63"/>
        </w:trPr>
        <w:tc>
          <w:tcPr>
            <w:tcW w:w="522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2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4,496</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3,366</w:t>
            </w:r>
          </w:p>
        </w:tc>
        <w:tc>
          <w:tcPr>
            <w:tcW w:w="0" w:type="dxa"/>
            <w:vAlign w:val="bottom"/>
          </w:tcPr>
          <w:p>
            <w:pPr>
              <w:spacing w:after="0"/>
              <w:rPr>
                <w:sz w:val="1"/>
                <w:szCs w:val="1"/>
                <w:color w:val="auto"/>
              </w:rPr>
            </w:pPr>
          </w:p>
        </w:tc>
      </w:tr>
      <w:tr>
        <w:trPr>
          <w:trHeight w:val="277"/>
        </w:trPr>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2,948</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63"/>
        </w:trPr>
        <w:tc>
          <w:tcPr>
            <w:tcW w:w="5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General and administrative</w:t>
            </w:r>
          </w:p>
        </w:tc>
        <w:tc>
          <w:tcPr>
            <w:tcW w:w="28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4,844</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3,271</w:t>
            </w:r>
          </w:p>
        </w:tc>
        <w:tc>
          <w:tcPr>
            <w:tcW w:w="0" w:type="dxa"/>
            <w:vAlign w:val="bottom"/>
          </w:tcPr>
          <w:p>
            <w:pPr>
              <w:spacing w:after="0"/>
              <w:rPr>
                <w:sz w:val="1"/>
                <w:szCs w:val="1"/>
                <w:color w:val="auto"/>
              </w:rPr>
            </w:pPr>
          </w:p>
        </w:tc>
      </w:tr>
      <w:tr>
        <w:trPr>
          <w:trHeight w:val="257"/>
        </w:trPr>
        <w:tc>
          <w:tcPr>
            <w:tcW w:w="5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stock-based compensation expense</w:t>
            </w:r>
          </w:p>
        </w:tc>
        <w:tc>
          <w:tcPr>
            <w:tcW w:w="3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13,035</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9,319</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bottom w:val="single" w:sz="8" w:color="CCEEFF"/>
            </w:tcBorders>
            <w:vMerge w:val="restart"/>
          </w:tcPr>
          <w:p>
            <w:pPr>
              <w:jc w:val="right"/>
              <w:ind w:right="2270"/>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22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1440" w:gutter="0" w:footer="0" w:header="0"/>
        </w:sectPr>
      </w:pPr>
    </w:p>
    <w:bookmarkStart w:id="25" w:name="page26"/>
    <w:bookmarkEnd w:id="25"/>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2020 and 2019</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80" w:type="dxa"/>
            <w:vAlign w:val="bottom"/>
          </w:tcPr>
          <w:p>
            <w:pPr>
              <w:spacing w:after="0"/>
              <w:rPr>
                <w:sz w:val="19"/>
                <w:szCs w:val="19"/>
                <w:color w:val="auto"/>
              </w:rPr>
            </w:pPr>
          </w:p>
        </w:tc>
        <w:tc>
          <w:tcPr>
            <w:tcW w:w="2700" w:type="dxa"/>
            <w:vAlign w:val="bottom"/>
            <w:gridSpan w:val="6"/>
          </w:tcPr>
          <w:p>
            <w:pPr>
              <w:ind w:left="120"/>
              <w:spacing w:after="0"/>
              <w:rPr>
                <w:sz w:val="20"/>
                <w:szCs w:val="20"/>
                <w:color w:val="auto"/>
              </w:rPr>
            </w:pPr>
            <w:r>
              <w:rPr>
                <w:rFonts w:ascii="Arial" w:cs="Arial" w:eastAsia="Arial" w:hAnsi="Arial"/>
                <w:sz w:val="16"/>
                <w:szCs w:val="16"/>
                <w:b w:val="1"/>
                <w:bCs w:val="1"/>
                <w:color w:val="auto"/>
              </w:rPr>
              <w:t>Three Months Ended March 31,</w:t>
            </w:r>
          </w:p>
        </w:tc>
        <w:tc>
          <w:tcPr>
            <w:tcW w:w="320" w:type="dxa"/>
            <w:vAlign w:val="bottom"/>
          </w:tcPr>
          <w:p>
            <w:pPr>
              <w:spacing w:after="0"/>
              <w:rPr>
                <w:sz w:val="19"/>
                <w:szCs w:val="19"/>
                <w:color w:val="auto"/>
              </w:rPr>
            </w:pPr>
          </w:p>
        </w:tc>
        <w:tc>
          <w:tcPr>
            <w:tcW w:w="1440" w:type="dxa"/>
            <w:vAlign w:val="bottom"/>
            <w:gridSpan w:val="3"/>
          </w:tcPr>
          <w:p>
            <w:pPr>
              <w:ind w:left="720"/>
              <w:spacing w:after="0"/>
              <w:rPr>
                <w:sz w:val="20"/>
                <w:szCs w:val="20"/>
                <w:color w:val="auto"/>
              </w:rPr>
            </w:pPr>
            <w:r>
              <w:rPr>
                <w:rFonts w:ascii="Arial" w:cs="Arial" w:eastAsia="Arial" w:hAnsi="Arial"/>
                <w:sz w:val="16"/>
                <w:szCs w:val="16"/>
                <w:b w:val="1"/>
                <w:bCs w:val="1"/>
                <w:color w:val="auto"/>
              </w:rPr>
              <w:t>Change</w:t>
            </w:r>
          </w:p>
        </w:tc>
        <w:tc>
          <w:tcPr>
            <w:tcW w:w="900" w:type="dxa"/>
            <w:vAlign w:val="bottom"/>
          </w:tcPr>
          <w:p>
            <w:pPr>
              <w:spacing w:after="0"/>
              <w:rPr>
                <w:sz w:val="19"/>
                <w:szCs w:val="19"/>
                <w:color w:val="auto"/>
              </w:rPr>
            </w:pPr>
          </w:p>
        </w:tc>
      </w:tr>
      <w:tr>
        <w:trPr>
          <w:trHeight w:val="263"/>
        </w:trPr>
        <w:tc>
          <w:tcPr>
            <w:tcW w:w="58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w:t>
            </w:r>
          </w:p>
        </w:tc>
      </w:tr>
      <w:tr>
        <w:trPr>
          <w:trHeight w:val="257"/>
        </w:trPr>
        <w:tc>
          <w:tcPr>
            <w:tcW w:w="5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102,648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80,301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22,347</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bl>
    <w:p>
      <w:pPr>
        <w:spacing w:after="0" w:line="215"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The increase in revenue of $22.3 million was comprised of increases in subscription revenue of $21.6 million and professional services and other revenue of $0.8 million, partially offset by a decrease in perpetual license and maintenance revenue of $0.1 million. Revenue from existing customers comprised 35% of the increase, while the remaining increase was due to revenue from new customers since April 1, 2019. International revenue increased $10.6 million, or 37%.</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8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March 31,</w:t>
            </w:r>
          </w:p>
        </w:tc>
        <w:tc>
          <w:tcPr>
            <w:tcW w:w="320" w:type="dxa"/>
            <w:vAlign w:val="bottom"/>
          </w:tcPr>
          <w:p>
            <w:pPr>
              <w:spacing w:after="0"/>
              <w:rPr>
                <w:sz w:val="19"/>
                <w:szCs w:val="19"/>
                <w:color w:val="auto"/>
              </w:rPr>
            </w:pPr>
          </w:p>
        </w:tc>
        <w:tc>
          <w:tcPr>
            <w:tcW w:w="1420" w:type="dxa"/>
            <w:vAlign w:val="bottom"/>
            <w:gridSpan w:val="3"/>
          </w:tcPr>
          <w:p>
            <w:pPr>
              <w:ind w:left="700"/>
              <w:spacing w:after="0"/>
              <w:rPr>
                <w:sz w:val="20"/>
                <w:szCs w:val="20"/>
                <w:color w:val="auto"/>
              </w:rPr>
            </w:pPr>
            <w:r>
              <w:rPr>
                <w:rFonts w:ascii="Arial" w:cs="Arial" w:eastAsia="Arial" w:hAnsi="Arial"/>
                <w:sz w:val="16"/>
                <w:szCs w:val="16"/>
                <w:b w:val="1"/>
                <w:bCs w:val="1"/>
                <w:color w:val="auto"/>
              </w:rPr>
              <w:t>Change</w:t>
            </w:r>
          </w:p>
        </w:tc>
        <w:tc>
          <w:tcPr>
            <w:tcW w:w="880" w:type="dxa"/>
            <w:vAlign w:val="bottom"/>
          </w:tcPr>
          <w:p>
            <w:pPr>
              <w:spacing w:after="0"/>
              <w:rPr>
                <w:sz w:val="19"/>
                <w:szCs w:val="19"/>
                <w:color w:val="auto"/>
              </w:rPr>
            </w:pPr>
          </w:p>
        </w:tc>
      </w:tr>
      <w:tr>
        <w:trPr>
          <w:trHeight w:val="263"/>
        </w:trPr>
        <w:tc>
          <w:tcPr>
            <w:tcW w:w="57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w:t>
            </w:r>
          </w:p>
        </w:tc>
      </w:tr>
      <w:tr>
        <w:trPr>
          <w:trHeight w:val="257"/>
        </w:trPr>
        <w:tc>
          <w:tcPr>
            <w:tcW w:w="5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18,701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13,226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5,475</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63"/>
        </w:trPr>
        <w:tc>
          <w:tcPr>
            <w:tcW w:w="57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22"/>
                <w:szCs w:val="22"/>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83,947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67,075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16,872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7"/>
        </w:trPr>
        <w:tc>
          <w:tcPr>
            <w:tcW w:w="5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cost of revenue of $5.5 million was primarily due to:</w:t>
      </w:r>
    </w:p>
    <w:p>
      <w:pPr>
        <w:spacing w:after="0" w:line="117" w:lineRule="exact"/>
        <w:rPr>
          <w:sz w:val="20"/>
          <w:szCs w:val="20"/>
          <w:color w:val="auto"/>
        </w:rPr>
      </w:pPr>
    </w:p>
    <w:p>
      <w:pPr>
        <w:ind w:left="660" w:hanging="328"/>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$2.7 million increase in third-party cloud infrastructure costs largely associated with the increased adoption of Tenable.io, as well as the launch of Tenable Lumin;</w:t>
      </w:r>
    </w:p>
    <w:p>
      <w:pPr>
        <w:spacing w:after="0" w:line="35" w:lineRule="exact"/>
        <w:rPr>
          <w:rFonts w:ascii="Arial" w:cs="Arial" w:eastAsia="Arial" w:hAnsi="Arial"/>
          <w:sz w:val="18"/>
          <w:szCs w:val="18"/>
          <w:color w:val="auto"/>
        </w:rPr>
      </w:pPr>
    </w:p>
    <w:p>
      <w:pPr>
        <w:ind w:left="660" w:right="440" w:hanging="328"/>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$1.6 million increase in personnel costs primarily due to increased headcount, including a $0.1 million increase in stock-based compensation;</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$0.5 million increase in the amortization of internal use software;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$0.4 million increase in the amortization of acquired intangible assets; and</w:t>
      </w:r>
    </w:p>
    <w:p>
      <w:pPr>
        <w:spacing w:after="0" w:line="63" w:lineRule="exact"/>
        <w:rPr>
          <w:rFonts w:ascii="Arial" w:cs="Arial" w:eastAsia="Arial" w:hAnsi="Arial"/>
          <w:sz w:val="18"/>
          <w:szCs w:val="18"/>
          <w:color w:val="auto"/>
        </w:rPr>
      </w:pPr>
    </w:p>
    <w:p>
      <w:pPr>
        <w:ind w:left="660" w:right="220" w:hanging="328"/>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$0.3 million increase in allocated overhead costs driven by both the increase in headcount and the overall increase in such costs on a year-over-year basis.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80" w:type="dxa"/>
            <w:vAlign w:val="bottom"/>
          </w:tcPr>
          <w:p>
            <w:pPr>
              <w:spacing w:after="0"/>
              <w:rPr>
                <w:sz w:val="19"/>
                <w:szCs w:val="19"/>
                <w:color w:val="auto"/>
              </w:rPr>
            </w:pPr>
          </w:p>
        </w:tc>
        <w:tc>
          <w:tcPr>
            <w:tcW w:w="2700" w:type="dxa"/>
            <w:vAlign w:val="bottom"/>
            <w:gridSpan w:val="6"/>
          </w:tcPr>
          <w:p>
            <w:pPr>
              <w:ind w:left="120"/>
              <w:spacing w:after="0"/>
              <w:rPr>
                <w:sz w:val="20"/>
                <w:szCs w:val="20"/>
                <w:color w:val="auto"/>
              </w:rPr>
            </w:pPr>
            <w:r>
              <w:rPr>
                <w:rFonts w:ascii="Arial" w:cs="Arial" w:eastAsia="Arial" w:hAnsi="Arial"/>
                <w:sz w:val="16"/>
                <w:szCs w:val="16"/>
                <w:b w:val="1"/>
                <w:bCs w:val="1"/>
                <w:color w:val="auto"/>
              </w:rPr>
              <w:t>Three Months Ended March 31,</w:t>
            </w:r>
          </w:p>
        </w:tc>
        <w:tc>
          <w:tcPr>
            <w:tcW w:w="320" w:type="dxa"/>
            <w:vAlign w:val="bottom"/>
          </w:tcPr>
          <w:p>
            <w:pPr>
              <w:spacing w:after="0"/>
              <w:rPr>
                <w:sz w:val="19"/>
                <w:szCs w:val="19"/>
                <w:color w:val="auto"/>
              </w:rPr>
            </w:pPr>
          </w:p>
        </w:tc>
        <w:tc>
          <w:tcPr>
            <w:tcW w:w="1440" w:type="dxa"/>
            <w:vAlign w:val="bottom"/>
            <w:gridSpan w:val="3"/>
          </w:tcPr>
          <w:p>
            <w:pPr>
              <w:ind w:left="720"/>
              <w:spacing w:after="0"/>
              <w:rPr>
                <w:sz w:val="20"/>
                <w:szCs w:val="20"/>
                <w:color w:val="auto"/>
              </w:rPr>
            </w:pPr>
            <w:r>
              <w:rPr>
                <w:rFonts w:ascii="Arial" w:cs="Arial" w:eastAsia="Arial" w:hAnsi="Arial"/>
                <w:sz w:val="16"/>
                <w:szCs w:val="16"/>
                <w:b w:val="1"/>
                <w:bCs w:val="1"/>
                <w:color w:val="auto"/>
              </w:rPr>
              <w:t>Change</w:t>
            </w:r>
          </w:p>
        </w:tc>
        <w:tc>
          <w:tcPr>
            <w:tcW w:w="900" w:type="dxa"/>
            <w:vAlign w:val="bottom"/>
          </w:tcPr>
          <w:p>
            <w:pPr>
              <w:spacing w:after="0"/>
              <w:rPr>
                <w:sz w:val="19"/>
                <w:szCs w:val="19"/>
                <w:color w:val="auto"/>
              </w:rPr>
            </w:pPr>
          </w:p>
        </w:tc>
      </w:tr>
      <w:tr>
        <w:trPr>
          <w:trHeight w:val="263"/>
        </w:trPr>
        <w:tc>
          <w:tcPr>
            <w:tcW w:w="58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w:t>
            </w:r>
          </w:p>
        </w:tc>
      </w:tr>
      <w:tr>
        <w:trPr>
          <w:trHeight w:val="257"/>
        </w:trPr>
        <w:tc>
          <w:tcPr>
            <w:tcW w:w="5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59,855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52,689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7,166</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sales and marketing expense of $7.2 million was primarily due to:</w:t>
      </w:r>
    </w:p>
    <w:p>
      <w:pPr>
        <w:spacing w:after="0" w:line="117" w:lineRule="exact"/>
        <w:rPr>
          <w:sz w:val="20"/>
          <w:szCs w:val="20"/>
          <w:color w:val="auto"/>
        </w:rPr>
      </w:pPr>
    </w:p>
    <w:p>
      <w:pPr>
        <w:ind w:left="660" w:hanging="328"/>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$4.7 million increase in personnel costs largely associated with an increase in headcount, including a $1.1 million increase in stock-based compensation;</w:t>
      </w:r>
    </w:p>
    <w:p>
      <w:pPr>
        <w:spacing w:after="0" w:line="35" w:lineRule="exact"/>
        <w:rPr>
          <w:rFonts w:ascii="Arial" w:cs="Arial" w:eastAsia="Arial" w:hAnsi="Arial"/>
          <w:sz w:val="18"/>
          <w:szCs w:val="18"/>
          <w:color w:val="auto"/>
        </w:rPr>
      </w:pPr>
    </w:p>
    <w:p>
      <w:pPr>
        <w:ind w:left="660" w:right="460" w:hanging="328"/>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$1.0 million increase in sales commissions, including sales commission draws, due to increased sales and the amortization of deferred commissions;</w:t>
      </w:r>
    </w:p>
    <w:p>
      <w:pPr>
        <w:spacing w:after="0" w:line="35" w:lineRule="exact"/>
        <w:rPr>
          <w:rFonts w:ascii="Arial" w:cs="Arial" w:eastAsia="Arial" w:hAnsi="Arial"/>
          <w:sz w:val="18"/>
          <w:szCs w:val="18"/>
          <w:color w:val="auto"/>
        </w:rPr>
      </w:pPr>
    </w:p>
    <w:p>
      <w:pPr>
        <w:ind w:left="660" w:right="60" w:hanging="328"/>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$0.9 million increase in allocated overhead costs, primarily facilities costs, driven by both the increase in headcount and the overall increase in such costs on a year-over-year basis;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0" w:right="339" w:bottom="1440" w:gutter="0" w:footer="0" w:header="0"/>
        </w:sectPr>
      </w:pPr>
    </w:p>
    <w:bookmarkStart w:id="26" w:name="page27"/>
    <w:bookmarkEnd w:id="2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$0.3 million net increase in selling expenses, including travel and meeting costs and the costs of software subscriptions; and</w:t>
      </w:r>
    </w:p>
    <w:p>
      <w:pPr>
        <w:spacing w:after="0" w:line="63" w:lineRule="exact"/>
        <w:rPr>
          <w:rFonts w:ascii="Arial" w:cs="Arial" w:eastAsia="Arial" w:hAnsi="Arial"/>
          <w:sz w:val="18"/>
          <w:szCs w:val="18"/>
          <w:color w:val="auto"/>
        </w:rPr>
      </w:pPr>
    </w:p>
    <w:p>
      <w:pPr>
        <w:ind w:left="660" w:right="440" w:hanging="328"/>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$0.1 million increase in expenses for demand generation programs, including advertising, sponsorships and brand awareness efforts aimed at acquiring new customers.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80" w:type="dxa"/>
            <w:vAlign w:val="bottom"/>
          </w:tcPr>
          <w:p>
            <w:pPr>
              <w:spacing w:after="0"/>
              <w:rPr>
                <w:sz w:val="19"/>
                <w:szCs w:val="19"/>
                <w:color w:val="auto"/>
              </w:rPr>
            </w:pPr>
          </w:p>
        </w:tc>
        <w:tc>
          <w:tcPr>
            <w:tcW w:w="2700" w:type="dxa"/>
            <w:vAlign w:val="bottom"/>
            <w:gridSpan w:val="6"/>
          </w:tcPr>
          <w:p>
            <w:pPr>
              <w:ind w:left="120"/>
              <w:spacing w:after="0"/>
              <w:rPr>
                <w:sz w:val="20"/>
                <w:szCs w:val="20"/>
                <w:color w:val="auto"/>
              </w:rPr>
            </w:pPr>
            <w:r>
              <w:rPr>
                <w:rFonts w:ascii="Arial" w:cs="Arial" w:eastAsia="Arial" w:hAnsi="Arial"/>
                <w:sz w:val="16"/>
                <w:szCs w:val="16"/>
                <w:b w:val="1"/>
                <w:bCs w:val="1"/>
                <w:color w:val="auto"/>
              </w:rPr>
              <w:t>Three Months Ended March 31,</w:t>
            </w:r>
          </w:p>
        </w:tc>
        <w:tc>
          <w:tcPr>
            <w:tcW w:w="320" w:type="dxa"/>
            <w:vAlign w:val="bottom"/>
          </w:tcPr>
          <w:p>
            <w:pPr>
              <w:spacing w:after="0"/>
              <w:rPr>
                <w:sz w:val="19"/>
                <w:szCs w:val="19"/>
                <w:color w:val="auto"/>
              </w:rPr>
            </w:pPr>
          </w:p>
        </w:tc>
        <w:tc>
          <w:tcPr>
            <w:tcW w:w="1440" w:type="dxa"/>
            <w:vAlign w:val="bottom"/>
            <w:gridSpan w:val="3"/>
          </w:tcPr>
          <w:p>
            <w:pPr>
              <w:ind w:left="720"/>
              <w:spacing w:after="0"/>
              <w:rPr>
                <w:sz w:val="20"/>
                <w:szCs w:val="20"/>
                <w:color w:val="auto"/>
              </w:rPr>
            </w:pPr>
            <w:r>
              <w:rPr>
                <w:rFonts w:ascii="Arial" w:cs="Arial" w:eastAsia="Arial" w:hAnsi="Arial"/>
                <w:sz w:val="16"/>
                <w:szCs w:val="16"/>
                <w:b w:val="1"/>
                <w:bCs w:val="1"/>
                <w:color w:val="auto"/>
              </w:rPr>
              <w:t>Change</w:t>
            </w:r>
          </w:p>
        </w:tc>
        <w:tc>
          <w:tcPr>
            <w:tcW w:w="900" w:type="dxa"/>
            <w:vAlign w:val="bottom"/>
          </w:tcPr>
          <w:p>
            <w:pPr>
              <w:spacing w:after="0"/>
              <w:rPr>
                <w:sz w:val="19"/>
                <w:szCs w:val="19"/>
                <w:color w:val="auto"/>
              </w:rPr>
            </w:pPr>
          </w:p>
        </w:tc>
      </w:tr>
      <w:tr>
        <w:trPr>
          <w:trHeight w:val="263"/>
        </w:trPr>
        <w:tc>
          <w:tcPr>
            <w:tcW w:w="58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w:t>
            </w:r>
          </w:p>
        </w:tc>
      </w:tr>
      <w:tr>
        <w:trPr>
          <w:trHeight w:val="257"/>
        </w:trPr>
        <w:tc>
          <w:tcPr>
            <w:tcW w:w="5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26,831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21,935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4,896</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research and development expense of $4.9 million was primarily due to:</w:t>
      </w:r>
    </w:p>
    <w:p>
      <w:pPr>
        <w:spacing w:after="0" w:line="117" w:lineRule="exact"/>
        <w:rPr>
          <w:sz w:val="20"/>
          <w:szCs w:val="20"/>
          <w:color w:val="auto"/>
        </w:rPr>
      </w:pPr>
    </w:p>
    <w:p>
      <w:pPr>
        <w:ind w:left="660" w:right="480" w:hanging="328"/>
        <w:spacing w:after="0" w:line="26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$3.2 million increase in personnel costs largely associated with an increase in headcount, including a $1.2 million decrease in development costs that were capitalized for internal use software and a $0.8 million increase in stock-based compensation;</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$0.8 million increase in travel and meeting costs; and</w:t>
      </w:r>
    </w:p>
    <w:p>
      <w:pPr>
        <w:spacing w:after="0" w:line="63" w:lineRule="exact"/>
        <w:rPr>
          <w:rFonts w:ascii="Arial" w:cs="Arial" w:eastAsia="Arial" w:hAnsi="Arial"/>
          <w:sz w:val="18"/>
          <w:szCs w:val="18"/>
          <w:color w:val="auto"/>
        </w:rPr>
      </w:pPr>
    </w:p>
    <w:p>
      <w:pPr>
        <w:ind w:left="660" w:right="60" w:hanging="328"/>
        <w:spacing w:after="0" w:line="26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$0.7 million increase in allocated overhead costs, primarily facilities costs, driven by both the increase in headcount and the overall increase in such costs on a year-over-year basis; partially offset by</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$0.3 million decrease in third-party cloud infrastructure costs related to the development of new and future offerings.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80" w:type="dxa"/>
            <w:vAlign w:val="bottom"/>
          </w:tcPr>
          <w:p>
            <w:pPr>
              <w:spacing w:after="0"/>
              <w:rPr>
                <w:sz w:val="19"/>
                <w:szCs w:val="19"/>
                <w:color w:val="auto"/>
              </w:rPr>
            </w:pPr>
          </w:p>
        </w:tc>
        <w:tc>
          <w:tcPr>
            <w:tcW w:w="2700" w:type="dxa"/>
            <w:vAlign w:val="bottom"/>
            <w:gridSpan w:val="6"/>
          </w:tcPr>
          <w:p>
            <w:pPr>
              <w:ind w:left="120"/>
              <w:spacing w:after="0"/>
              <w:rPr>
                <w:sz w:val="20"/>
                <w:szCs w:val="20"/>
                <w:color w:val="auto"/>
              </w:rPr>
            </w:pPr>
            <w:r>
              <w:rPr>
                <w:rFonts w:ascii="Arial" w:cs="Arial" w:eastAsia="Arial" w:hAnsi="Arial"/>
                <w:sz w:val="16"/>
                <w:szCs w:val="16"/>
                <w:b w:val="1"/>
                <w:bCs w:val="1"/>
                <w:color w:val="auto"/>
              </w:rPr>
              <w:t>Three Months Ended March 31,</w:t>
            </w:r>
          </w:p>
        </w:tc>
        <w:tc>
          <w:tcPr>
            <w:tcW w:w="320" w:type="dxa"/>
            <w:vAlign w:val="bottom"/>
          </w:tcPr>
          <w:p>
            <w:pPr>
              <w:spacing w:after="0"/>
              <w:rPr>
                <w:sz w:val="19"/>
                <w:szCs w:val="19"/>
                <w:color w:val="auto"/>
              </w:rPr>
            </w:pPr>
          </w:p>
        </w:tc>
        <w:tc>
          <w:tcPr>
            <w:tcW w:w="1440" w:type="dxa"/>
            <w:vAlign w:val="bottom"/>
            <w:gridSpan w:val="3"/>
          </w:tcPr>
          <w:p>
            <w:pPr>
              <w:ind w:left="720"/>
              <w:spacing w:after="0"/>
              <w:rPr>
                <w:sz w:val="20"/>
                <w:szCs w:val="20"/>
                <w:color w:val="auto"/>
              </w:rPr>
            </w:pPr>
            <w:r>
              <w:rPr>
                <w:rFonts w:ascii="Arial" w:cs="Arial" w:eastAsia="Arial" w:hAnsi="Arial"/>
                <w:sz w:val="16"/>
                <w:szCs w:val="16"/>
                <w:b w:val="1"/>
                <w:bCs w:val="1"/>
                <w:color w:val="auto"/>
              </w:rPr>
              <w:t>Change</w:t>
            </w:r>
          </w:p>
        </w:tc>
        <w:tc>
          <w:tcPr>
            <w:tcW w:w="900" w:type="dxa"/>
            <w:vAlign w:val="bottom"/>
          </w:tcPr>
          <w:p>
            <w:pPr>
              <w:spacing w:after="0"/>
              <w:rPr>
                <w:sz w:val="19"/>
                <w:szCs w:val="19"/>
                <w:color w:val="auto"/>
              </w:rPr>
            </w:pPr>
          </w:p>
        </w:tc>
      </w:tr>
      <w:tr>
        <w:trPr>
          <w:trHeight w:val="263"/>
        </w:trPr>
        <w:tc>
          <w:tcPr>
            <w:tcW w:w="58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w:t>
            </w:r>
          </w:p>
        </w:tc>
      </w:tr>
      <w:tr>
        <w:trPr>
          <w:trHeight w:val="257"/>
        </w:trPr>
        <w:tc>
          <w:tcPr>
            <w:tcW w:w="5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18,933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15,136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3,797</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general and administrative expense of $3.8 million was primarily due to:</w:t>
      </w:r>
    </w:p>
    <w:p>
      <w:pPr>
        <w:spacing w:after="0" w:line="63" w:lineRule="exact"/>
        <w:rPr>
          <w:sz w:val="20"/>
          <w:szCs w:val="20"/>
          <w:color w:val="auto"/>
        </w:rPr>
      </w:pPr>
    </w:p>
    <w:p>
      <w:pPr>
        <w:ind w:left="660" w:hanging="328"/>
        <w:spacing w:after="0" w:line="26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$2.7 million increase in personnel costs largely associated with an increase in headcount, including a $1.6 million increase in stock-based compensation;</w:t>
      </w:r>
    </w:p>
    <w:p>
      <w:pPr>
        <w:spacing w:after="0" w:line="35"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$0.5 million increase in increase in allocated overhead costs, primarily facilities costs, driven by both the increase in headcount and the overall increase in such costs on a year-over-year basis;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$0.4 million increase in professional fees, primarily related to external accounting and legal costs;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$0.3 million increase in increase in acquisition-related expenses.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color w:val="auto"/>
        </w:rPr>
        <w:t>At March 31, 2020, we had cash and cash equivalents consisting of bank deposits and money market funds of $107.8 million and short-term investments consisting of commercial paper, U.S Treasury and agency obligations and corporate bonds of $118.9 million.</w:t>
      </w:r>
    </w:p>
    <w:p>
      <w:pPr>
        <w:spacing w:after="0" w:line="198"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Since our inception and prior to our IPO, we financed our operations through cash provided by operations, including payments received from customers using our software products and services, and we did not raise any primary institutional capital. The proceeds of our Series A and Series B redeemable convertible preferred stock financings were used to repurchase shares of capital stock from former stockholders. We have generated significant operating losses from our operations as reflected by our accumulated deficit of $588.1 million at March 31, 2020.</w:t>
      </w:r>
    </w:p>
    <w:p>
      <w:pPr>
        <w:spacing w:after="0" w:line="205" w:lineRule="exact"/>
        <w:rPr>
          <w:sz w:val="20"/>
          <w:szCs w:val="20"/>
          <w:color w:val="auto"/>
        </w:rPr>
      </w:pPr>
    </w:p>
    <w:p>
      <w:pPr>
        <w:jc w:val="both"/>
        <w:ind w:right="100" w:firstLine="324"/>
        <w:spacing w:after="0" w:line="256" w:lineRule="auto"/>
        <w:rPr>
          <w:sz w:val="20"/>
          <w:szCs w:val="20"/>
          <w:color w:val="auto"/>
        </w:rPr>
      </w:pPr>
      <w:r>
        <w:rPr>
          <w:rFonts w:ascii="Arial" w:cs="Arial" w:eastAsia="Arial" w:hAnsi="Arial"/>
          <w:sz w:val="18"/>
          <w:szCs w:val="18"/>
          <w:color w:val="auto"/>
        </w:rPr>
        <w:t>We typically invoice our customers annually in advance and, to a lesser extent, multi-year in advance. Therefore, a substantial source of our cash is from such prepayments, which are included on our consolidated balance sheets as deferred revenue. Deferred revenue consists primarily of the unearned portion of billed fees for our subscriptions and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0" w:right="339" w:bottom="1440" w:gutter="0" w:footer="0" w:header="0"/>
        </w:sectPr>
      </w:pPr>
    </w:p>
    <w:bookmarkStart w:id="27" w:name="page28"/>
    <w:bookmarkEnd w:id="2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perpetual licenses, which is subsequently recognized as revenue in accordance with our revenue recognition policy. At March 31, 2020, we had deferred revenue of $358.1 million, of which $270.9 million was recorded as a current liability and is expected to be recorded as revenue in the next 12 months, provided all other revenue recognition criteria are met.</w:t>
      </w:r>
    </w:p>
    <w:p>
      <w:pPr>
        <w:spacing w:after="0" w:line="202"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Our principal uses of cash in recent periods have been funding our operations, expansion of our sales and marketing and research and development activities, investments in infrastructure, including the build-out of our new headquarters, and acquiring complementary businesses and technology. We expect to continue incurring operating losses. We have generated negative cash flows from operations and negative free cash flow in the past and may generate positive and negative cash flows from operations and free cash flow in the near-term. We believe that our existing cash and cash equivalents and short-term investments will be sufficient to fund our operating and capital needs for at least the next 12 months. Our future capital requirements will depend on many factors, including our revenue growth rate, subscription renewal activity, the timing and extent of spending to support further infrastructure and research and development efforts, the timing and extent of additional capital expenditures to invest in new and existing office spaces, the expansion of sales and marketing and international operating activities, the timing of introduction of new product capabilities and enhancements of our platform and the continuing market acceptance of our platform. In 2020, we expect capital expenditures related to our new corporate headquarters to be approximately $17.0 million and we expect to receive $12.5 million in tenant improvement reimbursements.</w:t>
      </w:r>
    </w:p>
    <w:p>
      <w:pPr>
        <w:spacing w:after="0" w:line="2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extent to which the COVID-19 pandemic will impact our business and operations will depend on future developments that are highly uncertain and cannot be predicted with confidence, such as the ultimate geographic spread of the disease, the duration of the outbreak, the duration and effect of business disruptions and the short-term effects and ultimate effectiveness of the travel restrictions, quarantines, social distancing requirements and business closures in the United States and other countries to contain and treat the disease. We also do not yet know the full effects of COVID-19 pandemic may have on our partners, customers and service providers. Accordingly, the current results and financial conditions discussed herein may not be indicative of our future operating results and trends. See the section titled “Risk Factors” in Part II, Item 1A of this Form 10-Q.</w:t>
      </w:r>
    </w:p>
    <w:p>
      <w:pPr>
        <w:spacing w:after="0" w:line="207"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We may in the future enter into arrangements to acquire or invest in complementary businesses, services and technologies, including intellectual property rights. We may be required to seek equity or debt financing. In the event that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operating results and financial condition would be adversely affected.</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247" w:lineRule="exact"/>
        <w:rPr>
          <w:sz w:val="20"/>
          <w:szCs w:val="20"/>
          <w:color w:val="auto"/>
        </w:rPr>
      </w:pPr>
    </w:p>
    <w:p>
      <w:pPr>
        <w:jc w:val="both"/>
        <w:ind w:right="100" w:firstLine="324"/>
        <w:spacing w:after="0" w:line="256" w:lineRule="auto"/>
        <w:rPr>
          <w:sz w:val="20"/>
          <w:szCs w:val="20"/>
          <w:color w:val="auto"/>
        </w:rPr>
      </w:pPr>
      <w:r>
        <w:rPr>
          <w:rFonts w:ascii="Arial" w:cs="Arial" w:eastAsia="Arial" w:hAnsi="Arial"/>
          <w:sz w:val="18"/>
          <w:szCs w:val="18"/>
          <w:color w:val="auto"/>
        </w:rPr>
        <w:t>In May 2017, we entered into a $25.0 million revolving credit facility ("Credit Facility") with Silicon Valley Bank. To date, we have not had any amounts outstanding under the Credit Facility. Our borrowing capacity is reduced by $2.5 million related to a standby letter of credit for the security deposit on our new headquarters lease.</w:t>
      </w:r>
    </w:p>
    <w:p>
      <w:pPr>
        <w:spacing w:after="0" w:line="202"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The Credit Facility contains customary conditions to borrowing, events of default and covenants, including restrictions on indebtedness, liens, acquisitions and investments, restricted payments and dispositions. If, as of the last day of any quarter, the outstanding balance exceeds $5.0 million, there are financial covenants that require us to maintain a minimum level of earnings before income taxes, interest, depreciation and amortization adjusted to add changes in deferred revenue in the period and a minimum current ratio level. We were in compliance with all covenants at March 31, 2020.</w:t>
      </w:r>
    </w:p>
    <w:p>
      <w:pPr>
        <w:spacing w:after="0" w:line="205" w:lineRule="exact"/>
        <w:rPr>
          <w:sz w:val="20"/>
          <w:szCs w:val="20"/>
          <w:color w:val="auto"/>
        </w:rPr>
      </w:pPr>
    </w:p>
    <w:p>
      <w:pPr>
        <w:ind w:right="440" w:firstLine="324"/>
        <w:spacing w:after="0" w:line="261" w:lineRule="auto"/>
        <w:rPr>
          <w:sz w:val="20"/>
          <w:szCs w:val="20"/>
          <w:color w:val="auto"/>
        </w:rPr>
      </w:pPr>
      <w:r>
        <w:rPr>
          <w:rFonts w:ascii="Arial" w:cs="Arial" w:eastAsia="Arial" w:hAnsi="Arial"/>
          <w:sz w:val="18"/>
          <w:szCs w:val="18"/>
          <w:color w:val="auto"/>
        </w:rPr>
        <w:t>In April 2020, the maturity date of the Credit Facility was extended by 60 days until July 3, 2020. Additionally, the Credit Facility was amended to increase the maximum amount of letters of credit that may be issued from $5.0 million to $6.5 million.</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320" w:top="140" w:right="379" w:bottom="1440" w:gutter="0" w:footer="0" w:header="0"/>
        </w:sectPr>
      </w:pPr>
    </w:p>
    <w:bookmarkStart w:id="28" w:name="page29"/>
    <w:bookmarkEnd w:id="2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6"/>
                <w:szCs w:val="16"/>
                <w:b w:val="1"/>
                <w:bCs w:val="1"/>
                <w:color w:val="auto"/>
              </w:rPr>
              <w:t>Three Months Ended March 31,</w:t>
            </w:r>
          </w:p>
        </w:tc>
      </w:tr>
      <w:tr>
        <w:trPr>
          <w:trHeight w:val="263"/>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2019</w:t>
            </w:r>
          </w:p>
        </w:tc>
      </w:tr>
      <w:tr>
        <w:trPr>
          <w:trHeight w:val="257"/>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4,492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r>
      <w:tr>
        <w:trPr>
          <w:trHeight w:val="263"/>
        </w:trPr>
        <w:tc>
          <w:tcPr>
            <w:tcW w:w="798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280" w:type="dxa"/>
            <w:vAlign w:val="bottom"/>
          </w:tcPr>
          <w:p>
            <w:pPr>
              <w:spacing w:after="0"/>
              <w:rPr>
                <w:sz w:val="22"/>
                <w:szCs w:val="22"/>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18,730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(14,471)</w:t>
            </w:r>
          </w:p>
        </w:tc>
      </w:tr>
      <w:tr>
        <w:trPr>
          <w:trHeight w:val="277"/>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11,281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18,453</w:t>
            </w:r>
          </w:p>
        </w:tc>
      </w:tr>
      <w:tr>
        <w:trPr>
          <w:trHeight w:val="263"/>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 and restricted cash</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33,406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2,850</w:t>
            </w:r>
          </w:p>
        </w:tc>
      </w:tr>
      <w:tr>
        <w:trPr>
          <w:trHeight w:val="20"/>
        </w:trPr>
        <w:tc>
          <w:tcPr>
            <w:tcW w:w="7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24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In the three months ended March 31, 2020, net cash provided by operating activities was $4.5 million, which primarily consisted of our $23.0 million loss, adjusted for stock-based compensation expense of $13.0 million and depreciation and amortization of $2.7 million, as well as a net cash inflow of $11.2 million from changes in operating assets and liabilities. The net inflow from changes in operating assets and liabilities was primarily due to a $20.8 million decrease in accounts receivable due to collections from customers, partially offset by a $13.3 million decrease in accrued compensation, including $ 3.7 million related to employee stock purchase plan activity, and quarterly bonuses and commissions earned in the fourth quarter of 2019 that were paid in the first quarter of 2020.</w:t>
      </w:r>
    </w:p>
    <w:p>
      <w:pPr>
        <w:spacing w:after="0" w:line="208"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the three months ended March 31, 2019, net cash used in operating activities was $0.9 million, which primarily consisted of our $21.4 million loss, adjusted for stock-based compensation expense of $9.3 million and depreciation and amortization of $1.6 million, as well as a net cash inflow of $9.9 million from changes in operating assets and liabilities. The net inflow from changes in operating assets and liabilities was primarily due to an $11.1 million decrease in accounts receivable due to collections from customers and a $ 2.0 million increase in deferred revenue from increased subscription sales as a majority of our customers are invoiced in advance. The net inflow from changes in operating assets and liabilities was partially offset by a $7.2 million decrease in accrued compensation, including $4.9 million related to employee stock purchase plan activity, and quarterly bonuses and commissions earned in the fourth quarter of 2018 that were paid in the first quarter of 2019.</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243"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Net cash provided by investing activities increased by $33.2 million, primarily due to a $31.5 million increase in sales and maturities, net of purchases, of short-term investments in commercial paper, U.S. Treasury and agency obligations and corporate bonds, in addition to a $1.7 million decrease in purchases of property and equipment.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Activities</w:t>
      </w:r>
    </w:p>
    <w:p>
      <w:pPr>
        <w:spacing w:after="0" w:line="243" w:lineRule="exact"/>
        <w:rPr>
          <w:sz w:val="20"/>
          <w:szCs w:val="20"/>
          <w:color w:val="auto"/>
        </w:rPr>
      </w:pPr>
    </w:p>
    <w:p>
      <w:pPr>
        <w:ind w:right="740" w:firstLine="324"/>
        <w:spacing w:after="0" w:line="261" w:lineRule="auto"/>
        <w:rPr>
          <w:sz w:val="20"/>
          <w:szCs w:val="20"/>
          <w:color w:val="auto"/>
        </w:rPr>
      </w:pPr>
      <w:r>
        <w:rPr>
          <w:rFonts w:ascii="Arial" w:cs="Arial" w:eastAsia="Arial" w:hAnsi="Arial"/>
          <w:sz w:val="18"/>
          <w:szCs w:val="18"/>
          <w:color w:val="auto"/>
        </w:rPr>
        <w:t>Net cash provided by financing activities decreased by $7.2 million, primarily due to $5.9 million and $1.3 million of decreases in proceeds from stock issued in connection with the exercise of stock options and the employee stock purchase plan,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March 31, 2020, there were no material changes in our contractual obligations and commitments from those disclosed in our 10-K.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At March 31, 2020, we did not have any relationships with unconsolidated organizations or financial partnerships, such as structured finance or special purpose entities, which would have been established for the purpose of facilitating off-balance sheet arrangements or other contractually narrow or limited purposes.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0" w:right="339" w:bottom="1440" w:gutter="0" w:footer="0" w:header="0"/>
        </w:sectPr>
      </w:pPr>
    </w:p>
    <w:bookmarkStart w:id="29" w:name="page30"/>
    <w:bookmarkEnd w:id="2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financial statements are prepared in accordance with U.S. GAAP. The preparation of these financial statements requires us to make estimates and assumptions that affect the reported amounts of assets, liabilities, revenue and expenses, as well as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have been no material changes to our critical accounting policies and estimates as described in our 10-K.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Refer to Note 1 to our consolidated financial statements for more information regarding recently issued accounting pronouncements.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60"/>
          </w:cols>
          <w:pgMar w:left="320" w:top="140" w:right="419" w:bottom="1440" w:gutter="0" w:footer="0" w:header="0"/>
        </w:sectPr>
      </w:pPr>
    </w:p>
    <w:bookmarkStart w:id="30" w:name="page31"/>
    <w:bookmarkEnd w:id="3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47" w:lineRule="exact"/>
        <w:rPr>
          <w:sz w:val="20"/>
          <w:szCs w:val="20"/>
          <w:color w:val="auto"/>
        </w:rPr>
      </w:pPr>
    </w:p>
    <w:p>
      <w:pPr>
        <w:ind w:right="260" w:firstLine="324"/>
        <w:spacing w:after="0" w:line="261" w:lineRule="auto"/>
        <w:rPr>
          <w:sz w:val="20"/>
          <w:szCs w:val="20"/>
          <w:color w:val="auto"/>
        </w:rPr>
      </w:pPr>
      <w:r>
        <w:rPr>
          <w:rFonts w:ascii="Arial" w:cs="Arial" w:eastAsia="Arial" w:hAnsi="Arial"/>
          <w:sz w:val="18"/>
          <w:szCs w:val="18"/>
          <w:color w:val="auto"/>
        </w:rPr>
        <w:t>We are exposed to market risks in the ordinary course of our business, including interest rate, foreign currency exchange and inflation risks.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At March 31, 2020, we had cash and cash equivalents of $107.8 million, consisting of cash deposits and money market funds. We also had short-term investments of $118.9 million, consisting of commercial paper, U.S. treasury and agency securities, and corporate bonds. Our investments are carried at their fair market value with cumulative unrealized gains or losses recorded as a component of accumulated other comprehensive income (loss) within stockholders' equity. The primary objectives of our investment activities are the preservation of capital, the fulfillment of liquidity needs and the fiduciary control of cash and investments. We do not enter into investments for trading or speculative purposes. Interest-earning instruments carry a degree of interest rate risk; however, a hypothetical 10% change in interest rates during any of the periods presented would not have had a material impact on our financial statements.</w:t>
      </w:r>
    </w:p>
    <w:p>
      <w:pPr>
        <w:spacing w:after="0" w:line="207"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We have not had any amounts outstanding under the revolving credit facility since it was established in May 2017. Any borrowings under the revolving credit facility would bear interest at a variable rate tied to the prime rate or the LIBOR rate. We do not have any other long-term debt or financial liabilities with floating interest rates that would subject us to interest rate fluctuations.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47"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Substantially all of our sales contracts are denominated in U.S. dollars, with a limited number of contracts denominated in foreign currencies, including foreign denominated leases. A portion of our operating expenses are incurred outside the United States, denominated in foreign currencies and subject to fluctuations due to changes in foreign currency exchange rates, particularly changes in the Euro, British Pound and Australian dollar. Additionally, fluctuations in foreign currency exchange rates may cause us to recognize remeasurement and transaction gains (losses) in our consolidated statements of operations.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Inflation Risk</w:t>
      </w:r>
    </w:p>
    <w:p>
      <w:pPr>
        <w:spacing w:after="0" w:line="247" w:lineRule="exact"/>
        <w:rPr>
          <w:sz w:val="20"/>
          <w:szCs w:val="20"/>
          <w:color w:val="auto"/>
        </w:rPr>
      </w:pPr>
    </w:p>
    <w:p>
      <w:pPr>
        <w:jc w:val="both"/>
        <w:ind w:right="40" w:firstLine="324"/>
        <w:spacing w:after="0" w:line="256"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47"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208" w:lineRule="exact"/>
        <w:rPr>
          <w:sz w:val="20"/>
          <w:szCs w:val="20"/>
          <w:color w:val="auto"/>
        </w:rPr>
      </w:pPr>
    </w:p>
    <w:p>
      <w:pPr>
        <w:ind w:right="80" w:firstLine="324"/>
        <w:spacing w:after="0" w:line="250"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 as of the end of the period covered by this Form 10-Q. Based on such evaluation, our Chief Executive Officer and Chief Financial Officer have concluded that as</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of March 31, 2020, our disclosure controls and procedures were effective to provide reasonable assurance that the information required to be disclosed by us in this Form 10-Q was (a) reported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140" w:right="359" w:bottom="1440" w:gutter="0" w:footer="0" w:header="0"/>
        </w:sectPr>
      </w:pPr>
    </w:p>
    <w:bookmarkStart w:id="31" w:name="page32"/>
    <w:bookmarkEnd w:id="31"/>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within the time periods specified by SEC rules and regulations, and (b) communicated to our management, including our Chief Executive Officer and Chief Financial Officer, to allow timely decisions regarding any required disclosure.</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4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Inherent Limitations on Effectiveness of Internal Controls</w:t>
      </w:r>
    </w:p>
    <w:p>
      <w:pPr>
        <w:spacing w:after="0" w:line="247"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140" w:right="359" w:bottom="1440" w:gutter="0" w:footer="0" w:header="0"/>
        </w:sectPr>
      </w:pPr>
    </w:p>
    <w:bookmarkStart w:id="32" w:name="page33"/>
    <w:bookmarkEnd w:id="32"/>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From time to time, we may be subject to legal proceedings and claims in the ordinary course of business. We are not presently a party to any legal proceedings that, if determined adversely to us, would individually or taken together have a material adverse effect on our business, results of operations, financial condition or cash flows. We have received, and may in the future continue to receive, claims from third parties asserting, among other things, infringement of their intellectual property rights. 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8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i w:val="1"/>
          <w:iCs w:val="1"/>
          <w:color w:val="auto"/>
        </w:rPr>
        <w:t>Our operations and financial results are subject to significant risks and uncertainties including those described below. You should carefully consider the risks and uncertainties described below, in addition to other information contained in this Quarterly Report on Form 10-Q,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5" w:lineRule="exact"/>
        <w:rPr>
          <w:sz w:val="20"/>
          <w:szCs w:val="20"/>
          <w:color w:val="auto"/>
        </w:rPr>
      </w:pPr>
    </w:p>
    <w:p>
      <w:pPr>
        <w:ind w:right="420" w:firstLine="324"/>
        <w:spacing w:after="0" w:line="287" w:lineRule="auto"/>
        <w:rPr>
          <w:sz w:val="20"/>
          <w:szCs w:val="20"/>
          <w:color w:val="auto"/>
        </w:rPr>
      </w:pPr>
      <w:r>
        <w:rPr>
          <w:rFonts w:ascii="Arial" w:cs="Arial" w:eastAsia="Arial" w:hAnsi="Arial"/>
          <w:sz w:val="18"/>
          <w:szCs w:val="18"/>
          <w:b w:val="1"/>
          <w:bCs w:val="1"/>
          <w:i w:val="1"/>
          <w:iCs w:val="1"/>
          <w:color w:val="auto"/>
        </w:rPr>
        <w:t>Our business, operations and financial performance may be adversely and materially affected by the evolving and ongoing COVID-19 pandemic.</w:t>
      </w:r>
    </w:p>
    <w:p>
      <w:pPr>
        <w:spacing w:after="0" w:line="175"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Our business, operations and financial performance could be adversely affected by the effects of the recent and evolving COVID-19 virus, which was declared by the World Health Organization as a pandemic, and such affect could be material. The COVID-19 pandemic has resulted in travel and other restrictions in order to reduce the spread of the disease, including state and local orders across the United States and in countries in which we operate that, among other things, direct individuals to shelter at their places of residence, direct businesses and governmental agencies to cease non-essential operations at physical locations, prohibit certain non-essential gatherings and events and order cessation of non-essential travel. In response to public health directives and orders, we have implemented work-from-home policies for our global workforce, including at our headquarters in Columbia, Maryland, which is currently subject to an order that requires all non-essential businesses to cease in-person operations, and we have suspended work-related travel and in-person customer and sales interactions.</w:t>
      </w:r>
    </w:p>
    <w:p>
      <w:pPr>
        <w:spacing w:after="0" w:line="212"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Remote work policies, quarantines, shelter-in-place and similar government orders, shutdowns or other restrictions on the conduct of business operations related to the COVID-19 pandemic may adversely affect our business and our ability to generate sales of, and revenues from, our enterprise platform offerings. For example, substantially all of our field sales and other professional services are now being conducted remotely, and while we do not yet know if such remote operations will affect our ability to attract, retain or upsell customers, we anticipate that our revenue growth could be adversely impacted by the COVID-19 pandemic and weak global economic conditions.</w:t>
      </w:r>
    </w:p>
    <w:p>
      <w:pPr>
        <w:spacing w:after="0" w:line="205"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We also do not yet know the full effects of COVID-19 pandemic on our partners, customers and service providers. Health concerns and political or governmental developments in response to COVID-19 could create or contribute to economic, social or labor instability or prolonged contractions in the industries in which our customers or partners operate. As a result, existing and potential customers have and may continue to choose to reduce or delay technology spending in response to the COVID-19 pandemic, or attempt to renegotiate contracts and obtain concessions, which could materially and negatively impact our operating results, financial condition and prospects. Because our enterprise platform offerings are primarily sold on a subscription basis, any such adverse effects may not be fully reflected in our operating results until future periods.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0" w:right="339" w:bottom="1440" w:gutter="0" w:footer="0" w:header="0"/>
        </w:sectPr>
      </w:pPr>
    </w:p>
    <w:bookmarkStart w:id="33" w:name="page34"/>
    <w:bookmarkEnd w:id="3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global pandemic of COVID-19 continues to rapidly evolve. The extent to which the COVID-19 pandemic impacts our business and operations will depend on future developments that are highly uncertain and cannot be predicted with confidence at the time of this Form 10-Q, such as the ultimate geographic spread of the disease, the duration of the outbreak, the duration and effect of business disruptions and the short-term effects and ultimate effectiveness of the travel restrictions, quarantines, social distancing requirements and business closures in the United States and other countries to contain and treat the disease. Accordingly, we do not yet know the full extent of potential impacts on our business and operations, or those of our partners and customers, or the global economy as a whole. However, while the COVID-19 pandemic did not have a significant impact on our results of operations during the three months ended March 31, 2020, we anticipate that the pandemic could adversely affect our revenue growth and financial results beginning in the second quarter of 2020, which may continue into the third quarter of 2020 and beyond, and such affect could be material. Weak global economic conditions also may exacerbate the ongoing impact of the pandemic.</w:t>
      </w:r>
    </w:p>
    <w:p>
      <w:pPr>
        <w:spacing w:after="0" w:line="211"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color w:val="auto"/>
        </w:rPr>
        <w:t>In addition, to the extent the ongoing COVID-19 pandemic adversely affects our business and results of operations, it may also have the effect of heightening many of the other risks and uncertainties described in this “Risk Factors” section.</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have a history of losses and may not achieve or maintain profitability in the future.</w:t>
      </w:r>
    </w:p>
    <w:p>
      <w:pPr>
        <w:spacing w:after="0" w:line="247"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have historically incurred net losses, including net losses of $23.0 million and $21.4 million in the three months ended March 31, 2020 and 2019, respectively. As of March 31, 2020, we had an accumulated deficit of $588.1 million. Because the market for our offerings is highly competitive and rapidly evolving and these solutions have not yet reached widespread adoption, it is difficult for us to predict our future results of operations. Further, we do not yet know the full effects of the COVID-19 pandemic which increases the difficulty in predicting future results of operations.</w:t>
      </w:r>
    </w:p>
    <w:p>
      <w:pPr>
        <w:spacing w:after="0" w:line="97"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While we have experienced significant revenue growth in recent periods, we are not certain whether or when we will obtain a high enough volume of sales of our offerings to sustain or increase our growth or achieve or maintain profitability in the future. We also expect our costs to increase in future periods, which could negatively affect our future operating results if our revenue does not increase at a greater rate. In particular, we expect to continue to expend substantial financial and other resources on:</w:t>
      </w:r>
    </w:p>
    <w:p>
      <w:pPr>
        <w:spacing w:after="0" w:line="96"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public cloud infrastructure and computing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research and development related to our offerings, including investments in our research and development team;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and marketing, including a significant expansion of our sales organization, both domestically and internationally;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continued international expansion of our business;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and administrative expense, including legal and accounting expenses related to being a public company.</w:t>
      </w:r>
    </w:p>
    <w:p>
      <w:pPr>
        <w:spacing w:after="0" w:line="225"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These investments may not result in increased revenue or growth in our business. If we are unable to increase our revenue at a rate sufficient to offset the expected increase in our costs, our business, financial position and results of operations will be harmed and we may not be able to achieve or maintain profitability over the long term.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achieve or maintain profitability in the future.</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be able to sustain our revenue growth rate in the future.</w:t>
      </w:r>
    </w:p>
    <w:p>
      <w:pPr>
        <w:spacing w:after="0" w:line="200" w:lineRule="exact"/>
        <w:rPr>
          <w:sz w:val="20"/>
          <w:szCs w:val="20"/>
          <w:color w:val="auto"/>
        </w:rPr>
      </w:pPr>
    </w:p>
    <w:p>
      <w:pPr>
        <w:spacing w:after="0" w:line="26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From the three months ended March 31, 2019 to the three months ended March 31, 2020, our revenue grew from $ 80.3 million to $102.6 million, representing year over year growth of 28%. This growth was primarily from an increase in subscription revenue. Although we have experienced rapid growth historically and currently have high customer renewal rates, we may not continue to grow as rapidly in the future due to a decline in our renewal rates, failure to attract new customers or other factors. Any success that we may experience in the future will depend in large part on our ability to, among other things:</w:t>
      </w:r>
    </w:p>
    <w:p>
      <w:pPr>
        <w:spacing w:after="0" w:line="9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and expand our customer base;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revenue from existing customers through increased or broader use of our offerings within their organizations;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improve the performance and capabilities of our offerings through research and development;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0" w:right="339" w:bottom="1440" w:gutter="0" w:footer="0" w:header="0"/>
        </w:sectPr>
      </w:pPr>
    </w:p>
    <w:bookmarkStart w:id="34" w:name="page35"/>
    <w:bookmarkEnd w:id="3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to develop and expand our enterprise platform;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the rate at which customers purchase and renew subscriptions to our enterprise platform offerings;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to successfully expand our business domestically and internationally;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successfully compete with other companies.</w:t>
      </w:r>
    </w:p>
    <w:p>
      <w:pPr>
        <w:spacing w:after="0" w:line="225"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If we are unable to maintain consistent revenue or revenue growth, our stock price could be volatile, and it may be difficult to achieve and maintain profitability. You should not rely on our revenue for any prior quarterly or annual periods as any indication of our future revenue or revenue growth.</w:t>
      </w:r>
    </w:p>
    <w:p>
      <w:pPr>
        <w:spacing w:after="0" w:line="202"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color w:val="auto"/>
        </w:rPr>
        <w:t>We may be unable to rapidly and efficiently adjust our cost structure in response to significant revenue declines, which could adversely affect our operating results.</w:t>
      </w:r>
    </w:p>
    <w:p>
      <w:pPr>
        <w:spacing w:after="0" w:line="176" w:lineRule="exact"/>
        <w:rPr>
          <w:sz w:val="20"/>
          <w:szCs w:val="20"/>
          <w:color w:val="auto"/>
        </w:rPr>
      </w:pPr>
    </w:p>
    <w:p>
      <w:pPr>
        <w:ind w:right="360" w:firstLine="324"/>
        <w:spacing w:after="0" w:line="268" w:lineRule="auto"/>
        <w:rPr>
          <w:sz w:val="20"/>
          <w:szCs w:val="20"/>
          <w:color w:val="auto"/>
        </w:rPr>
      </w:pPr>
      <w:r>
        <w:rPr>
          <w:rFonts w:ascii="Arial" w:cs="Arial" w:eastAsia="Arial" w:hAnsi="Arial"/>
          <w:sz w:val="18"/>
          <w:szCs w:val="18"/>
          <w:b w:val="1"/>
          <w:bCs w:val="1"/>
          <w:i w:val="1"/>
          <w:iCs w:val="1"/>
          <w:color w:val="auto"/>
        </w:rPr>
        <w:t>We recognize substantially all of our revenue ratably over the term of our subscriptions and, to a lesser extent, perpetual licenses ratably over an expected period of benefit and, as a result, downturns in sales may not be immediately reflected in our operating results.</w:t>
      </w:r>
    </w:p>
    <w:p>
      <w:pPr>
        <w:spacing w:after="0" w:line="193"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We recognize substantially all of our revenue ratably over the terms of our subscriptions with customers, which generally occurs over a one-year period and, for our perpetual licenses, over a five-year expected period of benefit. As a result, a substantial portion of the revenue that we report in each period will be derived from the recognition of deferred revenue relating to agreements entered into during previous periods. Consequently, a decline in new sales or renewals in any one period, including as a result of the COVID-19 pandemic, may not be immediately reflected in our revenue results for that period. This decline, however, will negatively affect our revenue in future periods. Accordingly, the effect of significant downturns in sales and market acceptance of our solutions and potential changes in our rate of renewals may not be fully reflected in our results of operations until future periods. This also makes it difficult for us to rapidly increase our revenue growth through additional sales in any period, as revenue from new customers generally will be recognized over the term of the applicable agreement.</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be able to scale our business quickly enough to meet our customers’ growing needs.</w:t>
      </w:r>
    </w:p>
    <w:p>
      <w:pPr>
        <w:spacing w:after="0" w:line="24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As usage of our enterprise platform grows, and as customers expand in size or expand the number of IT assets or IP addresses under their subscriptions, we may need to devote additional resources to improving our technology architecture, integrating with third-party systems and maintaining infrastructure performance. In addition, we will need to appropriately scale our sales and marketing headcount, as well as grow our third-party channel partner network, to serve our growing customer base. If we are unable to scale our business appropriately, it could reduce the attractiveness of our solutions to customers, resulting in decreased sales to new customers, lower renewal rates by existing customers or the issuance of service credits or requested refunds, each of which could hurt our revenue growth and our reputation. Even if we are able to upgrade our systems and expand our personnel, any such expansion will be expensive and complex, requiring management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These efforts may reduce revenue and our margins and adversely impact our financial results.</w:t>
      </w:r>
    </w:p>
    <w:p>
      <w:pPr>
        <w:spacing w:after="0" w:line="189" w:lineRule="exact"/>
        <w:rPr>
          <w:sz w:val="20"/>
          <w:szCs w:val="20"/>
          <w:color w:val="auto"/>
        </w:rPr>
      </w:pPr>
    </w:p>
    <w:p>
      <w:pPr>
        <w:ind w:right="260" w:firstLine="324"/>
        <w:spacing w:after="0" w:line="287" w:lineRule="auto"/>
        <w:rPr>
          <w:sz w:val="20"/>
          <w:szCs w:val="20"/>
          <w:color w:val="auto"/>
        </w:rPr>
      </w:pPr>
      <w:r>
        <w:rPr>
          <w:rFonts w:ascii="Arial" w:cs="Arial" w:eastAsia="Arial" w:hAnsi="Arial"/>
          <w:sz w:val="18"/>
          <w:szCs w:val="18"/>
          <w:b w:val="1"/>
          <w:bCs w:val="1"/>
          <w:i w:val="1"/>
          <w:iCs w:val="1"/>
          <w:color w:val="auto"/>
        </w:rPr>
        <w:t>If our enterprise platform offerings do not interoperate with our customers’ network and security infrastructure or with third-party products, websites or services, our results of operations may be harmed.</w:t>
      </w:r>
    </w:p>
    <w:p>
      <w:pPr>
        <w:spacing w:after="0" w:line="175" w:lineRule="exact"/>
        <w:rPr>
          <w:sz w:val="20"/>
          <w:szCs w:val="20"/>
          <w:color w:val="auto"/>
        </w:rPr>
      </w:pPr>
    </w:p>
    <w:p>
      <w:pPr>
        <w:ind w:right="160" w:firstLine="324"/>
        <w:spacing w:after="0" w:line="251" w:lineRule="auto"/>
        <w:rPr>
          <w:sz w:val="20"/>
          <w:szCs w:val="20"/>
          <w:color w:val="auto"/>
        </w:rPr>
      </w:pPr>
      <w:r>
        <w:rPr>
          <w:rFonts w:ascii="Arial" w:cs="Arial" w:eastAsia="Arial" w:hAnsi="Arial"/>
          <w:sz w:val="18"/>
          <w:szCs w:val="18"/>
          <w:color w:val="auto"/>
        </w:rPr>
        <w:t>Our enterprise platform offerings, Tenable.io and Tenable.sc, must interoperate with our customers’ existing network and security infrastructure. These complex systems are developed, delivered and maintained by the customer and a myriad of vendors and service providers. As a result, the components of our customers’ infrastructure have different specifications, rapidly evolve, utilize multiple protocol standards, include multiple versions and generations of products and may be highly customized. We must be able to interoperate and provide our security offerings to customers with highly complex and customized networks, which requires careful planning and execution between our customers, our customer support teams and our channel partners. Further, when new or updated elements of our customers’ infrastructure or new industry standards or protocols are introduced, we may have to update or enhance our cloud platform and our other solutions to allow us to continue to provide service to customers. Our competitors or other vendors may refuse to work with us to allow their products to interoperate with our solutions, which could make it difficult for our cloud platform to function properly in customer networks that include these third-party products.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320" w:top="140" w:right="359" w:bottom="1440" w:gutter="0" w:footer="0" w:header="0"/>
        </w:sectPr>
      </w:pPr>
    </w:p>
    <w:bookmarkStart w:id="35" w:name="page36"/>
    <w:bookmarkEnd w:id="35"/>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200" w:firstLine="324"/>
        <w:spacing w:after="0" w:line="253" w:lineRule="auto"/>
        <w:rPr>
          <w:sz w:val="20"/>
          <w:szCs w:val="20"/>
          <w:color w:val="auto"/>
        </w:rPr>
      </w:pPr>
      <w:r>
        <w:rPr>
          <w:rFonts w:ascii="Arial" w:cs="Arial" w:eastAsia="Arial" w:hAnsi="Arial"/>
          <w:sz w:val="18"/>
          <w:szCs w:val="18"/>
          <w:color w:val="auto"/>
        </w:rPr>
        <w:t>We may not deliver or maintain interoperability quickly or cost-effectively, or at all. These efforts require capital investment and engineering resources. If we fail to maintain compatibility of our cloud platform and our other solutions with our customers’ network and security infrastructures, our customers may not be able to fully utilize our solutions, and we may, among other consequences, lose or fail to increase our market share and experience reduced demand for our services, which would materially harm our business, operating results and financial condition.</w:t>
      </w:r>
    </w:p>
    <w:p>
      <w:pPr>
        <w:spacing w:after="0" w:line="183" w:lineRule="exact"/>
        <w:rPr>
          <w:sz w:val="20"/>
          <w:szCs w:val="20"/>
          <w:color w:val="auto"/>
        </w:rPr>
      </w:pPr>
    </w:p>
    <w:p>
      <w:pPr>
        <w:ind w:right="100" w:firstLine="324"/>
        <w:spacing w:after="0" w:line="287" w:lineRule="auto"/>
        <w:rPr>
          <w:sz w:val="20"/>
          <w:szCs w:val="20"/>
          <w:color w:val="auto"/>
        </w:rPr>
      </w:pPr>
      <w:r>
        <w:rPr>
          <w:rFonts w:ascii="Arial" w:cs="Arial" w:eastAsia="Arial" w:hAnsi="Arial"/>
          <w:sz w:val="18"/>
          <w:szCs w:val="18"/>
          <w:b w:val="1"/>
          <w:bCs w:val="1"/>
          <w:i w:val="1"/>
          <w:iCs w:val="1"/>
          <w:color w:val="auto"/>
        </w:rPr>
        <w:t>If our solutions fail to detect vulnerabilities or incorrectly detect vulnerabilities, or if they contain undetected errors or defects, our brand and reputation could be harmed.</w:t>
      </w:r>
    </w:p>
    <w:p>
      <w:pPr>
        <w:spacing w:after="0" w:line="175"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If our solutions fail to detect vulnerabilities in our customers’ cybersecurity infrastructure, or if our solutions fail to identify new and increasingly complex methods of cyberattacks, our business and reputation may suffer. There is no guarantee that our solutions will detect all vulnerabilities, especially in light of the rapidly changing security landscape to which we must respond. Additionally, our solutions may falsely detect vulnerabilities or threats that do not actually exist. For example, our solutions rely on information provided by an active community of users who contribute new exploits, attacks and vulnerabilities. If the information from these third parties is inaccurate, the potential for false indications of security vulnerabilities increases. These false positives, while typical in the industry, may impair the perceived reliability of our offerings and may therefore adversely impact market acceptance of our products and could result in negative publicity, loss of customers and sales and increased costs to remedy any problem.</w:t>
      </w:r>
    </w:p>
    <w:p>
      <w:pPr>
        <w:spacing w:after="0" w:line="20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solutions may also contain undetected errors or defects when first introduced or as new versions are released. We have experienced these errors or defects in the past in connection with new solutions and product upgrades and we expect that these errors or defects will be found from time to time in the future in new or enhanced solutions after commercial release. Defects may cause our solutions to be vulnerable to attacks, cause them to fail to detect vulnerabilities, or temporarily interrupt customers’ networking traffic or operational technology environments. Any errors, defects, disruptions in service or other performance problems with our solutions may damage our customers’ business and could hurt our reputation. If our solutions fail to detect vulnerabilities for any reason, we may incur significant costs, the attention of our key personnel could be diverted, our customers may delay or withhold payment to us or elect not to renew or other significant customer relations problems may arise. We may also be subject to liability claims for damages related to errors or defects in our solutions. A material liability claim or other occurrence that harms our reputation or decreases market acceptance of our solutions may harm our business and operating results.</w:t>
      </w:r>
    </w:p>
    <w:p>
      <w:pPr>
        <w:spacing w:after="0" w:line="211"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An actual or perceived security breach or theft of the sensitive data of one of our customers, regardless of whether the breach is attributable to the failure of our solutions, could adversely affect the market’s perception of our brand and our offerings and subject us to legal claims.</w:t>
      </w:r>
    </w:p>
    <w:p>
      <w:pPr>
        <w:spacing w:after="0" w:line="180" w:lineRule="exact"/>
        <w:rPr>
          <w:sz w:val="20"/>
          <w:szCs w:val="20"/>
          <w:color w:val="auto"/>
        </w:rPr>
      </w:pPr>
    </w:p>
    <w:p>
      <w:pPr>
        <w:ind w:right="280" w:firstLine="324"/>
        <w:spacing w:after="0" w:line="287" w:lineRule="auto"/>
        <w:rPr>
          <w:sz w:val="20"/>
          <w:szCs w:val="20"/>
          <w:color w:val="auto"/>
        </w:rPr>
      </w:pPr>
      <w:r>
        <w:rPr>
          <w:rFonts w:ascii="Arial" w:cs="Arial" w:eastAsia="Arial" w:hAnsi="Arial"/>
          <w:sz w:val="18"/>
          <w:szCs w:val="18"/>
          <w:b w:val="1"/>
          <w:bCs w:val="1"/>
          <w:i w:val="1"/>
          <w:iCs w:val="1"/>
          <w:color w:val="auto"/>
        </w:rPr>
        <w:t>Our future quarterly results of operations are likely to fluctuate significantly due to a wide range of factors, which makes our future results difficult to predict.</w:t>
      </w:r>
    </w:p>
    <w:p>
      <w:pPr>
        <w:spacing w:after="0" w:line="175"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color w:val="auto"/>
        </w:rPr>
        <w:t>Our revenue and results of operations have historically varied from period to period, and we expect that they will continue to do so as a result of a number of factors, many of which are outside of our control, including:</w:t>
      </w:r>
    </w:p>
    <w:p>
      <w:pPr>
        <w:spacing w:after="0" w:line="9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impact of the COVID-19 pandemic on our business and that of our partners and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level of demand for our enterprise platform;</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introduction of new products and product enhancements by existing competitors or new entrants into our market, and changes in pricing for solutions offered by us or our competitors;</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rate of renewal of subscriptions, and extent of expansion of assets under such subscriptions, with existing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mix of customers licensing our products on a subscription basis as compared to a perpetual license;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large customers failing to renew their subscriptions;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size, timing and terms of our subscription agreements with new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interoperate our solutions with our customers’ network and security infrastructure;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and growth of our business, in particular through our hiring of new employees and international expansion;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network outages, security breaches, technical difficulties or interruptions with our solutions;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growth rate of the markets in which we compete;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length of the license term, amount prepaid and other material terms of subscriptions to our solutions sold during a period;</w:t>
      </w:r>
    </w:p>
    <w:p>
      <w:pPr>
        <w:spacing w:after="0" w:line="9" w:lineRule="exact"/>
        <w:rPr>
          <w:rFonts w:ascii="Arial" w:cs="Arial" w:eastAsia="Arial" w:hAnsi="Arial"/>
          <w:sz w:val="18"/>
          <w:szCs w:val="18"/>
          <w:color w:val="auto"/>
        </w:rPr>
      </w:pPr>
    </w:p>
    <w:p>
      <w:pPr>
        <w:ind w:left="660" w:right="780" w:hanging="328"/>
        <w:spacing w:after="0" w:line="26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customers delaying purchasing decisions in anticipation of new developments or enhancements by us or our competitors or otherwise;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0" w:right="339" w:bottom="1440" w:gutter="0" w:footer="0" w:header="0"/>
        </w:sectPr>
      </w:pPr>
    </w:p>
    <w:bookmarkStart w:id="36" w:name="page37"/>
    <w:bookmarkEnd w:id="3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customers’ budgets;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seasonal variations related to sales and marketing and other activities, such as expenses related to our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increase, retain and incentivize the channel partners that market and sell our solutions;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integrate our solutions with our ecosystem partners’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integrate any future acquisitions of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brand and reputation;</w:t>
      </w:r>
    </w:p>
    <w:p>
      <w:pPr>
        <w:spacing w:after="0" w:line="9" w:lineRule="exact"/>
        <w:rPr>
          <w:rFonts w:ascii="Arial" w:cs="Arial" w:eastAsia="Arial" w:hAnsi="Arial"/>
          <w:sz w:val="18"/>
          <w:szCs w:val="18"/>
          <w:color w:val="auto"/>
        </w:rPr>
      </w:pPr>
    </w:p>
    <w:p>
      <w:pPr>
        <w:ind w:left="660" w:right="54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our adoption of new or revised accounting pronouncements applicable to public companies and the impact on our results of operations;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 such as third-party cloud infrastructure costs and facilities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hire, train and maintain our direct sales force;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unforeseen litigation and intellectual property infringement;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our effective tax rate;</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and political conditions, both domestically and internationally, as well as economic conditions specifically affecting industries in which our customers operate; and</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pandemics, war, incidents of terrorism or responses to these events.</w:t>
      </w:r>
    </w:p>
    <w:p>
      <w:pPr>
        <w:spacing w:after="0" w:line="225"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Any one of these or other factors discussed elsewhere in this Quarterly Report on Form 10-Q, or the cumulative effect of some of these factors, may result in fluctuations in our revenue and operating results, meaning that quarter-to-quarter comparisons of our revenue, results of operations and cash flows may not necessarily be indicative of our future performance and may cause us to miss our guidance and analyst expectations and may cause our stock price to decline.</w:t>
      </w:r>
    </w:p>
    <w:p>
      <w:pPr>
        <w:spacing w:after="0" w:line="204"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color w:val="auto"/>
        </w:rPr>
        <w:t>In addition, we have historically experienced seasonality in entering into agreements with customers. We typically enter into a significantly higher percentage of agreements with new customers, as well as renewal agreements with existing customers, in the third and fourth quarters. The increase in customer agreements in the third quarter is primarily attributable to U.S. government and related agencies, and the increase in the fourth quarter is primarily attributable to large enterprise account buying patterns typical in the software industry. We expect that seasonality will continue to affect our operating results in the future and may reduce our ability to predict cash flow and optimize the timing of our operating expenses.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face intense competition.</w:t>
      </w:r>
    </w:p>
    <w:p>
      <w:pPr>
        <w:spacing w:after="0" w:line="247" w:lineRule="exact"/>
        <w:rPr>
          <w:sz w:val="20"/>
          <w:szCs w:val="20"/>
          <w:color w:val="auto"/>
        </w:rPr>
      </w:pPr>
    </w:p>
    <w:p>
      <w:pPr>
        <w:ind w:right="260" w:firstLine="324"/>
        <w:spacing w:after="0" w:line="252" w:lineRule="auto"/>
        <w:rPr>
          <w:sz w:val="20"/>
          <w:szCs w:val="20"/>
          <w:color w:val="auto"/>
        </w:rPr>
      </w:pPr>
      <w:r>
        <w:rPr>
          <w:rFonts w:ascii="Arial" w:cs="Arial" w:eastAsia="Arial" w:hAnsi="Arial"/>
          <w:sz w:val="18"/>
          <w:szCs w:val="18"/>
          <w:color w:val="auto"/>
        </w:rPr>
        <w:t>The market for cybersecurity solutions is fragmented, intensely competitive and constantly evolving. We compete with a range of established and emerging cybersecurity software and services vendors, as well as homegrown solutions. With the introduction of new technologies and market entrants, we expect the competitive environment to remain intense going forward. Our competitors include: vulnerability management and assessment vendors, including Qualys and Rapid7; diversified security software and services vendors, including IBM; endpoint security vendors with nascent vulnerability assessment capabilities, including Tanium and CrowdStrike; and providers of point solutions that compete with some of the features present in our solutions. We also compete against internally-developed efforts that often use open source solutions.</w:t>
      </w:r>
    </w:p>
    <w:p>
      <w:pPr>
        <w:spacing w:after="0" w:line="207"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Some of our actual and potential competitors have significant advantages over us, such as longer operating histories, significantly greater financial, technical, marketing or other resources, stronger brand and business user recognition, larger intellectual property portfolios, government certifications and broader global distribution and presence. In addition, our industry is evolving rapidly and is becoming increasingly competitive. Companies that are larger and more established than us are focusing on cybersecurity and could directly compete with us. For example, in 2019 Microsoft introduced a vulnerability management offering as part of their existing endpoint security platform. Smaller companies could also launch new products and services that we do not offer and that could gain market acceptance quickly.</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competitors may be able to respond more quickly and effectively than we can to new or changing opportunities, technologies, standards or customer requirements or new or evolving attacks by, or indicators of compromise that identify, cyber bad actors. With the introduction of new technologies, the evolution of our offerings and new market entrants, we expect competition to intensify in the future. In addition, some of our larger competitors have substantially broader product offerings and can bundle competing products and services with other software offerings. As a result, customers may choose a bundled product offering from our competitors, even if individual products have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0" w:right="339" w:bottom="1440" w:gutter="0" w:footer="0" w:header="0"/>
        </w:sectPr>
      </w:pPr>
    </w:p>
    <w:bookmarkStart w:id="37" w:name="page38"/>
    <w:bookmarkEnd w:id="3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more limited functionality than our solutions. These competitors may also offer their products at a lower price as part of this larger sale, which could increase pricing pressure on our offerings and cause the average sales price for our offerings to decline. These larger competitors are also often in a better position to withstand any significant reduction in capital spending, and will therefore not be as susceptible to economic downturns. One component of our enterprise platform involves assessing cyber exposure in a public cloud environment. We are dependent upon the providers to allow our solutions to access their cloud offerings. If one or more cloud providers elected to offer exclusively their own cloud security product or otherwise eliminate the ability of our solutions to access their cloud on behalf of our customers, our business and financial results could be harmed.</w:t>
      </w:r>
    </w:p>
    <w:p>
      <w:pPr>
        <w:spacing w:after="0" w:line="207"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Furthermore, our current and potential competitors may establish cooperative relationships among themselves or with third parties that may further enhance their resources and products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 devote greater resources to the promotion or 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185" w:lineRule="exact"/>
        <w:rPr>
          <w:sz w:val="20"/>
          <w:szCs w:val="20"/>
          <w:color w:val="auto"/>
        </w:rPr>
      </w:pPr>
    </w:p>
    <w:p>
      <w:pPr>
        <w:ind w:right="320" w:firstLine="324"/>
        <w:spacing w:after="0" w:line="287" w:lineRule="auto"/>
        <w:rPr>
          <w:sz w:val="20"/>
          <w:szCs w:val="20"/>
          <w:color w:val="auto"/>
        </w:rPr>
      </w:pPr>
      <w:r>
        <w:rPr>
          <w:rFonts w:ascii="Arial" w:cs="Arial" w:eastAsia="Arial" w:hAnsi="Arial"/>
          <w:sz w:val="18"/>
          <w:szCs w:val="18"/>
          <w:b w:val="1"/>
          <w:bCs w:val="1"/>
          <w:i w:val="1"/>
          <w:iCs w:val="1"/>
          <w:color w:val="auto"/>
        </w:rPr>
        <w:t>If we do not continue to innovate and offer solutions that address the dynamic cybersecurity landscape, we may not remain competitive.</w:t>
      </w:r>
    </w:p>
    <w:p>
      <w:pPr>
        <w:spacing w:after="0" w:line="17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cybersecurity market is characterized by very rapid technological advances, changes in customer requirements, frequent new product introductions and enhancements and evolving industry standards. Our success also depends on continued innovation to provide features that make our solutions responsive to the cybersecurity landscape. While we continue to invest significant resources in research and development in order to ensure that our solutions continue to address the cyber security risks that our customers face, the introduction of solutions and services embodying new technologies could render our existing solutions or services obsolete or less attractive to customers. In addition, developing new solutions and product enhancements is expensive and time-consuming, we may face delays or uncertainty in our release timing, and there is no assurance that such activities will result in significant cost savings, revenue or other expected benefits. If we spend significant time and effort on research and development and are unable to generate an adequate return on our investment, our business and results of operations may be materially and adversely affected. Further, we may not be able to successfully anticipate or adapt to changing technology or customer requirements or the dynamic threat landscape on a timely basis, or at all, which would impair our ability to execute on our business strategy.</w:t>
      </w:r>
    </w:p>
    <w:p>
      <w:pPr>
        <w:spacing w:after="0" w:line="189"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b w:val="1"/>
          <w:bCs w:val="1"/>
          <w:i w:val="1"/>
          <w:iCs w:val="1"/>
          <w:color w:val="auto"/>
        </w:rPr>
        <w:t>Our business and results of operations depend substantially on our customers renewing their subscriptions with us and expanding the number of IT assets or IP addresses under their subscriptions. Any decline in our customer renewals, terminations or failure to convince our customers to expand their use of subscription offerings would harm our business, results of operations, and financial condition.</w:t>
      </w:r>
    </w:p>
    <w:p>
      <w:pPr>
        <w:spacing w:after="0" w:line="198"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subscription offerings are term-based and a majority of our subscription contracts are for one year in duration. In order for us to maintain or improve our results of operations, it is important that a high percentage of our customers renew their subscriptions with us when the existing subscription term expires, and renew on the same or more favorable terms. Our customers have no obligation to renew their subscriptions, and we may not be able to accurately predict customer renewal rates. In addition, the growth of our business depends in part on our customers expanding their use of subscription offerings and related services. Historically, some of our customers have elected not to renew their subscriptions with us for a variety of reasons, including as a result of changes in their strategic IT priorities, budgets, costs and, in some instances, due to competing solutions. Our retention rate may also decline or fluctuate as a result of a number of other factors, including our customers’ satisfaction or dissatisfaction with our software, the increase in the contract value of subscription and support contracts from new customers, the effectiveness of our customer support services, our pricing, the prices of competing products or services, mergers and acquisitions affecting our customer base, global economic conditions, including the economic impacts of the ongoing COVID-19 pandemic, and the other risk factors described in this Quarterly Report on Form 10-Q. Additionally, many of our customers, including certain top customers, have the right to terminate their agreements with us for convenience and for other reasons. We cannot assure you that customers will maintain their agreements with us, renew subscriptions or increase their usage of our software. If our customers do not maintain or renew their subscriptions or renew on less favorable terms, or if we are unable to expand our customers’ use of our software, our business, results of operations, and financial condition may be harmed.</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320" w:top="140" w:right="359" w:bottom="1440" w:gutter="0" w:footer="0" w:header="0"/>
        </w:sectPr>
      </w:pPr>
    </w:p>
    <w:bookmarkStart w:id="38" w:name="page39"/>
    <w:bookmarkEnd w:id="3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b w:val="1"/>
          <w:bCs w:val="1"/>
          <w:i w:val="1"/>
          <w:iCs w:val="1"/>
          <w:color w:val="auto"/>
        </w:rPr>
        <w:t>Our brand, reputation and ability to attract, retain and serve our customers are dependent in part upon the reliable performance of our solutions and network infrastructure.</w:t>
      </w:r>
    </w:p>
    <w:p>
      <w:pPr>
        <w:spacing w:after="0" w:line="175" w:lineRule="exact"/>
        <w:rPr>
          <w:sz w:val="20"/>
          <w:szCs w:val="20"/>
          <w:color w:val="auto"/>
        </w:rPr>
      </w:pPr>
    </w:p>
    <w:p>
      <w:pPr>
        <w:ind w:right="600" w:firstLine="324"/>
        <w:spacing w:after="0" w:line="256" w:lineRule="auto"/>
        <w:rPr>
          <w:sz w:val="20"/>
          <w:szCs w:val="20"/>
          <w:color w:val="auto"/>
        </w:rPr>
      </w:pPr>
      <w:r>
        <w:rPr>
          <w:rFonts w:ascii="Arial" w:cs="Arial" w:eastAsia="Arial" w:hAnsi="Arial"/>
          <w:sz w:val="18"/>
          <w:szCs w:val="18"/>
          <w:color w:val="auto"/>
        </w:rPr>
        <w:t>We have experienced, and may in the future experience, disruptions, outages and other performance problems due to a variety of factors, including infrastructure changes, human or software errors, capacity constraints and fraud or cybersecurity attacks. In some instances, we may not be able to identify the cause or causes of these performance problems within an acceptable period of time.</w:t>
      </w:r>
    </w:p>
    <w:p>
      <w:pPr>
        <w:spacing w:after="0" w:line="202"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Prolonged delays or unforeseen difficulties in connection with adding capacity or upgrading our network architecture when required may cause our service quality to suffer. Problems with the reliability or security of our systems could harm our reputation. Damage to our reputation and the cost of remedying these problems could negatively affect our business, financial condition, and operating results.</w:t>
      </w:r>
    </w:p>
    <w:p>
      <w:pPr>
        <w:spacing w:after="0" w:line="202"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Any disruptions or other performance problems with our solutions could harm our reputation and business and may damage our customers’ businesses, including by interrupting their networking traffic or operational technology environments. Interruptions in our service delivery might reduce our revenue, cause us to issue credits to customers, subject us to potential liability and cause customers to not renew their purchases of our solutions.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must maintain and enhance our brand.</w:t>
      </w:r>
    </w:p>
    <w:p>
      <w:pPr>
        <w:spacing w:after="0" w:line="247"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believe that developing and maintaining widespread awareness of our brand in a cost-effective manner is critical to achieving widespread acceptance of our enterprise platform and attracting new customers. Brand promotion activities may not generate customer awareness or increase revenue and, even if they do, any increase in revenue may not offset the expenses we incur in building our brand. If we fail to successfully promote and maintain our brand, or incur substantial expenses, we may fail to attract or retain customers necessary to realize a sufficient return on our brand-building efforts, or to achieve the widespread brand awareness that is critical for broad customer adoption of our solutions.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rely on third parties to maintain and operate certain elements of our network infrastructure.</w:t>
      </w:r>
    </w:p>
    <w:p>
      <w:pPr>
        <w:spacing w:after="0" w:line="247"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utilize data centers located in North America, Europe and Asia to operate and maintain certain elements of our own network infrastructure. Some elements of this complex system are operated by third parties that we do not control and that could require significant time to replace. We expect this dependence on third parties to continue. For example, Tenable.io is hosted on Amazon Web Services, or AWS, which provides us with computing and storage capacity. Interruptions in our systems or the third-party systems on which we rely, particularly AWS, whether due to system failures, computer viruses, physical or electronic break-ins or other factors, could affect the security or availability of our solutions, network infrastructure and website.</w:t>
      </w:r>
    </w:p>
    <w:p>
      <w:pPr>
        <w:spacing w:after="0" w:line="208"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Our existing data center facilities and third-party hosting providers have no obligations to renew their agreements with us on commercially reasonable terms or at all, and certain of the agreements governing these relationships may be terminated by either party with notice or access to hosting services may be restricted by the provider at any time, with no or limited notice. For example, our agreement with AWS allows AWS to terminate the agreement with two years' written notice and allows AWS, under certain circumstances, to temporarily restrict access to hosting services provided by AWS without prior notice. Although we expect that we could receive similar services from other third parties, if any of our arrangements with third parties, including AWS, are terminated, we could experience interruptions on our platform and in our ability to make our platform available to customers, as well as downtime, delays and additional expenses in arranging alternative cloud infrastructure services.</w:t>
      </w:r>
    </w:p>
    <w:p>
      <w:pPr>
        <w:spacing w:after="0" w:line="205"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It is possible that our customers and potential customers would hold us accountable for any breach of security affecting third parties’ infrastructure. We may incur significant liability from those customers and from third parties with respect to any such breach. Because our agreement with AWS limits their liability for damages, we may not be able to recover a material portion of our liabilities to our customers and third parties from AWS in the event of any breach affecting AWS systems.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If we continue to grow, we may not be able to manage our growth effectively.</w:t>
      </w:r>
    </w:p>
    <w:p>
      <w:pPr>
        <w:spacing w:after="0" w:line="247" w:lineRule="exact"/>
        <w:rPr>
          <w:sz w:val="20"/>
          <w:szCs w:val="20"/>
          <w:color w:val="auto"/>
        </w:rPr>
      </w:pPr>
    </w:p>
    <w:p>
      <w:pPr>
        <w:jc w:val="both"/>
        <w:ind w:right="200" w:firstLine="324"/>
        <w:spacing w:after="0" w:line="256" w:lineRule="auto"/>
        <w:rPr>
          <w:sz w:val="20"/>
          <w:szCs w:val="20"/>
          <w:color w:val="auto"/>
        </w:rPr>
      </w:pPr>
      <w:r>
        <w:rPr>
          <w:rFonts w:ascii="Arial" w:cs="Arial" w:eastAsia="Arial" w:hAnsi="Arial"/>
          <w:sz w:val="18"/>
          <w:szCs w:val="18"/>
          <w:color w:val="auto"/>
        </w:rPr>
        <w:t>We have recently experienced a period of rapid growth in our headcount and operations. In particular, we grew from 984 employees as of December 31, 2017 to 1,493 employees as of March 31, 2020. We have also significantly increased the size of our customer base over the last several years. We anticipate that we will continue to significantly</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40" w:right="339" w:bottom="1440" w:gutter="0" w:footer="0" w:header="0"/>
        </w:sectPr>
      </w:pPr>
    </w:p>
    <w:bookmarkStart w:id="39" w:name="page40"/>
    <w:bookmarkEnd w:id="3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expand our operations and headcount in the near term. Our growth has placed, and future growth will place, a significant strain on our management, administrative, operational and financial infrastructure. Our success will depend in part on our ability to manage this growth effectively. To manage the expected growth of our operations and personnel, we will need to continue to improve our operational, financial and management controls and our reporting systems and procedures. Failure to effectively manage our growth could result in difficulty or delays in deploying our solutions and services to customers, declines in quality or customer satisfaction, increases in costs, difficulties in introducing new features or other operational difficulties. We could also face inefficiencies or service disruptions as a result of our efforts to maintain and scale our domestic and international facilities, and additional facilities may not be available to us on commercially reasonable terms, or at all. Any of these difficulties could adversely impact our business performance and results of operations.</w:t>
      </w:r>
    </w:p>
    <w:p>
      <w:pPr>
        <w:spacing w:after="0" w:line="205" w:lineRule="exact"/>
        <w:rPr>
          <w:sz w:val="20"/>
          <w:szCs w:val="20"/>
          <w:color w:val="auto"/>
        </w:rPr>
      </w:pPr>
    </w:p>
    <w:p>
      <w:pPr>
        <w:jc w:val="both"/>
        <w:ind w:right="20" w:firstLine="324"/>
        <w:spacing w:after="0" w:line="253" w:lineRule="auto"/>
        <w:rPr>
          <w:sz w:val="20"/>
          <w:szCs w:val="20"/>
          <w:color w:val="auto"/>
        </w:rPr>
      </w:pPr>
      <w:r>
        <w:rPr>
          <w:rFonts w:ascii="Arial" w:cs="Arial" w:eastAsia="Arial" w:hAnsi="Arial"/>
          <w:sz w:val="18"/>
          <w:szCs w:val="18"/>
          <w:color w:val="auto"/>
        </w:rPr>
        <w:t>Our rapid growth also makes it difficult to evaluate our future prospects. Our ability to forecast our future operating results is subject to a number of uncertainties, including our ability to plan for and model future growth. If our assumptions regarding these uncertainties, which we use to plan our business, are incorrect or change in reaction to changes in our markets, or if we do not address these risks successfully, our operating and financial results could differ materially from our expectations, our business could suffer and the trading price of our stock may decline.</w:t>
      </w:r>
    </w:p>
    <w:p>
      <w:pPr>
        <w:spacing w:after="0" w:line="183" w:lineRule="exact"/>
        <w:rPr>
          <w:sz w:val="20"/>
          <w:szCs w:val="20"/>
          <w:color w:val="auto"/>
        </w:rPr>
      </w:pPr>
    </w:p>
    <w:p>
      <w:pPr>
        <w:ind w:right="720" w:firstLine="324"/>
        <w:spacing w:after="0" w:line="287" w:lineRule="auto"/>
        <w:rPr>
          <w:sz w:val="20"/>
          <w:szCs w:val="20"/>
          <w:color w:val="auto"/>
        </w:rPr>
      </w:pPr>
      <w:r>
        <w:rPr>
          <w:rFonts w:ascii="Arial" w:cs="Arial" w:eastAsia="Arial" w:hAnsi="Arial"/>
          <w:sz w:val="18"/>
          <w:szCs w:val="18"/>
          <w:b w:val="1"/>
          <w:bCs w:val="1"/>
          <w:i w:val="1"/>
          <w:iCs w:val="1"/>
          <w:color w:val="auto"/>
        </w:rPr>
        <w:t>Organizations may be reluctant to purchase our enterprise platform offerings that are cloud-based due to the actual or perceived vulnerability of cloud solutions.</w:t>
      </w:r>
    </w:p>
    <w:p>
      <w:pPr>
        <w:spacing w:after="0" w:line="17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Some organizations, including those in the defense industry and highly regulated industries such as healthcare and financial services, have historically been reluctant to use cloud-based solutions for cybersecurity because they have concerns regarding the risks associated with the reliability or security of the technology delivery model associated with these solutions. If we or other software companies with cloud-based offerings experience security incidents, breaches of customer data, disruptions in service delivery or other problems, the market for cloud-based solutions as a whole may be negatively impacted, which in turn would negatively impact our revenue and our growth prospects.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sales cycle is long and unpredictable.</w:t>
      </w:r>
    </w:p>
    <w:p>
      <w:pPr>
        <w:spacing w:after="0" w:line="24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timing of sales of our offerings is difficult to forecast because of the length and unpredictability of our sales cycle, particularly with large enterprises and with respect to certain of our solutions. We sell our solutions primarily to IT departments that are managing a growing set of user and compliance demands, which has increased the complexity of customer requirements to be met and confirmed during the sales cycle and prolonged our sales cycle. Our average sales cycle with an enterprise customer is approximately four months, and to the extent we continue to enter into larger deals, our average sales cycle is likely to increase. Further, the length of time that potential customers devote to their testing and evaluation, contract negotiation and budgeting processes varies significantly, depending on the size of the organization and nature of the product or service under consideration. In addition, we might devote substantial time and effort to a particular unsuccessful sales effort, and as a result, we could lose other sales opportunities or incur expenses that are not offset by an increase in revenue, which could harm our business.</w:t>
      </w:r>
    </w:p>
    <w:p>
      <w:pPr>
        <w:spacing w:after="0" w:line="190" w:lineRule="exact"/>
        <w:rPr>
          <w:sz w:val="20"/>
          <w:szCs w:val="20"/>
          <w:color w:val="auto"/>
        </w:rPr>
      </w:pPr>
    </w:p>
    <w:p>
      <w:pPr>
        <w:ind w:right="120" w:firstLine="324"/>
        <w:spacing w:after="0" w:line="287" w:lineRule="auto"/>
        <w:rPr>
          <w:sz w:val="20"/>
          <w:szCs w:val="20"/>
          <w:color w:val="auto"/>
        </w:rPr>
      </w:pPr>
      <w:r>
        <w:rPr>
          <w:rFonts w:ascii="Arial" w:cs="Arial" w:eastAsia="Arial" w:hAnsi="Arial"/>
          <w:sz w:val="18"/>
          <w:szCs w:val="18"/>
          <w:b w:val="1"/>
          <w:bCs w:val="1"/>
          <w:i w:val="1"/>
          <w:iCs w:val="1"/>
          <w:color w:val="auto"/>
        </w:rPr>
        <w:t>Regulatory, legislative or self-regulatory standard developments regarding privacy and data security matters could adversely affect our ability to conduct our business.</w:t>
      </w:r>
    </w:p>
    <w:p>
      <w:pPr>
        <w:spacing w:after="0" w:line="17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along with a significant number of our customers, are subject to laws, rules, regulations, and industry standards related to data privacy and cyber security, and restrictions or technological requirements regarding the collection, use, storage, protection, retention or transfer of data. In addition to current privacy and data security regulations currently in force in the jurisdictions where we operate, the General Data Protection Regulation, or GDPR came into force in May 2018. The GDPR contains numerous requirements and changes from prior European Union, or EU, law, including more robust obligations on data processors and data controllers, greater rights for data subjects, and heavier documentation requirements for data protection compliance programs. Specifically, the GDPR introduced numerous privacy-related changes for companies operating in the EU, including greater control over personal data by data subjects, such as the “right to be forgotten", increased data portability for EU consumers, data breach notification requirements, and increased fines. In particular, under the GDPR, fines of up to €20 million or up to 4% of the annual global revenue of the noncompliant company, whichever is greater, could be imposed for violations of certain of the GDPR’s requirements. The GDPR requirements apply not only to third-party transactions, but also to transfers of information between us and our subsidiaries, including employee information. We have an internal data privacy function that oversees and supervises our compliance with European data protection regulations. In the United States and globally, governments and agencies have adopted, and could in the future adopt, modify, apply or enforce laws, policies, regulations, and standards covering data subject privacy, data security, technologies such as cookies that are</w:t>
      </w: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60"/>
          </w:cols>
          <w:pgMar w:left="320" w:top="140" w:right="419" w:bottom="1440" w:gutter="0" w:footer="0" w:header="0"/>
        </w:sectPr>
      </w:pPr>
    </w:p>
    <w:bookmarkStart w:id="40" w:name="page41"/>
    <w:bookmarkEnd w:id="4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used to collect, store and/or process data, marketing online, the use of data to inform marketing, the taxation of products and services, unfair and deceptive practices and the collection, including the collection of information, use, processing, transfer, storage and/or disclosure of data associated with unique individual internet users. We may be subject directly or via contract to such laws, policies, regulations, and standards. New regulation or legislative actions regarding data privacy and security, together with applicable industry standards, may increase the costs of doing business and could have a material adverse impact on our operations and cash flows.</w:t>
      </w:r>
    </w:p>
    <w:p>
      <w:pPr>
        <w:spacing w:after="0" w:line="20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While we have taken steps to mitigate the impact on us, such as implementing standard contractual clauses as appropriate and self-certifying under the EU-US Privacy Shield, the efficacy and longevity of these mechanisms remains uncertain. Potential or actual legal proceeding could lead to one or both of these mechanisms being declared invalid. Further, local data protection authorities general may have different interpretations of the GDPR, leading to potential inconsistencies amongst various EU states.</w:t>
      </w:r>
    </w:p>
    <w:p>
      <w:pPr>
        <w:spacing w:after="0" w:line="20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Similarly, there are a number of federal and state level legislative proposals in the United States that could impose new obligations on us. For example, California recently enacted the California Consumer Privacy Act, or the CCPA, which went into effect on January 1, 2020 and creates new individual privacy rights for consumers and places increased privacy and security obligations on entities handling the personal data of consumers or households. The CCPA requires covered companies to provide new disclosures to California consumers, which could include our employees residing in California based on the broad definitions in the law, to provide such consumers new ways to opt out of certain sales of personal information and to allow for new causes of action for data breaches. In addition, some countries are considering or have passed legislation implementing more onerous data protection requirements or requiring local storage and processing of data or other requirements that could increase the cost and complexity of delivering our services.</w:t>
      </w:r>
    </w:p>
    <w:p>
      <w:pPr>
        <w:spacing w:after="0" w:line="20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If we are investigated by an applicable data protection authority or are determined to have not complied with applicable laws, we may face fines and other penalties. Any such investigation or charges by applicable data protection authorities could have a negative effect on our existing business and on our ability to attract and retain new customers. Existing and proposed laws and regulations can be costly to comply with, could expose us to significant penalties for non-compliance, can delay or impede the development or adoption of our products and services, reduce the overall demand for our services, result in negative publicity, increase our operating costs, require significant management time and attention and subject us to claims or other remedies, including fines or demands that we modify or cease existing business practices.</w:t>
      </w:r>
    </w:p>
    <w:p>
      <w:pPr>
        <w:spacing w:after="0" w:line="185" w:lineRule="exact"/>
        <w:rPr>
          <w:sz w:val="20"/>
          <w:szCs w:val="20"/>
          <w:color w:val="auto"/>
        </w:rPr>
      </w:pPr>
    </w:p>
    <w:p>
      <w:pPr>
        <w:ind w:right="700" w:firstLine="324"/>
        <w:spacing w:after="0" w:line="287" w:lineRule="auto"/>
        <w:rPr>
          <w:sz w:val="20"/>
          <w:szCs w:val="20"/>
          <w:color w:val="auto"/>
        </w:rPr>
      </w:pPr>
      <w:r>
        <w:rPr>
          <w:rFonts w:ascii="Arial" w:cs="Arial" w:eastAsia="Arial" w:hAnsi="Arial"/>
          <w:sz w:val="18"/>
          <w:szCs w:val="18"/>
          <w:b w:val="1"/>
          <w:bCs w:val="1"/>
          <w:i w:val="1"/>
          <w:iCs w:val="1"/>
          <w:color w:val="auto"/>
        </w:rPr>
        <w:t>We rely on our third-party channel partner network of distributors and resellers to generate a substantial amount of our revenue.</w:t>
      </w:r>
    </w:p>
    <w:p>
      <w:pPr>
        <w:spacing w:after="0" w:line="175"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Our success is dependent in part upon establishing and maintaining relationships with a variety of channel partners that we utilize to extend our geographic reach and market penetration. We use a two-tiered, indirect fulfillment model whereby we sell our products and services to our distributors, which in turn sell to our resellers, which then sell to our end users, which we call customers. We anticipate that we will continue to rely on this two-tiered sales model in order to help facilitate sales of our offerings as part of larger purchases in the United States and to grow our business internationally. In the three months ended March 31, 2020 and 2019, we derived 91% and 90%, respectively, of our revenue from subscriptions and perpetual licenses sold through channel partners, and the percentage of revenue derived from channel partners may continue to increase in future periods. Ingram Micro, Inc., a distributor, accounted for 43% and 44% of our revenue in the three months ended March 31, 2020 and 2019, respectively, and 41% of our accounts receivable as of March 31, 2020. Our agreements with our channel partners, including our agreement with Ingram Micro, are non-exclusive and do not prohibit them from working with our competitors or offering competing solutions, and some of our channel partners may have more established relationships with our competitors. Similarly, our channel partners have no obligations to renew their agreements with us on commercially reasonable terms or at all, and certain of the agreements governing these relationships may be terminated by either party at any time, with no or limited notice. For example, our agreement with Ingram Micro allows Ingram Micro to terminate the agreement in their discretion upon 30 days’ written notice to us. If our channel partners choose to place greater emphasis on products of their own or those offered by our competitors or a result of an acquisition, competitive factors or other reasons do not continue to market and sell our solutions in an effective manner or at all, our ability to grow our business and sell our solutions, particularly in key international markets, may be adversely affected. In addition, our failure to recruit additional channel partners, or any reduction or delay in their sales of our solutions and professional services, including as a result of the COVID-19 pandemic, or conflicts between channel sales and our direct sales and marketing activities may harm our results of operations. Finally, even if we are successful, our relationships with</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140" w:right="359" w:bottom="1440" w:gutter="0" w:footer="0" w:header="0"/>
        </w:sectPr>
      </w:pPr>
    </w:p>
    <w:bookmarkStart w:id="41" w:name="page42"/>
    <w:bookmarkEnd w:id="41"/>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channel partners may not result in greater customer usage of our solutions and professional services or increased revenue.</w:t>
      </w:r>
    </w:p>
    <w:p>
      <w:pPr>
        <w:spacing w:after="0" w:line="203" w:lineRule="exact"/>
        <w:rPr>
          <w:sz w:val="20"/>
          <w:szCs w:val="20"/>
          <w:color w:val="auto"/>
        </w:rPr>
      </w:pPr>
    </w:p>
    <w:p>
      <w:pPr>
        <w:ind w:right="320" w:firstLine="324"/>
        <w:spacing w:after="0" w:line="287" w:lineRule="auto"/>
        <w:rPr>
          <w:sz w:val="20"/>
          <w:szCs w:val="20"/>
          <w:color w:val="auto"/>
        </w:rPr>
      </w:pPr>
      <w:r>
        <w:rPr>
          <w:rFonts w:ascii="Arial" w:cs="Arial" w:eastAsia="Arial" w:hAnsi="Arial"/>
          <w:sz w:val="18"/>
          <w:szCs w:val="18"/>
          <w:b w:val="1"/>
          <w:bCs w:val="1"/>
          <w:i w:val="1"/>
          <w:iCs w:val="1"/>
          <w:color w:val="auto"/>
        </w:rPr>
        <w:t>A portion of our revenue is generated from subscriptions and perpetual licenses sold to domestic governmental entities, foreign governmental entities and other heavily regulated organizations, which are subject to a number of challenges and risks.</w:t>
      </w:r>
    </w:p>
    <w:p>
      <w:pPr>
        <w:spacing w:after="0" w:line="175" w:lineRule="exact"/>
        <w:rPr>
          <w:sz w:val="20"/>
          <w:szCs w:val="20"/>
          <w:color w:val="auto"/>
        </w:rPr>
      </w:pPr>
    </w:p>
    <w:p>
      <w:pPr>
        <w:ind w:right="220" w:firstLine="324"/>
        <w:spacing w:after="0" w:line="251" w:lineRule="auto"/>
        <w:rPr>
          <w:sz w:val="20"/>
          <w:szCs w:val="20"/>
          <w:color w:val="auto"/>
        </w:rPr>
      </w:pPr>
      <w:r>
        <w:rPr>
          <w:rFonts w:ascii="Arial" w:cs="Arial" w:eastAsia="Arial" w:hAnsi="Arial"/>
          <w:sz w:val="18"/>
          <w:szCs w:val="18"/>
          <w:color w:val="auto"/>
        </w:rPr>
        <w:t>A portion of our revenue is generated from subscriptions and perpetual licenses sold to governmental entities in the United States. Additionally, many of our current and prospective customers, such as those in the financial services, energy, insurance and healthcare industries, are highly regulated and may be required to comply with more stringent regulations in connection with subscribing to and implementing our enterprise platform. Selling licenses to these entities can be highly competitive, expensive and time-consuming, often requiring significant upfront time and expense without any assurance that we will successfully complete a sale. Governmental demand and payment for our enterprise platform may also be impacted by public sector budgetary cycles and funding authorizations, with funding reductions or delays adversely affecting public sector demand for our enterprise platform. In addition, governmental entities have the authority to terminate contracts at any time for the convenience of the government, which creates risk regarding revenue anticipated under our existing government contracts.</w:t>
      </w:r>
    </w:p>
    <w:p>
      <w:pPr>
        <w:spacing w:after="0" w:line="212"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Further, governmental and highly regulated entities often require contract terms that differ from our standard customer arrangements, including terms that can lead to those customers obtaining broader rights in our solutions than would be expected under a standard commercial contract and terms that can allow for early termination. The U.S. government will be able to terminate any of its contracts with us either for its convenience or if we default by failing to perform in accordance with the contract schedule and terms. Termination for convenience provisions would generally enable us to recover only our costs incurred or committed, settlement expenses, and profit on the work completed prior to termination. Termination for default provisions do not permit these recoveries and would make us liable for excess costs incurred by the U.S. government in procuring undelivered items from another source. Contracts with governmental and highly regulated entities may also include preferential pricing terms. In the United States, federal government agencies may promulgate regulations, and the President may issue executive orders, requiring federal contractors to adhere to different or additional requirements after a contract is signed. If we do not meet applicable requirements of law or contract, we could be subject to significant liability from our customers or regulators. Even if we do meet these requirements, the additional costs associated with providing our enterprise platform to government and highly regulated customers could harm our operating results. Moreover, changes in the underlying statutory and regulatory conditions that affect these types of customers could harm our ability to efficiently provide them access to our enterprise platform and to grow or maintain our customer base. In addition, engaging in sales activities to foreign governments introduces additional compliance risks, including risks specific to anti bribery regulations, including the U.S. Foreign Corrupt Practices Act of 1977, as amended, or the FCPA, the U.K. Bribery Act 2010 and other similar statutory requirements prohibiting bribery and corruption in the jurisdictions in which we operate. Further, in some jurisdictions we may be required to obtain government certifications, which may be costly to maintain and, if we lost such certifications in the future or if such certification requirements changed, would restrict our ability to sell to government entities until we have attained such certifications.</w:t>
      </w:r>
    </w:p>
    <w:p>
      <w:pPr>
        <w:spacing w:after="0" w:line="207"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Some of our revenue is derived from contracts with U.S. government entities, as well as subcontracts with higher-tier contractors. As a result, we are subject to federal contracting regulations, including the Federal Acquisition Regulation, or the FAR. Under the FAR, certain types of contracts require pricing that is based on estimated direct and indirect costs, which are subject to change.</w:t>
      </w:r>
    </w:p>
    <w:p>
      <w:pPr>
        <w:spacing w:after="0" w:line="202"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In connection with our U.S. government contracts, we may be subject to government audits and review of our policies, procedures, and internal controls for compliance with contract terms, procurement regulations, and applicable laws. In certain circumstances, if we do not comply with the terms of a contract or with regulations or statutes, we could be subject to contract termination or downward contract price adjustments or refund obligations, could be assessed civil or criminal penalties, or could be debarred or suspended from obtaining future government contracts for a specified period of time. Any such termination, adjustment, sanction, debarment or suspension could have an adverse effect on our business.</w:t>
      </w:r>
    </w:p>
    <w:p>
      <w:pPr>
        <w:spacing w:after="0" w:line="208"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the course of providing our solutions and professional services to governmental entities, our employees and those of our channel partners may be exposed to sensitive government information. Any failure by us or our channel partners to safeguard and maintain the confidentiality of such information could subject us to liability and reputational harm, which could materially and adversely affect our results of operations and financial performance.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0" w:right="339" w:bottom="1440" w:gutter="0" w:footer="0" w:header="0"/>
        </w:sectPr>
      </w:pPr>
    </w:p>
    <w:bookmarkStart w:id="42" w:name="page43"/>
    <w:bookmarkEnd w:id="42"/>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ind w:right="680" w:firstLine="324"/>
        <w:spacing w:after="0" w:line="287" w:lineRule="auto"/>
        <w:rPr>
          <w:sz w:val="20"/>
          <w:szCs w:val="20"/>
          <w:color w:val="auto"/>
        </w:rPr>
      </w:pPr>
      <w:r>
        <w:rPr>
          <w:rFonts w:ascii="Arial" w:cs="Arial" w:eastAsia="Arial" w:hAnsi="Arial"/>
          <w:sz w:val="18"/>
          <w:szCs w:val="18"/>
          <w:b w:val="1"/>
          <w:bCs w:val="1"/>
          <w:i w:val="1"/>
          <w:iCs w:val="1"/>
          <w:color w:val="auto"/>
        </w:rPr>
        <w:t>Our pricing model subjects us to various challenges that could make it difficult for us to derive expected value from our customers and we may need to reduce our prices or change our pricing model to remain competitive.</w:t>
      </w:r>
    </w:p>
    <w:p>
      <w:pPr>
        <w:spacing w:after="0" w:line="17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Subscriptions and perpetual licenses to our enterprise platform are generally priced based on the number of IP addresses or total IT assets that can be monitored. We expect that we may need to change our pricing from time to time. As competitors introduce new products that compete with ours or reduce their prices, we may be unable to attract new customers or retain existing customers based on our historical pricing. We also must determine the appropriate price to enable us to compete effectively internationally. Moreover, mid- to large-size enterprises may demand substantial price discounts as part of the negotiation of sales contracts and, as the amount of IT assets or IP addresses within our customers' organization grows, we may face additional pressure from our customers regarding our pricing. As a result, we may be required or choose to reduce our prices or change our pricing model, which could adversely affect our business, revenue, operating margins, and financial condition.</w:t>
      </w:r>
    </w:p>
    <w:p>
      <w:pPr>
        <w:spacing w:after="0" w:line="20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Further, our subscription agreements and perpetual licenses generally provide that we can audit our customers’ use of our offerings to ensure compliance with the terms of such agreement or license and monitor an increase in IT assets and IP addresses being monitored. However, a customer may resist or refuse to allow us to audit their usage, in which case we may have to pursue legal recourse to enforce our rights under the agreement or license, which would require us to spend money, distract management and potentially adversely affect our relationship with our customers and users.</w:t>
      </w:r>
    </w:p>
    <w:p>
      <w:pPr>
        <w:spacing w:after="0" w:line="183" w:lineRule="exact"/>
        <w:rPr>
          <w:sz w:val="20"/>
          <w:szCs w:val="20"/>
          <w:color w:val="auto"/>
        </w:rPr>
      </w:pPr>
    </w:p>
    <w:p>
      <w:pPr>
        <w:ind w:right="480" w:firstLine="324"/>
        <w:spacing w:after="0" w:line="287" w:lineRule="auto"/>
        <w:rPr>
          <w:sz w:val="20"/>
          <w:szCs w:val="20"/>
          <w:color w:val="auto"/>
        </w:rPr>
      </w:pPr>
      <w:r>
        <w:rPr>
          <w:rFonts w:ascii="Arial" w:cs="Arial" w:eastAsia="Arial" w:hAnsi="Arial"/>
          <w:sz w:val="18"/>
          <w:szCs w:val="18"/>
          <w:b w:val="1"/>
          <w:bCs w:val="1"/>
          <w:i w:val="1"/>
          <w:iCs w:val="1"/>
          <w:color w:val="auto"/>
        </w:rPr>
        <w:t>If our enterprise platform offerings do not achieve sufficient market acceptance, our results of operations and competitive position will suffer.</w:t>
      </w:r>
    </w:p>
    <w:p>
      <w:pPr>
        <w:spacing w:after="0" w:line="175"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spend substantial amounts of time and money to research and develop and enhance our enterprise platform offerings to meet our customers’ rapidly evolving demands. In addition, we invest in efforts to continue to add capabilities to our existing products and enable the continued detection of new network vulnerabilities. We typically incur expenses and expend resources upfront to market, promote and sell our new and enhanced offerings. Therefore, when we develop and introduce new or enhanced offerings, they must achieve high levels of market acceptance in order to justify the amount of our investment in developing and bringing them to market. For example, if Tenable Lumin does not garner widespread market adoption and implementation, our operating results and competitive position could suffer.</w:t>
      </w:r>
    </w:p>
    <w:p>
      <w:pPr>
        <w:spacing w:after="0" w:line="208" w:lineRule="exact"/>
        <w:rPr>
          <w:sz w:val="20"/>
          <w:szCs w:val="20"/>
          <w:color w:val="auto"/>
        </w:rPr>
      </w:pPr>
    </w:p>
    <w:p>
      <w:pPr>
        <w:jc w:val="both"/>
        <w:ind w:right="140" w:firstLine="324"/>
        <w:spacing w:after="0" w:line="291" w:lineRule="auto"/>
        <w:rPr>
          <w:sz w:val="20"/>
          <w:szCs w:val="20"/>
          <w:color w:val="auto"/>
        </w:rPr>
      </w:pPr>
      <w:r>
        <w:rPr>
          <w:rFonts w:ascii="Arial" w:cs="Arial" w:eastAsia="Arial" w:hAnsi="Arial"/>
          <w:sz w:val="17"/>
          <w:szCs w:val="17"/>
          <w:color w:val="auto"/>
        </w:rPr>
        <w:t>Further, we may make enhancements to our offerings that our customers do not like, find useful or agree with. We may also discontinue certain features, begin to charge for certain features that are currently free or increase fees for any of our features or usage of our offerings.</w:t>
      </w:r>
    </w:p>
    <w:p>
      <w:pPr>
        <w:spacing w:after="0" w:line="174" w:lineRule="exact"/>
        <w:rPr>
          <w:sz w:val="20"/>
          <w:szCs w:val="20"/>
          <w:color w:val="auto"/>
        </w:rPr>
      </w:pPr>
    </w:p>
    <w:p>
      <w:pPr>
        <w:ind w:right="540" w:firstLine="324"/>
        <w:spacing w:after="0" w:line="261" w:lineRule="auto"/>
        <w:rPr>
          <w:sz w:val="20"/>
          <w:szCs w:val="20"/>
          <w:color w:val="auto"/>
        </w:rPr>
      </w:pPr>
      <w:r>
        <w:rPr>
          <w:rFonts w:ascii="Arial" w:cs="Arial" w:eastAsia="Arial" w:hAnsi="Arial"/>
          <w:sz w:val="18"/>
          <w:szCs w:val="18"/>
          <w:color w:val="auto"/>
        </w:rPr>
        <w:t>Our new offerings or enhancements and changes to our existing offerings could fail to attain sufficient market acceptance for many reasons, including:</w:t>
      </w:r>
    </w:p>
    <w:p>
      <w:pPr>
        <w:spacing w:after="0" w:line="90" w:lineRule="exact"/>
        <w:rPr>
          <w:sz w:val="20"/>
          <w:szCs w:val="20"/>
          <w:color w:val="auto"/>
        </w:rPr>
      </w:pPr>
    </w:p>
    <w:p>
      <w:pPr>
        <w:ind w:left="660" w:right="60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predict market demand accurately in terms of functionality and to supply offerings that meets this demand in a timely fashion;</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releasing our new offerings or enhancements to our existing offerings to the market;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poor business conditions for our customers, including as a result of the COVID-19 pandemic, causing them to delay IT purchases; and</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reluctance of customers to purchase cloud-based offerings.</w:t>
      </w:r>
    </w:p>
    <w:p>
      <w:pPr>
        <w:spacing w:after="0" w:line="225" w:lineRule="exact"/>
        <w:rPr>
          <w:sz w:val="20"/>
          <w:szCs w:val="20"/>
          <w:color w:val="auto"/>
        </w:rPr>
      </w:pPr>
    </w:p>
    <w:p>
      <w:pPr>
        <w:ind w:right="260" w:firstLine="324"/>
        <w:spacing w:after="0" w:line="256" w:lineRule="auto"/>
        <w:rPr>
          <w:sz w:val="20"/>
          <w:szCs w:val="20"/>
          <w:color w:val="auto"/>
        </w:rPr>
      </w:pPr>
      <w:r>
        <w:rPr>
          <w:rFonts w:ascii="Arial" w:cs="Arial" w:eastAsia="Arial" w:hAnsi="Arial"/>
          <w:sz w:val="18"/>
          <w:szCs w:val="18"/>
          <w:color w:val="auto"/>
        </w:rPr>
        <w:t>If our new or enhanced offerings do not achieve adequate acceptance in the market, our competitive position will be impaired, and our revenue will be diminished. The adverse effect on our operating results may be particularly acute because of the significant research, development, marketing, sales and other expenses we will have incurred in connection with the new or enhanced offerings.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0" w:right="339" w:bottom="1440" w:gutter="0" w:footer="0" w:header="0"/>
        </w:sectPr>
      </w:pPr>
    </w:p>
    <w:bookmarkStart w:id="43" w:name="page44"/>
    <w:bookmarkEnd w:id="4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ind w:right="600" w:firstLine="324"/>
        <w:spacing w:after="0" w:line="287" w:lineRule="auto"/>
        <w:rPr>
          <w:sz w:val="20"/>
          <w:szCs w:val="20"/>
          <w:color w:val="auto"/>
        </w:rPr>
      </w:pPr>
      <w:r>
        <w:rPr>
          <w:rFonts w:ascii="Arial" w:cs="Arial" w:eastAsia="Arial" w:hAnsi="Arial"/>
          <w:sz w:val="18"/>
          <w:szCs w:val="18"/>
          <w:b w:val="1"/>
          <w:bCs w:val="1"/>
          <w:i w:val="1"/>
          <w:iCs w:val="1"/>
          <w:color w:val="auto"/>
        </w:rPr>
        <w:t>Our strategy of offering and deploying our solutions in the cloud, on-premises environments or using a hybrid approach causes us to incur increased expenses and may pose challenges to our business.</w:t>
      </w:r>
    </w:p>
    <w:p>
      <w:pPr>
        <w:spacing w:after="0" w:line="17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offer and sell our enterprise platform for use in the cloud, on-premises environments or using a hybrid approach using the customer’s own infrastructure. Our cloud offering enables our customers to eliminate the burden of provisioning and maintaining infrastructure and to scale their usage of our solutions quickly, while our on-premises offering allows for the customer’s complete control over data security and software infrastructure. Historically, our solutions were developed in the context of the on-premises offering, and we have less operating experience offering and selling subscriptions to our solutions via our cloud offering. Although a substantial majority of our revenue has historically been generated from customers using our solutions on an on-premises basis, our customers are increasingly adopting our cloud offering. We expect that our customers will continue to move to our cloud offering and that it will become more central to our distribution model. We expect our gross profit to increase in absolute dollars and our gross margin to decrease to the extent that revenue from our cloud-based subscriptions increases as a percentage of revenue, although our gross margin could fluctuate from period to period. To support both on-premises environments and cloud instances of our product, our support team must be trained on and learn multiple environments in which our solution is deployed, which is more expensive than supporting only a cloud offering. Moreover, we must engineer our software for an on-premises environment, cloud offering and hybrid installation, which we expect will cause us additional research and development expense that may impact our operating results. As more of our customers transition to the cloud, we may be subject to additional competitive pressures, which may harm our business. We are directing a significant portion of our financial and operating resources to implement a robust and secure cloud offering for our customers, but even if we continue to make these investments, we may be unsuccessful in growing or implementing our cloud offering in a way that competes successfully against our current and future competitors and our business, results of operations and financial condition could be harmed.</w:t>
      </w:r>
    </w:p>
    <w:p>
      <w:pPr>
        <w:spacing w:after="0" w:line="186" w:lineRule="exact"/>
        <w:rPr>
          <w:sz w:val="20"/>
          <w:szCs w:val="20"/>
          <w:color w:val="auto"/>
        </w:rPr>
      </w:pPr>
    </w:p>
    <w:p>
      <w:pPr>
        <w:ind w:right="300" w:firstLine="324"/>
        <w:spacing w:after="0" w:line="287" w:lineRule="auto"/>
        <w:rPr>
          <w:sz w:val="20"/>
          <w:szCs w:val="20"/>
          <w:color w:val="auto"/>
        </w:rPr>
      </w:pPr>
      <w:r>
        <w:rPr>
          <w:rFonts w:ascii="Arial" w:cs="Arial" w:eastAsia="Arial" w:hAnsi="Arial"/>
          <w:sz w:val="18"/>
          <w:szCs w:val="18"/>
          <w:b w:val="1"/>
          <w:bCs w:val="1"/>
          <w:i w:val="1"/>
          <w:iCs w:val="1"/>
          <w:color w:val="auto"/>
        </w:rPr>
        <w:t>Our customers’ increased usage of our cloud-based offerings requires us to continually improve our computer network and infrastructure to avoid service interruptions or slower system performance.</w:t>
      </w:r>
    </w:p>
    <w:p>
      <w:pPr>
        <w:spacing w:after="0" w:line="175"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As usage of our cloud-based offerings grows and as customers use them for more complicated applications, increased assets and with increased data requirements, we will need to devote additional resources to improving our platform architecture and our infrastructure in order to maintain the performance of our cloud offering. Any failure or delays in our computer systems could cause service interruptions or slower system performance. If sustained or repeated, these performance issues could reduce the attractiveness of our enterprise platform to customers. These performance issues could result in lost customer opportunities and lower renewal rates, any of which could hurt our revenue growth, customer loyalty and reputation.</w:t>
      </w:r>
    </w:p>
    <w:p>
      <w:pPr>
        <w:spacing w:after="0" w:line="186" w:lineRule="exact"/>
        <w:rPr>
          <w:sz w:val="20"/>
          <w:szCs w:val="20"/>
          <w:color w:val="auto"/>
        </w:rPr>
      </w:pPr>
    </w:p>
    <w:p>
      <w:pPr>
        <w:ind w:right="400" w:firstLine="324"/>
        <w:spacing w:after="0" w:line="287" w:lineRule="auto"/>
        <w:rPr>
          <w:sz w:val="20"/>
          <w:szCs w:val="20"/>
          <w:color w:val="auto"/>
        </w:rPr>
      </w:pPr>
      <w:r>
        <w:rPr>
          <w:rFonts w:ascii="Arial" w:cs="Arial" w:eastAsia="Arial" w:hAnsi="Arial"/>
          <w:sz w:val="18"/>
          <w:szCs w:val="18"/>
          <w:b w:val="1"/>
          <w:bCs w:val="1"/>
          <w:i w:val="1"/>
          <w:iCs w:val="1"/>
          <w:color w:val="auto"/>
        </w:rPr>
        <w:t>A component of our growth strategy is dependent on our continued international expansion, which adds complexity to our operations.</w:t>
      </w:r>
    </w:p>
    <w:p>
      <w:pPr>
        <w:spacing w:after="0" w:line="175" w:lineRule="exact"/>
        <w:rPr>
          <w:sz w:val="20"/>
          <w:szCs w:val="20"/>
          <w:color w:val="auto"/>
        </w:rPr>
      </w:pPr>
    </w:p>
    <w:p>
      <w:pPr>
        <w:ind w:right="220" w:firstLine="324"/>
        <w:spacing w:after="0" w:line="252" w:lineRule="auto"/>
        <w:rPr>
          <w:sz w:val="20"/>
          <w:szCs w:val="20"/>
          <w:color w:val="auto"/>
        </w:rPr>
      </w:pPr>
      <w:r>
        <w:rPr>
          <w:rFonts w:ascii="Arial" w:cs="Arial" w:eastAsia="Arial" w:hAnsi="Arial"/>
          <w:sz w:val="18"/>
          <w:szCs w:val="18"/>
          <w:color w:val="auto"/>
        </w:rPr>
        <w:t>We market and sell our solutions and professional services throughout the world and have personnel in many parts of the world. International operations generated 38% and 35% of our revenue in the three months ended March 31, 2020 and 2019, respectively. Our growth strategy is dependent, in part, on our continued international expansion. We expect to conduct a significant amount of our business with organizations that are located outside the United States, particularly in Europe and Asia. We cannot assure that our expansion efforts into international markets will be successful in creating further demand for our solutions and professional services outside of the United States or in effectively selling our solutions and professional services in the international markets that we enter. Our current international operations and future initiatives will involve a variety of risks, including:</w:t>
      </w:r>
    </w:p>
    <w:p>
      <w:pPr>
        <w:spacing w:after="0" w:line="99"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management, infrastructure and legal costs associated with having international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reliance on channel partners;</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trade and foreign exchange restrictions, including potential changes in trade relations arising from policy initiatives implemented by the current U.S. administration, which has been critical of existing and proposed trade agreements;</w:t>
      </w:r>
    </w:p>
    <w:p>
      <w:pPr>
        <w:ind w:left="660" w:right="8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 including instability related to the United Kingdom’s recent exit from the European Union and the corresponding impact on its ongoing legal, political, and economic relationship with the European Union and the COVID-19 pandemic;</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regulatory requirements, including, but not limited to data privacy, data protection and data security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and costs of staffing, managing and potentially reorganizing foreign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140" w:right="359" w:bottom="1440" w:gutter="0" w:footer="0" w:header="0"/>
        </w:sectPr>
      </w:pPr>
    </w:p>
    <w:bookmarkStart w:id="44" w:name="page45"/>
    <w:bookmarkEnd w:id="4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uncertainty and limitation of protection for intellectual property rights in some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of compliance with foreign laws and regulations and the risks and costs of non-compliance with such laws and regulations;</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differing labor regulations in jurisdictions where labor laws are generally more advantageous to employees as compared to the U.S., including deemed hourly wage and overtime regulations in these locations;</w:t>
      </w:r>
    </w:p>
    <w:p>
      <w:pPr>
        <w:ind w:left="660" w:right="8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of compliance with U.S. laws and regulations for foreign operations, including the FCPA, import and export control laws, tariffs, trade barriers, economic sanctions and other regulatory or contractual limitations on our ability to sell or provide our solutions in certain foreign markets, and the risks and costs of non-compliance;</w:t>
      </w:r>
    </w:p>
    <w:p>
      <w:pPr>
        <w:spacing w:after="0" w:line="1"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requirements to comply with foreign privacy, data protection and information security laws and regulations and the risks and costs of noncompliance;</w:t>
      </w:r>
    </w:p>
    <w:p>
      <w:pPr>
        <w:ind w:left="660" w:right="6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for political unrest, pandemics, acts of terrorism, hostilities or war;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associated with language localization of our solutions;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of compliance with multiple and possibly overlapping tax structures.</w:t>
      </w:r>
    </w:p>
    <w:p>
      <w:pPr>
        <w:spacing w:after="0" w:line="225" w:lineRule="exact"/>
        <w:rPr>
          <w:sz w:val="20"/>
          <w:szCs w:val="20"/>
          <w:color w:val="auto"/>
        </w:rPr>
      </w:pPr>
    </w:p>
    <w:p>
      <w:pPr>
        <w:jc w:val="both"/>
        <w:ind w:right="280" w:firstLine="324"/>
        <w:spacing w:after="0" w:line="250" w:lineRule="auto"/>
        <w:rPr>
          <w:sz w:val="20"/>
          <w:szCs w:val="20"/>
          <w:color w:val="auto"/>
        </w:rPr>
      </w:pPr>
      <w:r>
        <w:rPr>
          <w:rFonts w:ascii="Arial" w:cs="Arial" w:eastAsia="Arial" w:hAnsi="Arial"/>
          <w:sz w:val="18"/>
          <w:szCs w:val="18"/>
          <w:color w:val="auto"/>
        </w:rPr>
        <w:t>Our business, including the sales of our solutions and professional services by us and our channel partners, may be subject to foreign governmental regulations, which vary substantially from country to country and change from time to time. Our failure, or the failure by our channel partners, to comply with these regulations could adversely affect our business. Further, in many foreign countries it is common for others to engage in business practices that are prohibited by our internal policies and procedures or U.S. regulations applicable to us.</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Although we have implemented policies and procedures designed to comply with these laws and policies, there can be no assurance that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expansion and operations, our business and operating results could be adversely affected.</w:t>
      </w:r>
    </w:p>
    <w:p>
      <w:pPr>
        <w:spacing w:after="0" w:line="186" w:lineRule="exact"/>
        <w:rPr>
          <w:sz w:val="20"/>
          <w:szCs w:val="20"/>
          <w:color w:val="auto"/>
        </w:rPr>
      </w:pPr>
    </w:p>
    <w:p>
      <w:pPr>
        <w:ind w:right="620" w:firstLine="324"/>
        <w:spacing w:after="0" w:line="287" w:lineRule="auto"/>
        <w:rPr>
          <w:sz w:val="20"/>
          <w:szCs w:val="20"/>
          <w:color w:val="auto"/>
        </w:rPr>
      </w:pPr>
      <w:r>
        <w:rPr>
          <w:rFonts w:ascii="Arial" w:cs="Arial" w:eastAsia="Arial" w:hAnsi="Arial"/>
          <w:sz w:val="18"/>
          <w:szCs w:val="18"/>
          <w:b w:val="1"/>
          <w:bCs w:val="1"/>
          <w:i w:val="1"/>
          <w:iCs w:val="1"/>
          <w:color w:val="auto"/>
        </w:rPr>
        <w:t>We rely on the performance of highly skilled personnel, including senior management and our engineering, professional services, sales and technology professionals.</w:t>
      </w:r>
    </w:p>
    <w:p>
      <w:pPr>
        <w:spacing w:after="0" w:line="175"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believe our success has depended, and continues to depend, on the efforts and talents of our senior management team and our highly skilled team members, including our sales personnel, professional services personnel and software engineers. We do not maintain key man insurance on any of our executive officers or key employees. From time to time, there may be changes in our senior management team resulting from the termination or departure of our executive officers and key employees. Our senior management and key employees are employed on an at-will basis, which means that they could terminate their employment with us at any time. The loss of any of our senior management or key employees could adversely affect our ability to build on the efforts they have undertaken and to execute our business plan, and we may not be able to find adequate replacements. We cannot ensure that we will be able to retain the services of any members of our senior management or other key employees.</w:t>
      </w:r>
    </w:p>
    <w:p>
      <w:pPr>
        <w:spacing w:after="0" w:line="205"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Our ability to successfully pursue our growth strategy also depends on our ability to attract, motivate and retain our personnel. Competition for well-qualified employees in all aspects of our business, including sales personnel, professional services personnel and software engineers, is intense. Our recruiting efforts focus on elite universities and our primary recruiting competition are well-known, high-paying firms. Our continued ability to compete effectively depends on our ability to attract new employees and to retain and motivate existing employees. If we do not succeed in attracting well-qualified employees or retaining and motivating existing employees, our business would be adversely affected.</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must effectively develop and expand our sales and marketing capabilities.</w:t>
      </w:r>
    </w:p>
    <w:p>
      <w:pPr>
        <w:spacing w:after="0" w:line="247"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Our ability to increase our customer base and achieve broader market acceptance of our Cyber Exposure solutions will depend to a significant extent on our ability to expand our sales and marketing operations. We plan to continue expanding our sales force and our third-party channel partner network of distributors and resellers both domestically and internationally; however, there is no assurance that we will be successful in attracting and retaining</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0" w:right="339" w:bottom="1440" w:gutter="0" w:footer="0" w:header="0"/>
        </w:sectPr>
      </w:pPr>
    </w:p>
    <w:bookmarkStart w:id="45" w:name="page46"/>
    <w:bookmarkEnd w:id="45"/>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talented sales personnel or strategic partners or that any new sales personnel or strategic partners will be able to achieve productivity in a reasonable period of time or at all. We also plan to dedicate significant resources to sales and marketing programs, including through electronic marketing campaigns and, when deemed safe to do so, trade event sponsorship and participation. All of these efforts will require us to invest significant financial and other resources and our business will be harmed if our efforts do not generate a correspondingly significant increase in revenue.</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must offer high-quality support.</w:t>
      </w:r>
    </w:p>
    <w:p>
      <w:pPr>
        <w:spacing w:after="0" w:line="247"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Our customers rely on our personnel for support of our enterprise platform. High-quality support is important for the renewal of our agreements with existing customers and to our existing customers expanding the number of IP addresses or IT assets under their subscriptions. The importance of high-quality support will increase as we expand our business and pursue new customers. If we do not help our customers quickly resolve issues and provide effective ongoing support, our ability to sell new software to existing and new customers would suffer and our reputation with existing or potential customers would be harmed.</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growth depends in part on the success of our strategic relationships with third parties.</w:t>
      </w:r>
    </w:p>
    <w:p>
      <w:pPr>
        <w:spacing w:after="0" w:line="247"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In order to grow our business, we anticipate that we will continue to depend on relationships with strategic partners to provide broader customer coverage and solution delivery capabilities. We depend on partnerships with market leading technology companies to maintain and expand our Cyber Exposure ecosystem by integrating third party data into our platform. Identifying partners, and negotiating and documenting relationships with them, requires significant time and resources. Our agreements with our strategic partners generally are non-exclusive and do not prohibit them from working with our competitors or offering competing solutions. Our competitors may be effective in providing incentives to third parties to favor their products or services or to prevent or reduce subscriptions to our services. If our partners choose to place greater emphasis on products of their own or those offered by our competitors or do not effectively market and sell our product, our ability to grow our business and sell software and professional services may be adversely affected. In addition, acquisitions of our partners by our competitors could result in a decrease in the number of our current and potential customers, as our partners may no longer facilitate the adoption of our solutions by potential customers. We also license third-party threat data that is used in our solutions in order to deliver our offerings. In the future, this data may not be available to us on commercially reasonable terms, or at all. Any loss of the right to use any of this data could result in delays in the provisioning of our offerings until equivalent data is either developed by us, or, if available, is identified, obtained and integrated, which could harm our business.</w:t>
      </w:r>
    </w:p>
    <w:p>
      <w:pPr>
        <w:spacing w:after="0" w:line="210" w:lineRule="exact"/>
        <w:rPr>
          <w:sz w:val="20"/>
          <w:szCs w:val="20"/>
          <w:color w:val="auto"/>
        </w:rPr>
      </w:pPr>
    </w:p>
    <w:p>
      <w:pPr>
        <w:ind w:right="280" w:firstLine="324"/>
        <w:spacing w:after="0" w:line="256" w:lineRule="auto"/>
        <w:rPr>
          <w:sz w:val="20"/>
          <w:szCs w:val="20"/>
          <w:color w:val="auto"/>
        </w:rPr>
      </w:pPr>
      <w:r>
        <w:rPr>
          <w:rFonts w:ascii="Arial" w:cs="Arial" w:eastAsia="Arial" w:hAnsi="Arial"/>
          <w:sz w:val="18"/>
          <w:szCs w:val="18"/>
          <w:color w:val="auto"/>
        </w:rPr>
        <w:t>If we are unsuccessful in establishing or maintaining our relationships with third parties, our ability to compete in the marketplace or to grow our revenue could be impaired and our operating results may suffer. Even if we are successful, we cannot assure you that these relationships will result in increased customer usage of our solutions or increased revenue.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corporate headquarters are located in Columbia, Maryland. The area around Washington, D.C. could be subject to terrorist attacks. Additionally, we rely on our network and third-party infrastructure and enterprise applications, internal technology systems and our website for our development, marketing, operational support, hosted services and sales activities. Our employees are temporarily working remotely due to the COVID-19 pandemic, which may post additional security risks. In the event of a major hurricane, earthquake or catastrophic event such as fire, power loss, telecommunications failure, cyberattack, war or terrorist attack, or epidemic or pandemic, such as the COVID-19 pandemic, that impacts our corporate headquarters, other facilities, or off-premises infrastructure, we may be unable to continue our operations and may endure system interruptions, reputational harm, delays in our software development, lengthy interruptions in our services, breaches of data security and loss of critical data, all of which could have an adverse effect on our future operating results.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and future acquisitions could disrupt our business and adversely affect our business operations and financial results.</w:t>
      </w:r>
    </w:p>
    <w:p>
      <w:pPr>
        <w:spacing w:after="0" w:line="247"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We have in the past acquired products, technologies and businesses from other parties, such as our recent acquisition of Indegy, Ltd. in December 2019, and we may choose to expand our current business by acquiring additional businesses or technologies in the future. Acquisitions, including the Indegy acquisition, involve many risks, including the following:</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0" w:right="339" w:bottom="1440" w:gutter="0" w:footer="0" w:header="0"/>
        </w:sectPr>
      </w:pPr>
    </w:p>
    <w:bookmarkStart w:id="46" w:name="page47"/>
    <w:bookmarkEnd w:id="4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left="660" w:right="14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acquisition may negatively affect our financial results because it may require us to incur charges or assume substantial debt or other liabilities, may cause adverse tax consequences or unfavorable accounting treatment, may expose us to claims and disputes by third parties, including intellectual property claims and disputes, or may not generate sufficient financial return to offset additional costs and expenses related to the acquisition;</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encounter difficulties or unforeseen expenditures in integrating the business, technologies, products, personnel or operations of any company that we acquire, particularly if key personnel of the acquired company decide not to work for us;</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acquisition may disrupt our ongoing business, divert resources, increase our expenses and distract our management;</w:t>
      </w:r>
    </w:p>
    <w:p>
      <w:pPr>
        <w:spacing w:after="0" w:line="9" w:lineRule="exact"/>
        <w:rPr>
          <w:rFonts w:ascii="Arial" w:cs="Arial" w:eastAsia="Arial" w:hAnsi="Arial"/>
          <w:sz w:val="18"/>
          <w:szCs w:val="18"/>
          <w:color w:val="auto"/>
        </w:rPr>
      </w:pPr>
    </w:p>
    <w:p>
      <w:pPr>
        <w:ind w:left="660" w:right="50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acquisition may result in a delay or reduction of customer purchases for both us and the company acquired due to customer uncertainty about continuity and effectiveness of service from either company;</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encounter difficulties in, or may be unable to, successfully sell any acquired solutions;</w:t>
      </w:r>
    </w:p>
    <w:p>
      <w:pPr>
        <w:spacing w:after="0" w:line="9" w:lineRule="exact"/>
        <w:rPr>
          <w:rFonts w:ascii="Arial" w:cs="Arial" w:eastAsia="Arial" w:hAnsi="Arial"/>
          <w:sz w:val="18"/>
          <w:szCs w:val="18"/>
          <w:color w:val="auto"/>
        </w:rPr>
      </w:pPr>
    </w:p>
    <w:p>
      <w:pPr>
        <w:ind w:left="660" w:right="4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acquisition may involve the entry into geographic or business markets in which we have little or no prior experience or where competitors have stronger market positions;</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use of cash to pay for an acquisition would limit other potential uses for our cash; and</w:t>
      </w:r>
    </w:p>
    <w:p>
      <w:pPr>
        <w:spacing w:after="0" w:line="9" w:lineRule="exact"/>
        <w:rPr>
          <w:rFonts w:ascii="Arial" w:cs="Arial" w:eastAsia="Arial" w:hAnsi="Arial"/>
          <w:sz w:val="18"/>
          <w:szCs w:val="18"/>
          <w:color w:val="auto"/>
        </w:rPr>
      </w:pPr>
    </w:p>
    <w:p>
      <w:pPr>
        <w:ind w:left="660" w:right="240" w:hanging="328"/>
        <w:spacing w:after="0" w:line="261"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we incur debt to fund such acquisition, such debt may subject us to material restrictions on our ability to conduct our business as well as financial maintenance covenants.</w:t>
      </w:r>
    </w:p>
    <w:p>
      <w:pPr>
        <w:spacing w:after="0" w:line="198"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occurrence of any of these risks could have a material adverse effect on our business operations and financial results. In addition, we may only be able to conduct limited due diligence on an acquired company’s operations. Following an acquisition, we may be subject to unforeseen liabilities arising from an acquired company’s past or present operations and these liabilities may be greater than the warranty and indemnity limitations that we negotiate. Any unforeseen liability that is greater than these warranty and indemnity limitations could have a negative impact on our financial condition.</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require additional capital to support business growth, and this capital might not be available on acceptable terms, if at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w:t>
      </w:r>
    </w:p>
    <w:p>
      <w:pPr>
        <w:spacing w:after="0" w:line="22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expect that our existing cash and cash equivalents will be sufficient to meet our anticipated cash needs for working capital and capital expenditures for at least the next 12 months. However, we intend to continue to make investments to support our business growth and may require additional funds to respond to business challenges, including the need to develop new features or enhance our product, improve our operating infrastructure or acquire complementary businesses and technologies. Accordingly, we may need to engage in equity or debt financings to secure additional funds. If we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 Our loan and security agreement with Silicon Valley Bank includes restrictive covenants relating to our capital raising activities and other financial and operational matters, which may make it more difficult for us to obtain additional capital and to pursue business opportunities, including potential acquisitions, and any debt financing that we secure in the future could have similar restrictive covenants.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impaired, and our business may be adversely affected.</w:t>
      </w:r>
    </w:p>
    <w:p>
      <w:pPr>
        <w:spacing w:after="0" w:line="188"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b w:val="1"/>
          <w:bCs w:val="1"/>
          <w:i w:val="1"/>
          <w:iCs w:val="1"/>
          <w:color w:val="auto"/>
        </w:rPr>
        <w:t>The nature of our business requires the application of complex accounting rules and regulations. Significant changes in current principles will affect our consolidated financial statements and changes in financial accounting standards or practices may cause adverse, unexpected financial reporting fluctuations and harm our results of operations.</w:t>
      </w:r>
    </w:p>
    <w:p>
      <w:pPr>
        <w:spacing w:after="0" w:line="193"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accounting rules and regulations that we must comply with are complex and subject to interpretation by the Financial Accounting Standards Board, the Securities and Exchange Commission, or SEC, and various bodies formed to promulgate and interpret appropriate accounting principles. In addition, many companies’ accounting disclosures are being subjected to heightened scrutiny by regulators and the public. Further, the accounting rules and regulations are continually changing in ways that could impact our financial statements.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40" w:right="339" w:bottom="1440" w:gutter="0" w:footer="0" w:header="0"/>
        </w:sectPr>
      </w:pPr>
    </w:p>
    <w:bookmarkStart w:id="47" w:name="page48"/>
    <w:bookmarkEnd w:id="4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ind w:right="180" w:firstLine="324"/>
        <w:spacing w:after="0" w:line="287"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7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in the United States, or U.S.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the determination of the estimated economic life of perpetual licenses for revenue recognition, the estimated period of benefit for deferred commissions, useful lives of long-lived assets, the valuation of stock-based compensation, the incremental borrowing rate for operating leases, and the valuation of deferred tax assets.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spacing w:after="0" w:line="211" w:lineRule="exact"/>
        <w:rPr>
          <w:sz w:val="20"/>
          <w:szCs w:val="20"/>
          <w:color w:val="auto"/>
        </w:rPr>
      </w:pPr>
    </w:p>
    <w:p>
      <w:pPr>
        <w:ind w:right="240" w:firstLine="324"/>
        <w:spacing w:after="0" w:line="252" w:lineRule="auto"/>
        <w:rPr>
          <w:sz w:val="20"/>
          <w:szCs w:val="20"/>
          <w:color w:val="auto"/>
        </w:rPr>
      </w:pPr>
      <w:r>
        <w:rPr>
          <w:rFonts w:ascii="Arial" w:cs="Arial" w:eastAsia="Arial" w:hAnsi="Arial"/>
          <w:sz w:val="18"/>
          <w:szCs w:val="18"/>
          <w:color w:val="auto"/>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 or cause an adverse deviation from our revenue and operating profit target, which may negatively impact our financial results.</w:t>
      </w:r>
    </w:p>
    <w:p>
      <w:pPr>
        <w:spacing w:after="0" w:line="186" w:lineRule="exact"/>
        <w:rPr>
          <w:sz w:val="20"/>
          <w:szCs w:val="20"/>
          <w:color w:val="auto"/>
        </w:rPr>
      </w:pPr>
    </w:p>
    <w:p>
      <w:pPr>
        <w:ind w:right="520" w:firstLine="324"/>
        <w:spacing w:after="0" w:line="287" w:lineRule="auto"/>
        <w:rPr>
          <w:sz w:val="20"/>
          <w:szCs w:val="20"/>
          <w:color w:val="auto"/>
        </w:rPr>
      </w:pPr>
      <w:r>
        <w:rPr>
          <w:rFonts w:ascii="Arial" w:cs="Arial" w:eastAsia="Arial" w:hAnsi="Arial"/>
          <w:sz w:val="18"/>
          <w:szCs w:val="18"/>
          <w:b w:val="1"/>
          <w:bCs w:val="1"/>
          <w:i w:val="1"/>
          <w:iCs w:val="1"/>
          <w:color w:val="auto"/>
        </w:rPr>
        <w:t>Our operating results may be negatively affected if we are required to pay additional state sales tax, value added, or other transaction taxes, and we could be subject to liability with respect to all or a portion of past or future sales.</w:t>
      </w:r>
    </w:p>
    <w:p>
      <w:pPr>
        <w:spacing w:after="0" w:line="175"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We currently collect and remit sales and use, value added and other transaction taxes in certain of the jurisdictions where we do business based on our assessment of the amount of taxes owed by us in such jurisdictions. However, in some jurisdictions in which we do business, we do not believe that we owe such taxes, and therefore we currently do not collect and remit such taxes in those jurisdictions or record contingent tax liabilities in respect of those jurisdictions.</w:t>
      </w:r>
    </w:p>
    <w:p>
      <w:pPr>
        <w:spacing w:after="0" w:line="204"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Further, due to uncertainty in the application and interpretation of applicable tax laws in various jurisdictions, we may be exposed to sales and use, value added or other transaction tax liability. A successful assertion that we are required to pay additional taxes in connection with sales of our solutions, or the imposition of new laws or regulations requiring the payment of additional taxes, would create increased costs and administrative burdens for us. If we are subject to additional taxes and determine to offset such increased costs by collecting and remitting sales taxes from our customers, or otherwise passing those costs through to our customers, companies may be discouraged from using our solutions. Any increased tax burden may decrease our ability or willingness to compete in relatively burdensome tax jurisdictions, result in substantial tax liabilities related to past sales or otherwise harm our business and operating results.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24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As of December 31, 2019, we had federal, state, and foreign net operating loss carryforwards, or NOLs, of $186.0 million, $ 132.0 million, and $163.6 million, respectively, available to offset future taxable income, some of which begin to expire in 2030. Federal NOLs incurred in taxable years beginning after December 31, 2017 can be carried forward indefinitely, but the deductibility of federal NOLs in taxable years beginning after December 31, 2020, is subject to certain limitations. A lack of future taxable income would adversely affect our ability to utilize these NOLs before they expire.</w:t>
      </w:r>
    </w:p>
    <w:p>
      <w:pPr>
        <w:spacing w:after="0" w:line="205" w:lineRule="exact"/>
        <w:rPr>
          <w:sz w:val="20"/>
          <w:szCs w:val="20"/>
          <w:color w:val="auto"/>
        </w:rPr>
      </w:pPr>
    </w:p>
    <w:p>
      <w:pPr>
        <w:jc w:val="both"/>
        <w:ind w:right="60" w:firstLine="324"/>
        <w:spacing w:after="0" w:line="254" w:lineRule="auto"/>
        <w:rPr>
          <w:sz w:val="20"/>
          <w:szCs w:val="20"/>
          <w:color w:val="auto"/>
        </w:rPr>
      </w:pPr>
      <w:r>
        <w:rPr>
          <w:rFonts w:ascii="Arial" w:cs="Arial" w:eastAsia="Arial" w:hAnsi="Arial"/>
          <w:sz w:val="18"/>
          <w:szCs w:val="18"/>
          <w:color w:val="auto"/>
        </w:rPr>
        <w:t>In addition, under the provisions of the Internal Revenue Code of 1986, as amended, or the Internal Revenue Code, substantial changes in our ownership may limit the amount of pre-change NOLs that can be utilized annually in the future to offset taxable income. Section 382 of the Internal Revenue Code imposes limitations on a company’s ability to use its NOLs if one or more stockholders or groups of stockholders that own at least 5% of the company’s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0" w:right="339" w:bottom="1440" w:gutter="0" w:footer="0" w:header="0"/>
        </w:sectPr>
      </w:pPr>
    </w:p>
    <w:bookmarkStart w:id="48" w:name="page49"/>
    <w:bookmarkEnd w:id="4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stock increase their ownership by more than 50 percentage points over their lowest ownership percentage within a rolling three-year period. Similar rules may apply under state tax laws. Based upon an analysis as of December 31, 2019, we determined that we do not expect these limitations to impair our ability to use our NOLs prior to expiration. However, if changes in our ownership occurred after such date, or occur in the future, our ability to use our NOLs may be further limited. Subsequent statutory or regulatory changes in respect of the utilization of NOLs for federal or state purposes, such as suspensions on the use of NOLs or limitations on the deductibility of NOLs carried forward, or other unforeseen reasons, may result in our existing NOLs expiring or otherwise being unavailable to offset future income tax liabilities. For these reasons, we may not be able to utilize a material portion of the NOLs, even if we achieve profitability.</w:t>
      </w:r>
    </w:p>
    <w:p>
      <w:pPr>
        <w:spacing w:after="0" w:line="185" w:lineRule="exact"/>
        <w:rPr>
          <w:sz w:val="20"/>
          <w:szCs w:val="20"/>
          <w:color w:val="auto"/>
        </w:rPr>
      </w:pPr>
    </w:p>
    <w:p>
      <w:pPr>
        <w:ind w:right="60" w:firstLine="324"/>
        <w:spacing w:after="0" w:line="287" w:lineRule="auto"/>
        <w:rPr>
          <w:sz w:val="20"/>
          <w:szCs w:val="20"/>
          <w:color w:val="auto"/>
        </w:rPr>
      </w:pPr>
      <w:r>
        <w:rPr>
          <w:rFonts w:ascii="Arial" w:cs="Arial" w:eastAsia="Arial" w:hAnsi="Arial"/>
          <w:sz w:val="18"/>
          <w:szCs w:val="18"/>
          <w:b w:val="1"/>
          <w:bCs w:val="1"/>
          <w:i w:val="1"/>
          <w:iCs w:val="1"/>
          <w:color w:val="auto"/>
        </w:rPr>
        <w:t>Uncertainties in the interpretation and application of the 2017 Tax Cuts and Jobs Act could materially affect our tax obligations and effective tax rate.</w:t>
      </w:r>
    </w:p>
    <w:p>
      <w:pPr>
        <w:spacing w:after="0" w:line="175"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Forecasts of our income tax position and effective tax rate for financial accounting purposes are complex and subject to uncertainty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our assessment of the need for valuation allowances, or effective tax rates by jurisdiction is different than those estimated, our actual tax rate could be materially different than forecasted, which could have a material impact on our results of business, financial condition and results of operations.</w:t>
      </w:r>
    </w:p>
    <w:p>
      <w:pPr>
        <w:spacing w:after="0" w:line="212"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U.S. Federal tax reform commonly referred to as the Tax Cuts and Jobs Act, or TCJA, enacted many significant changes to the U.S. tax laws, the consequences of which have not yet been fully determined. Changes in corporate tax rates, the realization of net deferred tax assets relating to our U.S. operations, the taxation of foreign earnings, and the deductibility of expenses contained in the TCJA or other tax reform legislation could have a material impact on the value of our deferred tax assets, could result in significant one-time charges in the current or future taxable years, and could increase our future U.S. tax expense. The foregoing items, as well as any future changes in tax laws, could have a material adverse effect on our business, cash flow, financial condition or results of operations. In addition, it is uncertain if and to what extent various states will conform to the newly enacted federal tax legislation. We continue to examine the impact that the TCJA may have on our business. The impact of this tax reform on us and on holders of our common stock is uncertain and could materially impact our financial results.</w:t>
      </w:r>
    </w:p>
    <w:p>
      <w:pPr>
        <w:spacing w:after="0" w:line="190"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b w:val="1"/>
          <w:bCs w:val="1"/>
          <w:i w:val="1"/>
          <w:iCs w:val="1"/>
          <w:color w:val="auto"/>
        </w:rPr>
        <w:t>We are subject to anti-corruption laws, anti-bribery and similar laws with respect to our domestic and international operations, and non-compliance with such laws can subject us to criminal and/or civil liability and materially harm our business and reputation.</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are subject to the anti-bribery laws of the jurisdictions in which we operate. This includes the FCPA, the U.S. domestic bribery statute contained in 18 U.S.C. § 201, the U.S. Travel Act, the U.K. Bribery Act 2010, and other anti-corruption laws in countries in which we conduct activities. Anti-corruption laws are interpreted broadly and prohibit our company from authorizing, offering, or providing, directly or indirectly, improper payments or benefits in order to gain or maintain business, including payments to recipients in the public or private sector. We use third-party law firms, accountants, and other representatives for regulatory compliance, sales, and other purposes in several countries. We sell directly and indirectly, via third-party representatives, to the U.S. and non-U.S. customers, both private and government sectors, and our employees and third-party representatives interact with these customers who may include government officials. We can be held liable for the corrupt or other illegal activities of these third-party representatives, our employees, contractors, and other agents, even if we do not explicitly authorize such activities. Noncompliance with these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or investigations are launched, or governmental or other sanctions are imposed, or if we do not prevail in any possible civil or criminal litigation, our reputation, business, results of operations and financial condition could be materially harmed. In addition, responding to any action will likely result in a materially significant diversion of management’s attention and resources and significant defense costs and other professional fees. Enforcement actions and sanctions could further harm our business, results of operations, and financial condition. Moreover, as an issuer of securities, we also are subject to the accounting and internal controls provisions of the FCPA. These provisions require us to maintain accurate books and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320" w:top="140" w:right="359" w:bottom="1440" w:gutter="0" w:footer="0" w:header="0"/>
        </w:sectPr>
      </w:pPr>
    </w:p>
    <w:bookmarkStart w:id="49" w:name="page50"/>
    <w:bookmarkEnd w:id="4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records and a system of internal controls sufficient to detect and prevent corrupt conduct. Failure to abide by these provisions may have an adverse effect on our business, operations or financial condition.</w:t>
      </w:r>
    </w:p>
    <w:p>
      <w:pPr>
        <w:spacing w:after="0" w:line="176"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b w:val="1"/>
          <w:bCs w:val="1"/>
          <w:i w:val="1"/>
          <w:iCs w:val="1"/>
          <w:color w:val="auto"/>
        </w:rPr>
        <w:t>We are subject to governmental export and import controls and economic and trade sanctions that could impair our ability to conduct business in international markets and subject us to liability if we are not in compliance with applicable laws and regulations.</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United States and other countries maintain and administer export and import laws and regulations. Our products are subject to U.S. export control and import laws and regulations, including the U.S. Export Administration Regulations, U.S. Customs regulations, and various economic and trade sanctions administered by the U.S. Treasury Department’s Office of Foreign Assets Control. We are required to comply with these laws and regulations. If we fail to comply with such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 Obtaining the necessary authorizations, including any required license, for a particular sale may be time-consuming, is not guaranteed and may result in the delay or loss of sales opportunities. In addition, changes in our solutions, or changes in applicable export or import laws and regulations may create delays in the introduction and sale of our products in international markets or, in some cases, prevent the export or import of our solutions to certain countries, governments or persons altogether. Any change in export or import laws and regulations or economic or trade sanctions, shift in the enforcement or scope of existing laws and regulations, or change in the countries, governments, persons or technologies targeted by such laws and regulations could also result in decreased use of our products, or in our decreased ability to export or sell our products to existing or potential customers. For example, the current U.S. administration has been critical of existing trade agreements and may impose more stringent export and import controls. Any decreased use of our products or limitation on our ability to export or sell our products would likely adversely affect our business, financial condition, and results of operations.</w:t>
      </w:r>
    </w:p>
    <w:p>
      <w:pPr>
        <w:spacing w:after="0" w:line="209"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Furthermore, we incorporate encryption technology into certain of our solutions. Various countries regulate the import of certain encryption technology, including import permitting and licensing requirements, and have enacted laws that could limit our ability to distribute our solutions or could limit our customers’ ability to implement our solutions in those countries. Encrypted products and the underlying technology may also be subject to export control restrictions. Governmental regulation of encryption technology and regulation of imports or exports of encryption solutions, or our failure to obtain required import or export approval for our solutions, could harm our international sales and adversely affect our revenue. Compliance with applicable laws and regulations regarding the export and import of our solutions, including with respect to new solutions or changes in existing solutions, may create delays in the introduction of our solutions in international markets, prevent our customers with international operations from deploying our solutions globally or, in some cases, could prevent the export or import of our solutions to certain countries, governments, entities or persons altogether.</w:t>
      </w:r>
    </w:p>
    <w:p>
      <w:pPr>
        <w:spacing w:after="0" w:line="212"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Moreover, U.S. export control laws and economic sanctions programs prohibit the shipment of certain products and services to countries, governments and persons that are subject to U.S. economic embargoes and trade sanctions. Any violations of such economic embargoes and trade sanction regulations could have negative consequences, including government investigations, penalties and reputational harm.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 Data Collection and Intellectual Property</w:t>
      </w:r>
    </w:p>
    <w:p>
      <w:pPr>
        <w:spacing w:after="0" w:line="225" w:lineRule="exact"/>
        <w:rPr>
          <w:sz w:val="20"/>
          <w:szCs w:val="20"/>
          <w:color w:val="auto"/>
        </w:rPr>
      </w:pPr>
    </w:p>
    <w:p>
      <w:pPr>
        <w:ind w:right="480" w:firstLine="324"/>
        <w:spacing w:after="0" w:line="287" w:lineRule="auto"/>
        <w:rPr>
          <w:sz w:val="20"/>
          <w:szCs w:val="20"/>
          <w:color w:val="auto"/>
        </w:rPr>
      </w:pPr>
      <w:r>
        <w:rPr>
          <w:rFonts w:ascii="Arial" w:cs="Arial" w:eastAsia="Arial" w:hAnsi="Arial"/>
          <w:sz w:val="18"/>
          <w:szCs w:val="18"/>
          <w:b w:val="1"/>
          <w:bCs w:val="1"/>
          <w:i w:val="1"/>
          <w:iCs w:val="1"/>
          <w:color w:val="auto"/>
        </w:rPr>
        <w:t>Our business could be adversely affected if our employees cannot obtain and maintain required security clearances or we cannot establish and maintain a required facility security clearance.</w:t>
      </w:r>
    </w:p>
    <w:p>
      <w:pPr>
        <w:spacing w:after="0" w:line="175"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Certain U.S. government contracts may require our employees to maintain various levels of security clearances, and may require us to maintain a facility security clearance, to comply with Department of Defense, or DoD, requirements. The DoD has strict security clearance requirements for personnel who perform work in support of classified programs. Obtaining and maintaining a facility clearance and security clearances for employees can be a difficult, sometimes lengthy process. If we do not have employees with the appropriate security clearances, then a customer requiring classified work could terminate an existing contract or decide not to renew the contract upon its expiration. To the extent we are not able to obtain or maintain a facility security clearance, we may not be able to bid on or win new classified contracts, and existing contracts requiring a facility security clearance could be terminated.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0" w:right="339" w:bottom="1440" w:gutter="0" w:footer="0" w:header="0"/>
        </w:sectPr>
      </w:pPr>
    </w:p>
    <w:bookmarkStart w:id="50" w:name="page51"/>
    <w:bookmarkEnd w:id="5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ind w:right="320" w:firstLine="324"/>
        <w:spacing w:after="0" w:line="287" w:lineRule="auto"/>
        <w:rPr>
          <w:sz w:val="20"/>
          <w:szCs w:val="20"/>
          <w:color w:val="auto"/>
        </w:rPr>
      </w:pPr>
      <w:r>
        <w:rPr>
          <w:rFonts w:ascii="Arial" w:cs="Arial" w:eastAsia="Arial" w:hAnsi="Arial"/>
          <w:sz w:val="18"/>
          <w:szCs w:val="18"/>
          <w:b w:val="1"/>
          <w:bCs w:val="1"/>
          <w:i w:val="1"/>
          <w:iCs w:val="1"/>
          <w:color w:val="auto"/>
        </w:rPr>
        <w:t>Any failure to protect our proprietary technology and intellectual property rights could substantially harm our business and operating results.</w:t>
      </w:r>
    </w:p>
    <w:p>
      <w:pPr>
        <w:spacing w:after="0" w:line="175" w:lineRule="exact"/>
        <w:rPr>
          <w:sz w:val="20"/>
          <w:szCs w:val="20"/>
          <w:color w:val="auto"/>
        </w:rPr>
      </w:pPr>
    </w:p>
    <w:p>
      <w:pPr>
        <w:ind w:right="380" w:firstLine="324"/>
        <w:spacing w:after="0" w:line="254" w:lineRule="auto"/>
        <w:rPr>
          <w:sz w:val="20"/>
          <w:szCs w:val="20"/>
          <w:color w:val="auto"/>
        </w:rPr>
      </w:pPr>
      <w:r>
        <w:rPr>
          <w:rFonts w:ascii="Arial" w:cs="Arial" w:eastAsia="Arial" w:hAnsi="Arial"/>
          <w:sz w:val="18"/>
          <w:szCs w:val="18"/>
          <w:color w:val="auto"/>
        </w:rPr>
        <w:t>Our success and ability to compete depend in part on our ability to protect our proprietary technology and intellectual property. To safeguard these rights, we rely on a combination of patent, trademark, copyright and trade secret laws and contractual protections in the United States and other jurisdictions, all of which provide only limited protection and may not now or in the future provide us with a competitive advantage.</w:t>
      </w:r>
    </w:p>
    <w:p>
      <w:pPr>
        <w:spacing w:after="0" w:line="204"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As of March 31, 2020, we had 20 issued patents and eight patent applications pending in the United States relating to our technology. We cannot assure you that any patents will issue from any patent applications, that patents that issue from such applications will give us the protection that we seek or that any such patents will not be challenged, invalidated or circumvented. Any patents that may issue in the future from our pending or future patent applications may not provide sufficiently broad protection and may not be enforceable in actions against alleged infringers. Obtaining and enforcing software patents in the United States is becoming increasingly challenging. Any patents we have obtained or may obtain in the future may be found to be invalid or unenforceable in light of recent and future changes in the law. We have registered the “Tenable,” “Nessus,” “Tenable.io” and "Lumin" names and our Tenable logo in the United States and certain other countries. We have registrations and/or pending applications for additional marks in the United States; however, we cannot assure you that any future trademark registrations will be issued for pending or future applications or that any registered trademarks will be enforceable or provide adequate protection of our proprietary rights. While we have copyrights in our software we do not typically register such copyrights with the Copyright Office. This failure to register the copyrights in our software may preclude us from obtaining statutory damages for infringement under certain circumstances. We also license software from third parties for integration into our software, including open source software and other software available on commercially reasonable terms. We cannot assure you that such third parties will maintain such software or continue to make it available.</w:t>
      </w:r>
    </w:p>
    <w:p>
      <w:pPr>
        <w:spacing w:after="0" w:line="209"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In order to protect our unpatented proprietary technologies and processes, we rely on trade secret laws and confidentiality and invention assignment agreements with our employees, consultants, strategic partners, vendors and others. Despite our efforts to protect our proprietary technology and trade secrets, unauthorized parties may attempt to misappropriate, copy, reverse engineer or otherwise obtain and use them. In addition, others may independently discover our trade secrets, in which case we would not be able to assert trade secret rights, or develop similar technologies and processes. Further, several agreements may give customers limited rights to access portions of our proprietary source code, and the contractual provisions that we enter into may not prevent unauthorized use or disclosure of our proprietary technology or intellectual property and may not provide an adequate remedy in the event of unauthorized use or disclosure of our proprietary technology or intellectual property rights. Moreover, policing unauthorized use of our technologies, trade secrets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To the extent that we expand our activities outside of the United States, our exposure to unauthorized copying and use of our solutions and proprietary information may increase. We may be unable to determine the extent of any unauthorized use or infringement of our solutions, technologies or intellectual property rights.</w:t>
      </w:r>
    </w:p>
    <w:p>
      <w:pPr>
        <w:spacing w:after="0" w:line="210"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There can be no assurance that the steps that we take will be adequate to protect our proprietary technology and intellectual property, that others will not develop or patent similar or superior technologies, solutions or services, or that our trademarks, patents, and other intellectual property will not be challenged, invalidated or circumvented by others. Furthermore, effective trademark, patent, copyright, and trade secret protection may not be available in every country in which our software is available or where we have employees or independent contractors. In addition, the legal standards relating to the validity, enforceability, and scope of protection of intellectual property rights in internet and software-related industries are uncertain and still evolving.</w:t>
      </w:r>
    </w:p>
    <w:p>
      <w:pPr>
        <w:spacing w:after="0" w:line="208"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order to protect our intellectual property rights, we may be required to spend significant resources to monitor and protect these rights. Litigation brought to protect and enforce our intellectual property rights could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failure to secure, protect and enforce our intellectual property rights could seriously adversely affect our brand and adversely impact our business.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00"/>
          </w:cols>
          <w:pgMar w:left="320" w:top="140" w:right="379" w:bottom="1440" w:gutter="0" w:footer="0" w:header="0"/>
        </w:sectPr>
      </w:pPr>
    </w:p>
    <w:bookmarkStart w:id="51" w:name="page52"/>
    <w:bookmarkEnd w:id="51"/>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ind w:right="40" w:firstLine="324"/>
        <w:spacing w:after="0" w:line="287" w:lineRule="auto"/>
        <w:rPr>
          <w:sz w:val="20"/>
          <w:szCs w:val="20"/>
          <w:color w:val="auto"/>
        </w:rPr>
      </w:pPr>
      <w:r>
        <w:rPr>
          <w:rFonts w:ascii="Arial" w:cs="Arial" w:eastAsia="Arial" w:hAnsi="Arial"/>
          <w:sz w:val="18"/>
          <w:szCs w:val="18"/>
          <w:b w:val="1"/>
          <w:bCs w:val="1"/>
          <w:i w:val="1"/>
          <w:iCs w:val="1"/>
          <w:color w:val="auto"/>
        </w:rPr>
        <w:t>We may be subject to intellectual property rights claims by third parties, which are extremely costly to defend, could require us to pay significant damages and could limit our ability to use certain technologies.</w:t>
      </w:r>
    </w:p>
    <w:p>
      <w:pPr>
        <w:spacing w:after="0" w:line="175"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Companies in the software and technology industries, including some of our current and potential competitors, own significant numbers of patents, copyrights, trademarks and trade secrets and frequently enter into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The litigation may involve patent holding companies or other adverse patent owners that have no relevant product revenue and against which our patents may therefore provide little or no deterrence. In the past, we have been subject to allegations of patent infringement that were unsuccessful, and we expect in the future to be subject to claims that we have misappropriated, misused, or infringed other parties’ intellectual property rights, and, to the extent we gain greater market visibility or face increasing competition, we face a higher risk of being the subject of intellectual property infringement claims, which is not uncommon with respect to enterprise software companies. We may in the future be subject to claims that employees or contractors, or we, have inadvertently or otherwise used or disclosed trade secrets or other proprietary information of our competitors or other parties. To the extent that intellectual property claims are made against our customers based on their usage of our technology, we have certain obligations to indemnify and defend such customers from those claims. The term of our contractual indemnity provisions often survives termination or expiration of the applicable agreement. Large indemnity payments, defense costs or damage claims from contractual breach could harm our business, results of operations and financial condition.</w:t>
      </w:r>
    </w:p>
    <w:p>
      <w:pPr>
        <w:spacing w:after="0" w:line="209"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There may be third-party intellectual property rights, including issued or pending patents that cover significant aspects of our technologies or business methods. Any intellectual property claims, with or without merit, could be very time-consuming, could be expensive to settle or litigate, could divert our management’s attention and other resources and could result in adverse publicity. These claims could also subject us to making substantial payments for legal fees, settlement payments, and other costs or damages, potentially including treble damages if we are found to have willfully infringed patents or copyrights. These claims could also result in our having to stop making, selling, offering for sale, or using technology found to be in violation of a third party’s rights. We might be required to seek a license for the third-party intellectual property rights, which may not be available on reasonable terms or at all. Even if a license is available to us, we may be required to pay significant upfront fees, milestones or royalties, which would increase our operating expenses. Moreover, to the extent we only have a license to any intellectual property used in our solutions, there may be no guarantee of continued access to such intellectual property, including on reasonable terms. As a result, we may be required to develop alternative non-infringing technology, which could require significant effort and expense. If a third party is able to obtain an injunction preventing us from accessing such third-party intellectual property rights, or if we cannot license or develop technology for any infringing aspect of our business, we would be forced to limit or stop sales of our software or cease business activities covered by such intellectual property, and may be unable to compete effectively. Any of these results would adversely affect our business, results of operations, financial condition and cash flows.</w:t>
      </w:r>
    </w:p>
    <w:p>
      <w:pPr>
        <w:spacing w:after="0" w:line="187" w:lineRule="exact"/>
        <w:rPr>
          <w:sz w:val="20"/>
          <w:szCs w:val="20"/>
          <w:color w:val="auto"/>
        </w:rPr>
      </w:pPr>
    </w:p>
    <w:p>
      <w:pPr>
        <w:ind w:right="240" w:firstLine="324"/>
        <w:spacing w:after="0" w:line="287" w:lineRule="auto"/>
        <w:rPr>
          <w:sz w:val="20"/>
          <w:szCs w:val="20"/>
          <w:color w:val="auto"/>
        </w:rPr>
      </w:pPr>
      <w:r>
        <w:rPr>
          <w:rFonts w:ascii="Arial" w:cs="Arial" w:eastAsia="Arial" w:hAnsi="Arial"/>
          <w:sz w:val="18"/>
          <w:szCs w:val="18"/>
          <w:b w:val="1"/>
          <w:bCs w:val="1"/>
          <w:i w:val="1"/>
          <w:iCs w:val="1"/>
          <w:color w:val="auto"/>
        </w:rPr>
        <w:t>Portions of our solutions utilize open source software, and any failure to comply with the terms of one or more of these open source licenses could negatively affect our business.</w:t>
      </w:r>
    </w:p>
    <w:p>
      <w:pPr>
        <w:spacing w:after="0" w:line="17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software contains software made available by third parties under so-called “open source” licenses.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Further, certain open source licenses also include a provision that if we enforce any patents against the software programs that are subject to the license, we would lose the license to such software. If we were to fail to comply with the terms of such open source software licenses, such failures could result in costly litigation, lead to negative public relations or require that we quickly find replacement software which may be difficult to accomplish in a timely manner.</w:t>
      </w:r>
    </w:p>
    <w:p>
      <w:pPr>
        <w:spacing w:after="0" w:line="211" w:lineRule="exact"/>
        <w:rPr>
          <w:sz w:val="20"/>
          <w:szCs w:val="20"/>
          <w:color w:val="auto"/>
        </w:rPr>
      </w:pPr>
    </w:p>
    <w:p>
      <w:pPr>
        <w:jc w:val="both"/>
        <w:ind w:right="260" w:firstLine="324"/>
        <w:spacing w:after="0" w:line="256" w:lineRule="auto"/>
        <w:rPr>
          <w:sz w:val="20"/>
          <w:szCs w:val="20"/>
          <w:color w:val="auto"/>
        </w:rPr>
      </w:pPr>
      <w:r>
        <w:rPr>
          <w:rFonts w:ascii="Arial" w:cs="Arial" w:eastAsia="Arial" w:hAnsi="Arial"/>
          <w:sz w:val="18"/>
          <w:szCs w:val="18"/>
          <w:color w:val="auto"/>
        </w:rPr>
        <w:t>Although we monitor our use of open source software in an effort both to comply with the terms of the applicable open source licenses and to avoid subjecting our software to conditions we do not intend, the terms of many open source licenses have not been interpreted by U.S. courts, and there is a risk that these licenses could be construed in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40" w:right="339" w:bottom="1440" w:gutter="0" w:footer="0" w:header="0"/>
        </w:sectPr>
      </w:pPr>
    </w:p>
    <w:bookmarkStart w:id="52" w:name="page53"/>
    <w:bookmarkEnd w:id="52"/>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 way that could impose unanticipated conditions or restrictions on our ability to commercialize our product or operate our business. By the terms of certain open source licenses, we could be required to release the source code of our software and to make our proprietary software available under open source licenses, if we combine or distribute our software with open source software in a certain manner. In the event that portions of our software are determined to be subject to an open source license, we could be required to publicly release the affected portions of our source code, re-engineer all, or a portion of, that software or otherwise be limited in the licensing of our software, each of which could reduce or eliminate the value of our product. Many of the risks associated with usage of open source software cannot be eliminated, and could negatively affect our business, results of operations and financial condition.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stock price may be volatile, and the value of our common stock may decline.</w:t>
      </w:r>
    </w:p>
    <w:p>
      <w:pPr>
        <w:spacing w:after="0" w:line="247" w:lineRule="exact"/>
        <w:rPr>
          <w:sz w:val="20"/>
          <w:szCs w:val="20"/>
          <w:color w:val="auto"/>
        </w:rPr>
      </w:pPr>
    </w:p>
    <w:p>
      <w:pPr>
        <w:jc w:val="both"/>
        <w:ind w:right="60" w:firstLine="324"/>
        <w:spacing w:after="0" w:line="256" w:lineRule="auto"/>
        <w:rPr>
          <w:sz w:val="20"/>
          <w:szCs w:val="20"/>
          <w:color w:val="auto"/>
        </w:rPr>
      </w:pPr>
      <w:r>
        <w:rPr>
          <w:rFonts w:ascii="Arial" w:cs="Arial" w:eastAsia="Arial" w:hAnsi="Arial"/>
          <w:sz w:val="18"/>
          <w:szCs w:val="18"/>
          <w:color w:val="auto"/>
        </w:rPr>
        <w:t>The market price of our common stock may fluctuate substantially and depends on a number of factors, including those described in this “Risk Factors” section, many of which are beyond our control and may not be related to our operating performance. Factors that could cause fluctuations in the market price of our common stock include the following:</w:t>
      </w:r>
    </w:p>
    <w:p>
      <w:pPr>
        <w:spacing w:after="0" w:line="94"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operating results;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9" w:lineRule="exact"/>
        <w:rPr>
          <w:rFonts w:ascii="Arial" w:cs="Arial" w:eastAsia="Arial" w:hAnsi="Arial"/>
          <w:sz w:val="18"/>
          <w:szCs w:val="18"/>
          <w:color w:val="auto"/>
        </w:rPr>
      </w:pPr>
    </w:p>
    <w:p>
      <w:pPr>
        <w:ind w:left="660" w:right="36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or new or terminated significant contracts, commercial relationships or capital commitments;</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industry or financial analyst or investor reaction to our press releases, other public announcements and filings with the SEC;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9" w:lineRule="exact"/>
        <w:rPr>
          <w:rFonts w:ascii="Arial" w:cs="Arial" w:eastAsia="Arial" w:hAnsi="Arial"/>
          <w:sz w:val="18"/>
          <w:szCs w:val="18"/>
          <w:color w:val="auto"/>
        </w:rPr>
      </w:pPr>
    </w:p>
    <w:p>
      <w:pPr>
        <w:ind w:left="660" w:right="16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our industry in particular;</w:t>
      </w:r>
    </w:p>
    <w:p>
      <w:pPr>
        <w:ind w:left="660" w:right="80" w:hanging="328"/>
        <w:spacing w:after="0" w:line="265"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sales of shares of our common stock by us or our stockholders, or the perception that these sales might occur, including in connection with anticipated distributions of shares of our common stock by entities affiliated with members of our Board of Directors;</w:t>
      </w:r>
    </w:p>
    <w:p>
      <w:pPr>
        <w:ind w:left="660" w:right="42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of industry or financial analysts to maintain coverage of us, changes in financial estimates by any analysts who follow our company, or our failure to meet these estimates or the expectations of investors;</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rights or our solutions, or third-party proprietary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major changes in our management or our Board of Directors;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pandemics, war, incidents of terrorism or responses to these events.</w:t>
      </w:r>
    </w:p>
    <w:p>
      <w:pPr>
        <w:spacing w:after="0" w:line="22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Recently, the stock markets have experienced extreme price and volume fluctuations that have affected and continue to affect the market prices of equity securities of many companies, including very recently in connection with the ongoing COVID-19 pandemic. These fluctuations have often been unrelated or disproportionate to the operating performance of those companies. Broad market and industry fluctuations, as well as general economic, political, regulatory and market conditions, may negatively impact the market price of our common stock. In the past, companies that have experienced volatility in the market price of their securities have been subject to securities class action litigation. We may be the target of this type of litigation in the future, which could result in substantial costs and divert our management’s attention.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320" w:top="140" w:right="359" w:bottom="1440" w:gutter="0" w:footer="0" w:header="0"/>
        </w:sectPr>
      </w:pPr>
    </w:p>
    <w:bookmarkStart w:id="53" w:name="page54"/>
    <w:bookmarkEnd w:id="5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 active public trading market may not be sustained.</w:t>
      </w:r>
    </w:p>
    <w:p>
      <w:pPr>
        <w:spacing w:after="0" w:line="247"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Prior to our initial public offering, or IPO, in July 2018, there was no public market or active private market for our common stock. Following our IPO, an active public trading market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or technologies by using our shares as consideration.</w:t>
      </w:r>
    </w:p>
    <w:p>
      <w:pPr>
        <w:spacing w:after="0" w:line="183" w:lineRule="exact"/>
        <w:rPr>
          <w:sz w:val="20"/>
          <w:szCs w:val="20"/>
          <w:color w:val="auto"/>
        </w:rPr>
      </w:pPr>
    </w:p>
    <w:p>
      <w:pPr>
        <w:ind w:right="140" w:firstLine="324"/>
        <w:spacing w:after="0" w:line="28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negative reports about our business, our stock price and trading volume could decline.</w:t>
      </w:r>
    </w:p>
    <w:p>
      <w:pPr>
        <w:spacing w:after="0" w:line="175"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We do not control these analysts or the content and opinions included in their reports. As a new public company, we may be slow to attract research coverage and the analysts who publish information about our common stock will have had relatively little experience with our company, which could affect their ability to accurately forecast our results and make it more likely that we fail to meet their estimates. If our financial performance fails to meet analyst estimates or one or more of the analysts who cover us downgrade our shares or change their opinion of our shares, our share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exceed, our announced guidance or the expectations of analysts or public investors, analysts could downgrade our common stock or publish unfavorable research about us. If one or more of these analysts cease coverage of our company or fail to regularly publish reports on us, we could lose visibility in the financial markets, which could cause our share price or trading volume to decline.</w:t>
      </w:r>
    </w:p>
    <w:p>
      <w:pPr>
        <w:spacing w:after="0" w:line="189" w:lineRule="exact"/>
        <w:rPr>
          <w:sz w:val="20"/>
          <w:szCs w:val="20"/>
          <w:color w:val="auto"/>
        </w:rPr>
      </w:pPr>
    </w:p>
    <w:p>
      <w:pPr>
        <w:ind w:right="60" w:firstLine="324"/>
        <w:spacing w:after="0" w:line="287" w:lineRule="auto"/>
        <w:rPr>
          <w:sz w:val="20"/>
          <w:szCs w:val="20"/>
          <w:color w:val="auto"/>
        </w:rPr>
      </w:pPr>
      <w:r>
        <w:rPr>
          <w:rFonts w:ascii="Arial" w:cs="Arial" w:eastAsia="Arial" w:hAnsi="Arial"/>
          <w:sz w:val="18"/>
          <w:szCs w:val="18"/>
          <w:b w:val="1"/>
          <w:bCs w:val="1"/>
          <w:i w:val="1"/>
          <w:iCs w:val="1"/>
          <w:color w:val="auto"/>
        </w:rPr>
        <w:t>Future sales of substantial amounts of our common stock in the public markets, or the perception that they might occur, could reduce the price that our common stock might otherwise attain.</w:t>
      </w:r>
    </w:p>
    <w:p>
      <w:pPr>
        <w:spacing w:after="0" w:line="175"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Sales of a substantial number of shares of our common stock in the public market by us or our stockholders, or the perception that these sales might occur, including in connection with anticipated distributions of shares of our common stock by entities affiliated with members of our Board of Directors, could depress the market price of our common stock, impair our ability to raise capital through the sale of additional equity securities and make it more difficult for you to sell your common stock at a time and price that you deem appropriate. In addition, we have filed registration statements on Form S-8 under the Securities Act registering the issuance of shares of common stock subject to options and other equity awards issued or reserved for future issuance under our equity incentive plans. Shares registered under these registration statements, and under additional registration statements on Form S-8 that we may file to register additional shares of common stock pursuant to provisions of our equity incentive plans that provide for an automatic increase in the number of shares reserved and available for issuance each year, are available for sale in the public market subject to vesting arrangements and exercise of options and the restrictions of Rule 144 under the Securities Act in the case of our affiliates.</w:t>
      </w:r>
    </w:p>
    <w:p>
      <w:pPr>
        <w:spacing w:after="0" w:line="189" w:lineRule="exact"/>
        <w:rPr>
          <w:sz w:val="20"/>
          <w:szCs w:val="20"/>
          <w:color w:val="auto"/>
        </w:rPr>
      </w:pPr>
    </w:p>
    <w:p>
      <w:pPr>
        <w:ind w:right="780" w:firstLine="324"/>
        <w:spacing w:after="0" w:line="287" w:lineRule="auto"/>
        <w:rPr>
          <w:sz w:val="20"/>
          <w:szCs w:val="20"/>
          <w:color w:val="auto"/>
        </w:rPr>
      </w:pPr>
      <w:r>
        <w:rPr>
          <w:rFonts w:ascii="Arial" w:cs="Arial" w:eastAsia="Arial" w:hAnsi="Arial"/>
          <w:sz w:val="18"/>
          <w:szCs w:val="18"/>
          <w:b w:val="1"/>
          <w:bCs w:val="1"/>
          <w:i w:val="1"/>
          <w:iCs w:val="1"/>
          <w:color w:val="auto"/>
        </w:rPr>
        <w:t>The issuance of additional stock in connection with financings, acquisitions, investments, our equity incentive plan or otherwise will dilute all other stockholders.</w:t>
      </w:r>
    </w:p>
    <w:p>
      <w:pPr>
        <w:spacing w:after="0" w:line="17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certificate of incorporation authorizes us to issue up to 500,000,000 shares of common stock and up to 10,000,000 shares of preferred stock with such rights and preferences as may be determined by our Board of Directors. Subject to compliance with applicable rules and regulations, in the future we may issue common stock or other securities convertible into shares of our common stock from time to time in connection with a financing, acquisition, investment, our equity incentive plan or otherwise. The number of new shares of our common stock issued in connection with raising additional capital could constitute a material portion of the then outstanding shares of our common stock, which could result in substantial dilution to our existing stockholders and cause the market price of our common stock to decline.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320" w:top="140" w:right="359" w:bottom="1440" w:gutter="0" w:footer="0" w:header="0"/>
        </w:sectPr>
      </w:pPr>
    </w:p>
    <w:bookmarkStart w:id="54" w:name="page55"/>
    <w:bookmarkEnd w:id="5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b w:val="1"/>
          <w:bCs w:val="1"/>
          <w:i w:val="1"/>
          <w:iCs w:val="1"/>
          <w:color w:val="auto"/>
        </w:rPr>
        <w:t>Concentration of ownership among our existing directors, executive officers and holders of 5% or more of our outstanding common stock may prevent new investors from influencing significant corporate decisions, including the ability to influence the outcome of director elections and other matters requiring stockholder approval.</w:t>
      </w:r>
    </w:p>
    <w:p>
      <w:pPr>
        <w:spacing w:after="0" w:line="19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executive officers, directors and current beneficial owners of 5% or more of our common stock beneficially own a significant percentage of our outstanding common stock. These persons, acting together, will be able to significantly influence all matters requiring stockholder approval, including the election and removal of directors and any merger or other significant corporate transactions. The interests of this group of stockholders may not coincide with the interests of other stockholders.</w:t>
      </w:r>
    </w:p>
    <w:p>
      <w:pPr>
        <w:spacing w:after="0" w:line="182" w:lineRule="exact"/>
        <w:rPr>
          <w:sz w:val="20"/>
          <w:szCs w:val="20"/>
          <w:color w:val="auto"/>
        </w:rPr>
      </w:pPr>
    </w:p>
    <w:p>
      <w:pPr>
        <w:ind w:right="140" w:firstLine="324"/>
        <w:spacing w:after="0" w:line="28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qualified board members.</w:t>
      </w:r>
    </w:p>
    <w:p>
      <w:pPr>
        <w:spacing w:after="0" w:line="17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As a public company, we are subject to the reporting and corporate governance requirements of the Exchange Act, the listing requirements of the Nasdaq and other applicable securities rules and regulations, including the Sarbanes-Oxley Act and the Dodd-Frank Wall Street Reform and Consumer Protection Act. Compliance with these rules and regulations increases our legal and financial compliance costs, makes some activities more difficult, time-consuming or costly and increases demand on our systems and resources, particularly as we are no longer an "emerging growth company" as of December 31, 2019. Among other things, the Exchange Act requires that we file annual, quarterly and current reports with respect to our business and results of operations and maintain effective disclosure controls and procedures and internal control over financial reporting. In order to improve our disclosure controls and procedures and internal control over financial reporting to meet this standard, significant resources and management oversight may be required. As a result, management’s attention may be diverted from other business concerns, which could harm our business, financial condition, results of operations and prospects. Although we have already hired, and are in the process of hiring, additional personnel to help comply with these requirements, we may need to further expand our legal and finance departments in the future, which will increase our costs and expenses.</w:t>
      </w:r>
    </w:p>
    <w:p>
      <w:pPr>
        <w:spacing w:after="0" w:line="211"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regulatory authorities may initiate legal proceedings against us and our business and prospects may be harmed. As a result of disclosure of information in the filings required of a public company, our business and financial condition will become more visible, which may result in threatened or actual litigation, including by competitors and other third parties. If such claims are successful, our business, financial condition, results of operations and prospects could be materially harmed, and even if the claims do not result in litigation or are resolved in our favor, these claims, and the time and resources necessary to resolve them, could divert the resources of our management and materially harm our business, financial condition, results of operations and prospects.</w:t>
      </w:r>
    </w:p>
    <w:p>
      <w:pPr>
        <w:spacing w:after="0" w:line="209"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Being a public company under these new rules and regulations has made it more expensive for us to obtain director and officer liability insurance, and we may be required to accept reduced coverage or incur substantially higher costs to obtain coverage in the future. These factors could also make it more difficult for us to attract and retain qualified executive officers and members of our Board of Directors, particularly to serve on our audit committee and compensation committee.</w:t>
      </w:r>
    </w:p>
    <w:p>
      <w:pPr>
        <w:spacing w:after="0" w:line="204" w:lineRule="exact"/>
        <w:rPr>
          <w:sz w:val="20"/>
          <w:szCs w:val="20"/>
          <w:color w:val="auto"/>
        </w:rPr>
      </w:pPr>
    </w:p>
    <w:p>
      <w:pPr>
        <w:ind w:right="360" w:firstLine="324"/>
        <w:spacing w:after="0" w:line="261" w:lineRule="auto"/>
        <w:rPr>
          <w:sz w:val="20"/>
          <w:szCs w:val="20"/>
          <w:color w:val="auto"/>
        </w:rPr>
      </w:pPr>
      <w:r>
        <w:rPr>
          <w:rFonts w:ascii="Arial" w:cs="Arial" w:eastAsia="Arial" w:hAnsi="Arial"/>
          <w:sz w:val="18"/>
          <w:szCs w:val="18"/>
          <w:color w:val="auto"/>
        </w:rPr>
        <w:t>In addition, as a result of our disclosure obligations as a public company, we may have reduced strategic flexibility and may be under pressure to focus on short-term results, which could materially and adversely affect our ability to achieve long-term profitability.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0" w:right="339" w:bottom="1440" w:gutter="0" w:footer="0" w:header="0"/>
        </w:sectPr>
      </w:pPr>
    </w:p>
    <w:bookmarkStart w:id="55" w:name="page56"/>
    <w:bookmarkEnd w:id="55"/>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ind w:right="940" w:firstLine="324"/>
        <w:spacing w:after="0" w:line="28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75"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 In addition, our loan and security agreement with Silicon Valley Bank contains restrictive covenants that prohibit us, subject to certain exceptions, from paying dividends on our common stock.</w:t>
      </w:r>
    </w:p>
    <w:p>
      <w:pPr>
        <w:spacing w:after="0" w:line="186" w:lineRule="exact"/>
        <w:rPr>
          <w:sz w:val="20"/>
          <w:szCs w:val="20"/>
          <w:color w:val="auto"/>
        </w:rPr>
      </w:pPr>
    </w:p>
    <w:p>
      <w:pPr>
        <w:jc w:val="both"/>
        <w:ind w:right="400" w:firstLine="324"/>
        <w:spacing w:after="0" w:line="268" w:lineRule="auto"/>
        <w:rPr>
          <w:sz w:val="20"/>
          <w:szCs w:val="20"/>
          <w:color w:val="auto"/>
        </w:rPr>
      </w:pPr>
      <w:r>
        <w:rPr>
          <w:rFonts w:ascii="Arial" w:cs="Arial" w:eastAsia="Arial" w:hAnsi="Arial"/>
          <w:sz w:val="18"/>
          <w:szCs w:val="18"/>
          <w:b w:val="1"/>
          <w:bCs w:val="1"/>
          <w:i w:val="1"/>
          <w:iCs w:val="1"/>
          <w:color w:val="auto"/>
        </w:rPr>
        <w:t>We are obligated to maintain proper and effective internal controls over financial reporting, and any failure to maintain the adequacy of these internal controls may adversely affect investor confidence in our company and, as a result, the value of our common stock.</w:t>
      </w:r>
    </w:p>
    <w:p>
      <w:pPr>
        <w:spacing w:after="0" w:line="193"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We have been and are required, pursuant to Section 404 of the Sarbanes-Oxley Act, or Section 404,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We are also required to disclose significant changes made in our internal control procedures on a quarterly basis.</w:t>
      </w:r>
    </w:p>
    <w:p>
      <w:pPr>
        <w:spacing w:after="0" w:line="204"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During the evaluation and testing process of our internal controls,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Nasdaq, the SEC or other regulatory authorities. Failure to remedy any material weakness in our internal control over financial reporting, or to maintain other effective control systems required of public companies, could also restrict our future access to the capital markets.</w:t>
      </w:r>
    </w:p>
    <w:p>
      <w:pPr>
        <w:spacing w:after="0" w:line="189"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more difficult, limit attempts by our stockholders to replace or remove members of our Board of Directors and our current management and could negatively impact the market price of our common stock.</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96" w:lineRule="exact"/>
        <w:rPr>
          <w:sz w:val="20"/>
          <w:szCs w:val="20"/>
          <w:color w:val="auto"/>
        </w:rPr>
      </w:pPr>
    </w:p>
    <w:p>
      <w:pPr>
        <w:ind w:left="660" w:right="84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ind w:left="660" w:right="18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ind w:left="660" w:right="24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chairperson of our Board of Directors, Chief Executive Officer or president (in the absence of a chief executive officer) or a majority vote of our Board of Directors, which could delay the ability of our stockholders to force consideration of a proposal or to take action, including the removal of directors;</w:t>
      </w:r>
    </w:p>
    <w:p>
      <w:pPr>
        <w:spacing w:after="0" w:line="1" w:lineRule="exact"/>
        <w:rPr>
          <w:rFonts w:ascii="Arial" w:cs="Arial" w:eastAsia="Arial" w:hAnsi="Arial"/>
          <w:sz w:val="18"/>
          <w:szCs w:val="18"/>
          <w:color w:val="auto"/>
        </w:rPr>
      </w:pPr>
    </w:p>
    <w:p>
      <w:pPr>
        <w:ind w:left="660" w:right="100" w:hanging="328"/>
        <w:spacing w:after="0" w:line="261"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at least 66 2/3% of the voting power of all of the then outstanding shares of the voting stock, voting together as a single class, to amend the provisions of our</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00"/>
          </w:cols>
          <w:pgMar w:left="320" w:top="140" w:right="379" w:bottom="1440" w:gutter="0" w:footer="0" w:header="0"/>
        </w:sectPr>
      </w:pPr>
    </w:p>
    <w:bookmarkStart w:id="56" w:name="page57"/>
    <w:bookmarkEnd w:id="5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left="660" w:right="80"/>
        <w:spacing w:after="0" w:line="250" w:lineRule="auto"/>
        <w:rPr>
          <w:sz w:val="20"/>
          <w:szCs w:val="20"/>
          <w:color w:val="auto"/>
        </w:rPr>
      </w:pPr>
      <w:r>
        <w:rPr>
          <w:rFonts w:ascii="Arial" w:cs="Arial" w:eastAsia="Arial" w:hAnsi="Arial"/>
          <w:sz w:val="18"/>
          <w:szCs w:val="18"/>
          <w:color w:val="auto"/>
        </w:rPr>
        <w:t>amended and restated certificate of incorporation relating to the issuance of preferred stock and management of our business or our amended and restated bylaws, which may inhibit the ability of an acquirer to affect such amendments to facilitate an unsolicited takeover attempt;</w:t>
      </w:r>
    </w:p>
    <w:p>
      <w:pPr>
        <w:spacing w:after="0" w:line="1" w:lineRule="exact"/>
        <w:rPr>
          <w:sz w:val="20"/>
          <w:szCs w:val="20"/>
          <w:color w:val="auto"/>
        </w:rPr>
      </w:pPr>
    </w:p>
    <w:p>
      <w:pPr>
        <w:ind w:left="6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of our Board of Directors, by majority vote, to amend our amended and restated bylaws, which may allow our Board of Directors to take additional actions to prevent an unsolicited takeover and inhibit the ability of an acquirer to amend our amended and restated bylaws to facilitate an unsolicited takeover attempt; and</w:t>
      </w:r>
    </w:p>
    <w:p>
      <w:pPr>
        <w:spacing w:after="0" w:line="1" w:lineRule="exact"/>
        <w:rPr>
          <w:rFonts w:ascii="Arial" w:cs="Arial" w:eastAsia="Arial" w:hAnsi="Arial"/>
          <w:sz w:val="18"/>
          <w:szCs w:val="18"/>
          <w:color w:val="auto"/>
        </w:rPr>
      </w:pPr>
    </w:p>
    <w:p>
      <w:pPr>
        <w:ind w:left="660" w:right="400" w:hanging="328"/>
        <w:spacing w:after="0" w:line="256"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202"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These provisions may prohibit large stockholders, in particular those owning 15% or more of our outstanding voting stock, from merging or combining with us for a certain period of time.</w:t>
      </w:r>
    </w:p>
    <w:p>
      <w:pPr>
        <w:spacing w:after="0" w:line="176"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or the U.S. federal district courts will be the exclusive forums for substantially all disputes between us and our stockholders, which could limit our stockholders’ ability to obtain a favorable judicial forum for disputes with us or our directors, officers or other employees.</w:t>
      </w:r>
    </w:p>
    <w:p>
      <w:pPr>
        <w:spacing w:after="0" w:line="193"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sole and exclusive forum for any derivative action or proceeding brought on our behalf, any action asserting a breach of fiduciary duty owed by any of our directors, officers or other employees to us or our stockholders, any action asserting a claim against us arising pursuant to any provisions of the Delaware General Corporation Law, our amended and restated certificate of incorporation or our amended and restated bylaws, or any action asserting a claim against us that is governed by the internal affairs doctrine. Our amended and restated certificate of incorporation further provides that the federal district courts of the United States of America will be the exclusive forum for resolving any complaint asserting a cause of action arising under the Securities Act. These exclusive forum provisions, if permitted by applicable law, may limit a stockholder’s ability to bring a claim in a judicial forum that it finds favorable for disputes with us or our directors, officers or other employees, which may discourage such lawsuits against us and our directors, officers or other employees. If a court were to find these exclusive forum provisions to be inapplicable or unenforceable in an action, we may incur additional costs associated with resolving such action in other jurisdictions, which could adversely affect our results of operations and financial condition.</w:t>
      </w:r>
    </w:p>
    <w:p>
      <w:pPr>
        <w:spacing w:after="0" w:line="18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Proceeds</w:t>
      </w:r>
    </w:p>
    <w:p>
      <w:pPr>
        <w:spacing w:after="0" w:line="247"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On July 30, 2018, we completed our IPO, in which we issued and sold 12,535,000 shares of common stock at a price to the public</w:t>
      </w:r>
    </w:p>
    <w:p>
      <w:pPr>
        <w:spacing w:after="0" w:line="9"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of $23.00 per share, including 1,635,000 shares of common stock purchased by our underwriters pursuant to the full exercise of their over-allotment option to purchase additional shares. The offer and sale of all of the shares in the IPO were registered under the Securities Act pursuant to a registration statement on Form S-1 (File No. 333-226002), which was declared effective by the SEC on July 25, 2018.</w:t>
      </w:r>
    </w:p>
    <w:p>
      <w:pPr>
        <w:spacing w:after="0" w:line="20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Morgan Stanley &amp; Co. LLC, J.P. Morgan Securities LLC, Allen &amp; Company LLC and Deutsche Bank Securities Inc. acted as active book-running managers for the offering. Stifel, Nicolaus &amp; Company, Incorporated acted as passive book-running manager for the offering, and William Blair &amp; Company, L.L.C. and BTIG, LLC acted as co-managers for the offering. The offering commenced on July 25, 2018 and did not terminate before all securities registered on the registration statement were sold.</w:t>
      </w:r>
    </w:p>
    <w:p>
      <w:pPr>
        <w:spacing w:after="0" w:line="204" w:lineRule="exact"/>
        <w:rPr>
          <w:sz w:val="20"/>
          <w:szCs w:val="20"/>
          <w:color w:val="auto"/>
        </w:rPr>
      </w:pPr>
    </w:p>
    <w:p>
      <w:pPr>
        <w:jc w:val="both"/>
        <w:ind w:right="140" w:firstLine="324"/>
        <w:spacing w:after="0" w:line="256" w:lineRule="auto"/>
        <w:rPr>
          <w:sz w:val="20"/>
          <w:szCs w:val="20"/>
          <w:color w:val="auto"/>
        </w:rPr>
      </w:pPr>
      <w:r>
        <w:rPr>
          <w:rFonts w:ascii="Arial" w:cs="Arial" w:eastAsia="Arial" w:hAnsi="Arial"/>
          <w:sz w:val="18"/>
          <w:szCs w:val="18"/>
          <w:color w:val="auto"/>
        </w:rPr>
        <w:t>We received net proceeds of $264.6 million after deducting underwriting discounts and commissions and offering expenses. No offering expenses incurred by us were paid directly or indirectly to any of our directors, officers or persons owning ten percent or more of our capital stock (or their associates or affiliates).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40" w:right="339" w:bottom="1440" w:gutter="0" w:footer="0" w:header="0"/>
        </w:sectPr>
      </w:pPr>
    </w:p>
    <w:bookmarkStart w:id="57" w:name="page58"/>
    <w:bookmarkEnd w:id="5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There has been no material change in the planned use of the IPO proceeds as described in our final prospectus for our IPO dated as of July 25, 2018 and filed with the SEC pursuant to Rule 424(b)(4) under the Securities Act on July 26, 2018.</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3, 4 and 5 are not applicable and have been omitted.</w:t>
      </w:r>
    </w:p>
    <w:p>
      <w:pPr>
        <w:spacing w:after="0" w:line="200" w:lineRule="exact"/>
        <w:rPr>
          <w:sz w:val="20"/>
          <w:szCs w:val="20"/>
          <w:color w:val="auto"/>
        </w:rPr>
      </w:pPr>
    </w:p>
    <w:p>
      <w:pPr>
        <w:spacing w:after="0" w:line="26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00"/>
          </w:cols>
          <w:pgMar w:left="320" w:top="140" w:right="479" w:bottom="1440" w:gutter="0" w:footer="0" w:header="0"/>
        </w:sectPr>
      </w:pPr>
    </w:p>
    <w:bookmarkStart w:id="58" w:name="page59"/>
    <w:bookmarkEnd w:id="5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Exhibits filed as part of this Quarterly Report on Form 10-Q:</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40" w:type="dxa"/>
            <w:vAlign w:val="bottom"/>
            <w:gridSpan w:val="2"/>
          </w:tcPr>
          <w:p>
            <w:pPr>
              <w:ind w:left="20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tcPr>
          <w:p>
            <w:pPr>
              <w:spacing w:after="0"/>
              <w:rPr>
                <w:sz w:val="16"/>
                <w:szCs w:val="16"/>
                <w:color w:val="auto"/>
              </w:rPr>
            </w:pPr>
          </w:p>
        </w:tc>
      </w:tr>
      <w:tr>
        <w:trPr>
          <w:trHeight w:val="228"/>
        </w:trPr>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40" w:type="dxa"/>
            <w:vAlign w:val="bottom"/>
            <w:tcBorders>
              <w:bottom w:val="single" w:sz="8" w:color="auto"/>
            </w:tcBorders>
            <w:gridSpan w:val="7"/>
          </w:tcPr>
          <w:p>
            <w:pPr>
              <w:ind w:left="2480"/>
              <w:spacing w:after="0"/>
              <w:rPr>
                <w:sz w:val="20"/>
                <w:szCs w:val="20"/>
                <w:color w:val="auto"/>
              </w:rPr>
            </w:pPr>
            <w:r>
              <w:rPr>
                <w:rFonts w:ascii="Arial" w:cs="Arial" w:eastAsia="Arial" w:hAnsi="Arial"/>
                <w:sz w:val="16"/>
                <w:szCs w:val="16"/>
                <w:b w:val="1"/>
                <w:bCs w:val="1"/>
                <w:color w:val="auto"/>
              </w:rPr>
              <w:t>Description</w:t>
            </w:r>
          </w:p>
        </w:tc>
        <w:tc>
          <w:tcPr>
            <w:tcW w:w="120" w:type="dxa"/>
            <w:vAlign w:val="bottom"/>
          </w:tcPr>
          <w:p>
            <w:pPr>
              <w:spacing w:after="0"/>
              <w:rPr>
                <w:sz w:val="19"/>
                <w:szCs w:val="19"/>
                <w:color w:val="auto"/>
              </w:rPr>
            </w:pPr>
          </w:p>
        </w:tc>
        <w:tc>
          <w:tcPr>
            <w:tcW w:w="3460" w:type="dxa"/>
            <w:vAlign w:val="bottom"/>
            <w:tcBorders>
              <w:bottom w:val="single" w:sz="8" w:color="auto"/>
            </w:tcBorders>
          </w:tcPr>
          <w:p>
            <w:pPr>
              <w:ind w:left="1380"/>
              <w:spacing w:after="0"/>
              <w:rPr>
                <w:sz w:val="20"/>
                <w:szCs w:val="20"/>
                <w:color w:val="auto"/>
              </w:rPr>
            </w:pPr>
            <w:r>
              <w:rPr>
                <w:rFonts w:ascii="Arial" w:cs="Arial" w:eastAsia="Arial" w:hAnsi="Arial"/>
                <w:sz w:val="16"/>
                <w:szCs w:val="16"/>
                <w:b w:val="1"/>
                <w:bCs w:val="1"/>
                <w:color w:val="auto"/>
              </w:rPr>
              <w:t>Location</w:t>
            </w:r>
          </w:p>
        </w:tc>
      </w:tr>
      <w:tr>
        <w:trPr>
          <w:trHeight w:val="339"/>
        </w:trPr>
        <w:tc>
          <w:tcPr>
            <w:tcW w:w="92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20" w:type="dxa"/>
            <w:vAlign w:val="bottom"/>
            <w:gridSpan w:val="9"/>
          </w:tcPr>
          <w:p>
            <w:pPr>
              <w:spacing w:after="0"/>
              <w:rPr>
                <w:rFonts w:ascii="Arial" w:cs="Arial" w:eastAsia="Arial" w:hAnsi="Arial"/>
                <w:sz w:val="16"/>
                <w:szCs w:val="16"/>
                <w:u w:val="single" w:color="auto"/>
                <w:color w:val="0000FF"/>
              </w:rPr>
            </w:pPr>
            <w:hyperlink r:id="rId10">
              <w:r>
                <w:rPr>
                  <w:rFonts w:ascii="Arial" w:cs="Arial" w:eastAsia="Arial" w:hAnsi="Arial"/>
                  <w:sz w:val="16"/>
                  <w:szCs w:val="16"/>
                  <w:u w:val="single" w:color="auto"/>
                  <w:color w:val="0000FF"/>
                </w:rPr>
                <w:t>Amended and Restated Certificate of Incorporation of Tenable Holdings, Inc.</w:t>
              </w:r>
            </w:hyperlink>
          </w:p>
        </w:tc>
        <w:tc>
          <w:tcPr>
            <w:tcW w:w="3460" w:type="dxa"/>
            <w:vAlign w:val="bottom"/>
          </w:tcPr>
          <w:p>
            <w:pPr>
              <w:ind w:left="20"/>
              <w:spacing w:after="0"/>
              <w:rPr>
                <w:sz w:val="20"/>
                <w:szCs w:val="20"/>
                <w:color w:val="auto"/>
              </w:rPr>
            </w:pPr>
            <w:r>
              <w:rPr>
                <w:rFonts w:ascii="Arial" w:cs="Arial" w:eastAsia="Arial" w:hAnsi="Arial"/>
                <w:sz w:val="16"/>
                <w:szCs w:val="16"/>
                <w:color w:val="auto"/>
              </w:rPr>
              <w:t>Previously filed as Exhibit 3.1 to the Company's</w:t>
            </w:r>
          </w:p>
        </w:tc>
      </w:tr>
      <w:tr>
        <w:trPr>
          <w:trHeight w:val="189"/>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tcPr>
          <w:p>
            <w:pPr>
              <w:ind w:left="20"/>
              <w:spacing w:after="0"/>
              <w:rPr>
                <w:sz w:val="20"/>
                <w:szCs w:val="20"/>
                <w:color w:val="auto"/>
              </w:rPr>
            </w:pPr>
            <w:r>
              <w:rPr>
                <w:rFonts w:ascii="Arial" w:cs="Arial" w:eastAsia="Arial" w:hAnsi="Arial"/>
                <w:sz w:val="16"/>
                <w:szCs w:val="16"/>
                <w:color w:val="auto"/>
              </w:rPr>
              <w:t>Current Report on Form 8-K (File No. 001-</w:t>
            </w:r>
          </w:p>
        </w:tc>
      </w:tr>
      <w:tr>
        <w:trPr>
          <w:trHeight w:val="195"/>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tcPr>
          <w:p>
            <w:pPr>
              <w:ind w:left="20"/>
              <w:spacing w:after="0"/>
              <w:rPr>
                <w:sz w:val="20"/>
                <w:szCs w:val="20"/>
                <w:color w:val="auto"/>
              </w:rPr>
            </w:pPr>
            <w:r>
              <w:rPr>
                <w:rFonts w:ascii="Arial" w:cs="Arial" w:eastAsia="Arial" w:hAnsi="Arial"/>
                <w:sz w:val="16"/>
                <w:szCs w:val="16"/>
                <w:color w:val="auto"/>
              </w:rPr>
              <w:t>38600) on July 30, 2018</w:t>
            </w:r>
          </w:p>
        </w:tc>
      </w:tr>
      <w:tr>
        <w:trPr>
          <w:trHeight w:val="237"/>
        </w:trPr>
        <w:tc>
          <w:tcPr>
            <w:tcW w:w="92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20" w:type="dxa"/>
            <w:vAlign w:val="bottom"/>
            <w:gridSpan w:val="9"/>
          </w:tcPr>
          <w:p>
            <w:pPr>
              <w:spacing w:after="0"/>
              <w:rPr>
                <w:rFonts w:ascii="Arial" w:cs="Arial" w:eastAsia="Arial" w:hAnsi="Arial"/>
                <w:sz w:val="16"/>
                <w:szCs w:val="16"/>
                <w:u w:val="single" w:color="auto"/>
                <w:color w:val="0000FF"/>
              </w:rPr>
            </w:pPr>
            <w:hyperlink r:id="rId11">
              <w:r>
                <w:rPr>
                  <w:rFonts w:ascii="Arial" w:cs="Arial" w:eastAsia="Arial" w:hAnsi="Arial"/>
                  <w:sz w:val="16"/>
                  <w:szCs w:val="16"/>
                  <w:u w:val="single" w:color="auto"/>
                  <w:color w:val="0000FF"/>
                </w:rPr>
                <w:t>Amended and Restated Bylaws of Tenable Holdings, Inc.</w:t>
              </w:r>
            </w:hyperlink>
          </w:p>
        </w:tc>
        <w:tc>
          <w:tcPr>
            <w:tcW w:w="3460" w:type="dxa"/>
            <w:vAlign w:val="bottom"/>
          </w:tcPr>
          <w:p>
            <w:pPr>
              <w:ind w:left="20"/>
              <w:spacing w:after="0"/>
              <w:rPr>
                <w:sz w:val="20"/>
                <w:szCs w:val="20"/>
                <w:color w:val="auto"/>
              </w:rPr>
            </w:pPr>
            <w:r>
              <w:rPr>
                <w:rFonts w:ascii="Arial" w:cs="Arial" w:eastAsia="Arial" w:hAnsi="Arial"/>
                <w:sz w:val="16"/>
                <w:szCs w:val="16"/>
                <w:color w:val="auto"/>
              </w:rPr>
              <w:t>Previously filed as Exhibit 3.4 to the Company's</w:t>
            </w:r>
          </w:p>
        </w:tc>
      </w:tr>
      <w:tr>
        <w:trPr>
          <w:trHeight w:val="189"/>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tcPr>
          <w:p>
            <w:pPr>
              <w:ind w:left="20"/>
              <w:spacing w:after="0"/>
              <w:rPr>
                <w:sz w:val="20"/>
                <w:szCs w:val="20"/>
                <w:color w:val="auto"/>
              </w:rPr>
            </w:pPr>
            <w:r>
              <w:rPr>
                <w:rFonts w:ascii="Arial" w:cs="Arial" w:eastAsia="Arial" w:hAnsi="Arial"/>
                <w:sz w:val="16"/>
                <w:szCs w:val="16"/>
                <w:color w:val="auto"/>
              </w:rPr>
              <w:t>Registration Statement on Form S-1 (File No.</w:t>
            </w:r>
          </w:p>
        </w:tc>
      </w:tr>
      <w:tr>
        <w:trPr>
          <w:trHeight w:val="195"/>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tcPr>
          <w:p>
            <w:pPr>
              <w:ind w:left="20"/>
              <w:spacing w:after="0"/>
              <w:rPr>
                <w:sz w:val="20"/>
                <w:szCs w:val="20"/>
                <w:color w:val="auto"/>
              </w:rPr>
            </w:pPr>
            <w:r>
              <w:rPr>
                <w:rFonts w:ascii="Arial" w:cs="Arial" w:eastAsia="Arial" w:hAnsi="Arial"/>
                <w:sz w:val="16"/>
                <w:szCs w:val="16"/>
                <w:color w:val="auto"/>
              </w:rPr>
              <w:t>333-226002) on June 29, 2018</w:t>
            </w:r>
          </w:p>
        </w:tc>
      </w:tr>
      <w:tr>
        <w:trPr>
          <w:trHeight w:val="237"/>
        </w:trPr>
        <w:tc>
          <w:tcPr>
            <w:tcW w:w="92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20" w:type="dxa"/>
            <w:vAlign w:val="bottom"/>
            <w:gridSpan w:val="9"/>
          </w:tcPr>
          <w:p>
            <w:pPr>
              <w:spacing w:after="0"/>
              <w:rPr>
                <w:rFonts w:ascii="Arial" w:cs="Arial" w:eastAsia="Arial" w:hAnsi="Arial"/>
                <w:sz w:val="16"/>
                <w:szCs w:val="16"/>
                <w:u w:val="single" w:color="auto"/>
                <w:color w:val="0000FF"/>
              </w:rPr>
            </w:pPr>
            <w:hyperlink r:id="rId12">
              <w:r>
                <w:rPr>
                  <w:rFonts w:ascii="Arial" w:cs="Arial" w:eastAsia="Arial" w:hAnsi="Arial"/>
                  <w:sz w:val="16"/>
                  <w:szCs w:val="16"/>
                  <w:u w:val="single" w:color="auto"/>
                  <w:color w:val="0000FF"/>
                </w:rPr>
                <w:t>Common Stock Certificate of Tenable Holdings, Inc.</w:t>
              </w:r>
            </w:hyperlink>
          </w:p>
        </w:tc>
        <w:tc>
          <w:tcPr>
            <w:tcW w:w="3460" w:type="dxa"/>
            <w:vAlign w:val="bottom"/>
          </w:tcPr>
          <w:p>
            <w:pPr>
              <w:ind w:left="20"/>
              <w:spacing w:after="0"/>
              <w:rPr>
                <w:sz w:val="20"/>
                <w:szCs w:val="20"/>
                <w:color w:val="auto"/>
              </w:rPr>
            </w:pPr>
            <w:r>
              <w:rPr>
                <w:rFonts w:ascii="Arial" w:cs="Arial" w:eastAsia="Arial" w:hAnsi="Arial"/>
                <w:sz w:val="16"/>
                <w:szCs w:val="16"/>
                <w:color w:val="auto"/>
              </w:rPr>
              <w:t>Previously filed as Exhibit 4.1 to the Company's</w:t>
            </w:r>
          </w:p>
        </w:tc>
      </w:tr>
      <w:tr>
        <w:trPr>
          <w:trHeight w:val="189"/>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tcPr>
          <w:p>
            <w:pPr>
              <w:ind w:left="20"/>
              <w:spacing w:after="0"/>
              <w:rPr>
                <w:sz w:val="20"/>
                <w:szCs w:val="20"/>
                <w:color w:val="auto"/>
              </w:rPr>
            </w:pPr>
            <w:r>
              <w:rPr>
                <w:rFonts w:ascii="Arial" w:cs="Arial" w:eastAsia="Arial" w:hAnsi="Arial"/>
                <w:sz w:val="16"/>
                <w:szCs w:val="16"/>
                <w:color w:val="auto"/>
              </w:rPr>
              <w:t>Registration Statement on Form S-1 (File No.</w:t>
            </w:r>
          </w:p>
        </w:tc>
      </w:tr>
      <w:tr>
        <w:trPr>
          <w:trHeight w:val="195"/>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tcPr>
          <w:p>
            <w:pPr>
              <w:ind w:left="20"/>
              <w:spacing w:after="0"/>
              <w:rPr>
                <w:sz w:val="20"/>
                <w:szCs w:val="20"/>
                <w:color w:val="auto"/>
              </w:rPr>
            </w:pPr>
            <w:r>
              <w:rPr>
                <w:rFonts w:ascii="Arial" w:cs="Arial" w:eastAsia="Arial" w:hAnsi="Arial"/>
                <w:sz w:val="16"/>
                <w:szCs w:val="16"/>
                <w:color w:val="auto"/>
              </w:rPr>
              <w:t>333-226002) on July 16, 2018</w:t>
            </w:r>
          </w:p>
        </w:tc>
      </w:tr>
      <w:tr>
        <w:trPr>
          <w:trHeight w:val="208"/>
        </w:trPr>
        <w:tc>
          <w:tcPr>
            <w:tcW w:w="92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20" w:type="dxa"/>
            <w:vAlign w:val="bottom"/>
            <w:tcBorders>
              <w:bottom w:val="single" w:sz="8" w:color="0000FF"/>
            </w:tcBorders>
            <w:gridSpan w:val="3"/>
          </w:tcPr>
          <w:p>
            <w:pPr>
              <w:spacing w:after="0"/>
              <w:rPr>
                <w:rFonts w:ascii="Arial" w:cs="Arial" w:eastAsia="Arial" w:hAnsi="Arial"/>
                <w:sz w:val="16"/>
                <w:szCs w:val="16"/>
                <w:color w:val="0000FF"/>
              </w:rPr>
            </w:pPr>
            <w:hyperlink w:anchor="page61">
              <w:r>
                <w:rPr>
                  <w:rFonts w:ascii="Arial" w:cs="Arial" w:eastAsia="Arial" w:hAnsi="Arial"/>
                  <w:sz w:val="16"/>
                  <w:szCs w:val="16"/>
                  <w:color w:val="0000FF"/>
                </w:rPr>
                <w:t>First Amendment to Loan and Security Agreement, dated as of April 22, 2020, by and</w:t>
              </w:r>
            </w:hyperlink>
          </w:p>
        </w:tc>
        <w:tc>
          <w:tcPr>
            <w:tcW w:w="600" w:type="dxa"/>
            <w:vAlign w:val="bottom"/>
            <w:gridSpan w:val="6"/>
          </w:tcPr>
          <w:p>
            <w:pPr>
              <w:spacing w:after="0"/>
              <w:rPr>
                <w:sz w:val="18"/>
                <w:szCs w:val="18"/>
                <w:color w:val="auto"/>
              </w:rPr>
            </w:pPr>
          </w:p>
        </w:tc>
        <w:tc>
          <w:tcPr>
            <w:tcW w:w="346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720" w:type="dxa"/>
            <w:vAlign w:val="bottom"/>
            <w:gridSpan w:val="9"/>
          </w:tcPr>
          <w:p>
            <w:pPr>
              <w:spacing w:after="0" w:line="169" w:lineRule="exact"/>
              <w:rPr>
                <w:rFonts w:ascii="Arial" w:cs="Arial" w:eastAsia="Arial" w:hAnsi="Arial"/>
                <w:sz w:val="16"/>
                <w:szCs w:val="16"/>
                <w:color w:val="0000FF"/>
              </w:rPr>
            </w:pPr>
            <w:hyperlink w:anchor="page61">
              <w:r>
                <w:rPr>
                  <w:rFonts w:ascii="Arial" w:cs="Arial" w:eastAsia="Arial" w:hAnsi="Arial"/>
                  <w:sz w:val="16"/>
                  <w:szCs w:val="16"/>
                  <w:color w:val="0000FF"/>
                </w:rPr>
                <w:t>between Tenable, Inc. and Silicon Valley Bank</w:t>
              </w:r>
            </w:hyperlink>
          </w:p>
        </w:tc>
        <w:tc>
          <w:tcPr>
            <w:tcW w:w="346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223"/>
        </w:trPr>
        <w:tc>
          <w:tcPr>
            <w:tcW w:w="920" w:type="dxa"/>
            <w:vAlign w:val="bottom"/>
          </w:tcPr>
          <w:p>
            <w:pPr>
              <w:jc w:val="right"/>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720" w:type="dxa"/>
            <w:vAlign w:val="bottom"/>
            <w:gridSpan w:val="9"/>
          </w:tcPr>
          <w:p>
            <w:pPr>
              <w:spacing w:after="0"/>
              <w:rPr>
                <w:rFonts w:ascii="Arial" w:cs="Arial" w:eastAsia="Arial" w:hAnsi="Arial"/>
                <w:sz w:val="16"/>
                <w:szCs w:val="16"/>
                <w:color w:val="0000FF"/>
              </w:rPr>
            </w:pPr>
            <w:hyperlink w:anchor="page65">
              <w:r>
                <w:rPr>
                  <w:rFonts w:ascii="Arial" w:cs="Arial" w:eastAsia="Arial" w:hAnsi="Arial"/>
                  <w:sz w:val="16"/>
                  <w:szCs w:val="16"/>
                  <w:color w:val="0000FF"/>
                </w:rPr>
                <w:t>Certification of the Principal Executive Officer pursuant to Rules 13a-14(a) and 15d-14(a)</w:t>
              </w:r>
            </w:hyperlink>
          </w:p>
        </w:tc>
        <w:tc>
          <w:tcPr>
            <w:tcW w:w="346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500" w:type="dxa"/>
            <w:vAlign w:val="bottom"/>
            <w:tcBorders>
              <w:bottom w:val="single" w:sz="8" w:color="0000FF"/>
            </w:tcBorders>
            <w:gridSpan w:val="6"/>
          </w:tcPr>
          <w:p>
            <w:pPr>
              <w:spacing w:after="0" w:line="169" w:lineRule="exact"/>
              <w:rPr>
                <w:rFonts w:ascii="Arial" w:cs="Arial" w:eastAsia="Arial" w:hAnsi="Arial"/>
                <w:sz w:val="16"/>
                <w:szCs w:val="16"/>
                <w:color w:val="0000FF"/>
              </w:rPr>
            </w:pPr>
            <w:hyperlink w:anchor="page65">
              <w:r>
                <w:rPr>
                  <w:rFonts w:ascii="Arial" w:cs="Arial" w:eastAsia="Arial" w:hAnsi="Arial"/>
                  <w:sz w:val="16"/>
                  <w:szCs w:val="16"/>
                  <w:color w:val="0000FF"/>
                </w:rPr>
                <w:t>under the Exchange Act, as adopted pursuant to Section 302 of the Sarbanes-Oxley Act of</w:t>
              </w:r>
            </w:hyperlink>
          </w:p>
        </w:tc>
        <w:tc>
          <w:tcPr>
            <w:tcW w:w="220" w:type="dxa"/>
            <w:vAlign w:val="bottom"/>
            <w:gridSpan w:val="3"/>
          </w:tcPr>
          <w:p>
            <w:pPr>
              <w:spacing w:after="0"/>
              <w:rPr>
                <w:sz w:val="14"/>
                <w:szCs w:val="14"/>
                <w:color w:val="auto"/>
              </w:rPr>
            </w:pPr>
          </w:p>
        </w:tc>
        <w:tc>
          <w:tcPr>
            <w:tcW w:w="3460" w:type="dxa"/>
            <w:vAlign w:val="bottom"/>
          </w:tcPr>
          <w:p>
            <w:pPr>
              <w:spacing w:after="0"/>
              <w:rPr>
                <w:sz w:val="14"/>
                <w:szCs w:val="14"/>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0000FF"/>
            </w:tcBorders>
          </w:tcPr>
          <w:p>
            <w:pPr>
              <w:spacing w:after="0" w:line="169" w:lineRule="exact"/>
              <w:rPr>
                <w:rFonts w:ascii="Arial" w:cs="Arial" w:eastAsia="Arial" w:hAnsi="Arial"/>
                <w:sz w:val="16"/>
                <w:szCs w:val="16"/>
                <w:color w:val="0000FF"/>
                <w:w w:val="95"/>
              </w:rPr>
            </w:pPr>
            <w:hyperlink w:anchor="page65">
              <w:r>
                <w:rPr>
                  <w:rFonts w:ascii="Arial" w:cs="Arial" w:eastAsia="Arial" w:hAnsi="Arial"/>
                  <w:sz w:val="16"/>
                  <w:szCs w:val="16"/>
                  <w:color w:val="0000FF"/>
                  <w:w w:val="95"/>
                </w:rPr>
                <w:t>2002</w:t>
              </w:r>
            </w:hyperlink>
          </w:p>
        </w:tc>
        <w:tc>
          <w:tcPr>
            <w:tcW w:w="29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60" w:type="dxa"/>
            <w:vAlign w:val="bottom"/>
          </w:tcPr>
          <w:p>
            <w:pPr>
              <w:spacing w:after="0"/>
              <w:rPr>
                <w:sz w:val="14"/>
                <w:szCs w:val="14"/>
                <w:color w:val="auto"/>
              </w:rPr>
            </w:pPr>
          </w:p>
        </w:tc>
      </w:tr>
      <w:tr>
        <w:trPr>
          <w:trHeight w:val="223"/>
        </w:trPr>
        <w:tc>
          <w:tcPr>
            <w:tcW w:w="920" w:type="dxa"/>
            <w:vAlign w:val="bottom"/>
          </w:tcPr>
          <w:p>
            <w:pPr>
              <w:jc w:val="right"/>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60" w:type="dxa"/>
            <w:vAlign w:val="bottom"/>
            <w:tcBorders>
              <w:bottom w:val="single" w:sz="8" w:color="0000FF"/>
            </w:tcBorders>
            <w:gridSpan w:val="4"/>
          </w:tcPr>
          <w:p>
            <w:pPr>
              <w:spacing w:after="0"/>
              <w:rPr>
                <w:rFonts w:ascii="Arial" w:cs="Arial" w:eastAsia="Arial" w:hAnsi="Arial"/>
                <w:sz w:val="16"/>
                <w:szCs w:val="16"/>
                <w:color w:val="0000FF"/>
              </w:rPr>
            </w:pPr>
            <w:hyperlink w:anchor="page66">
              <w:r>
                <w:rPr>
                  <w:rFonts w:ascii="Arial" w:cs="Arial" w:eastAsia="Arial" w:hAnsi="Arial"/>
                  <w:sz w:val="16"/>
                  <w:szCs w:val="16"/>
                  <w:color w:val="0000FF"/>
                </w:rPr>
                <w:t>Certification of the Principal Financial Officer pursuant to Rules 13a-14(a) and 15d-14(a)</w:t>
              </w:r>
            </w:hyperlink>
          </w:p>
        </w:tc>
        <w:tc>
          <w:tcPr>
            <w:tcW w:w="360" w:type="dxa"/>
            <w:vAlign w:val="bottom"/>
            <w:gridSpan w:val="5"/>
          </w:tcPr>
          <w:p>
            <w:pPr>
              <w:spacing w:after="0"/>
              <w:rPr>
                <w:sz w:val="19"/>
                <w:szCs w:val="19"/>
                <w:color w:val="auto"/>
              </w:rPr>
            </w:pPr>
          </w:p>
        </w:tc>
        <w:tc>
          <w:tcPr>
            <w:tcW w:w="346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500" w:type="dxa"/>
            <w:vAlign w:val="bottom"/>
            <w:tcBorders>
              <w:bottom w:val="single" w:sz="8" w:color="0000FF"/>
            </w:tcBorders>
            <w:gridSpan w:val="6"/>
          </w:tcPr>
          <w:p>
            <w:pPr>
              <w:spacing w:after="0" w:line="169" w:lineRule="exact"/>
              <w:rPr>
                <w:rFonts w:ascii="Arial" w:cs="Arial" w:eastAsia="Arial" w:hAnsi="Arial"/>
                <w:sz w:val="16"/>
                <w:szCs w:val="16"/>
                <w:color w:val="0000FF"/>
              </w:rPr>
            </w:pPr>
            <w:hyperlink w:anchor="page66">
              <w:r>
                <w:rPr>
                  <w:rFonts w:ascii="Arial" w:cs="Arial" w:eastAsia="Arial" w:hAnsi="Arial"/>
                  <w:sz w:val="16"/>
                  <w:szCs w:val="16"/>
                  <w:color w:val="0000FF"/>
                </w:rPr>
                <w:t>under the Exchange Act, as adopted pursuant to Section 302 of the Sarbanes-Oxley Act of</w:t>
              </w:r>
            </w:hyperlink>
          </w:p>
        </w:tc>
        <w:tc>
          <w:tcPr>
            <w:tcW w:w="220" w:type="dxa"/>
            <w:vAlign w:val="bottom"/>
            <w:gridSpan w:val="3"/>
          </w:tcPr>
          <w:p>
            <w:pPr>
              <w:spacing w:after="0"/>
              <w:rPr>
                <w:sz w:val="14"/>
                <w:szCs w:val="14"/>
                <w:color w:val="auto"/>
              </w:rPr>
            </w:pPr>
          </w:p>
        </w:tc>
        <w:tc>
          <w:tcPr>
            <w:tcW w:w="3460" w:type="dxa"/>
            <w:vAlign w:val="bottom"/>
          </w:tcPr>
          <w:p>
            <w:pPr>
              <w:spacing w:after="0"/>
              <w:rPr>
                <w:sz w:val="14"/>
                <w:szCs w:val="14"/>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0000FF"/>
            </w:tcBorders>
          </w:tcPr>
          <w:p>
            <w:pPr>
              <w:spacing w:after="0" w:line="169" w:lineRule="exact"/>
              <w:rPr>
                <w:rFonts w:ascii="Arial" w:cs="Arial" w:eastAsia="Arial" w:hAnsi="Arial"/>
                <w:sz w:val="16"/>
                <w:szCs w:val="16"/>
                <w:color w:val="0000FF"/>
                <w:w w:val="95"/>
              </w:rPr>
            </w:pPr>
            <w:hyperlink w:anchor="page66">
              <w:r>
                <w:rPr>
                  <w:rFonts w:ascii="Arial" w:cs="Arial" w:eastAsia="Arial" w:hAnsi="Arial"/>
                  <w:sz w:val="16"/>
                  <w:szCs w:val="16"/>
                  <w:color w:val="0000FF"/>
                  <w:w w:val="95"/>
                </w:rPr>
                <w:t>2002</w:t>
              </w:r>
            </w:hyperlink>
          </w:p>
        </w:tc>
        <w:tc>
          <w:tcPr>
            <w:tcW w:w="29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60" w:type="dxa"/>
            <w:vAlign w:val="bottom"/>
          </w:tcPr>
          <w:p>
            <w:pPr>
              <w:spacing w:after="0"/>
              <w:rPr>
                <w:sz w:val="14"/>
                <w:szCs w:val="14"/>
                <w:color w:val="auto"/>
              </w:rPr>
            </w:pPr>
          </w:p>
        </w:tc>
      </w:tr>
      <w:tr>
        <w:trPr>
          <w:trHeight w:val="223"/>
        </w:trPr>
        <w:tc>
          <w:tcPr>
            <w:tcW w:w="920" w:type="dxa"/>
            <w:vAlign w:val="bottom"/>
          </w:tcPr>
          <w:p>
            <w:pPr>
              <w:jc w:val="right"/>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560" w:type="dxa"/>
            <w:vAlign w:val="bottom"/>
            <w:tcBorders>
              <w:bottom w:val="single" w:sz="8" w:color="0000FF"/>
            </w:tcBorders>
            <w:gridSpan w:val="7"/>
          </w:tcPr>
          <w:p>
            <w:pPr>
              <w:spacing w:after="0"/>
              <w:rPr>
                <w:rFonts w:ascii="Arial" w:cs="Arial" w:eastAsia="Arial" w:hAnsi="Arial"/>
                <w:sz w:val="16"/>
                <w:szCs w:val="16"/>
                <w:color w:val="0000FF"/>
              </w:rPr>
            </w:pPr>
            <w:hyperlink w:anchor="page67">
              <w:r>
                <w:rPr>
                  <w:rFonts w:ascii="Arial" w:cs="Arial" w:eastAsia="Arial" w:hAnsi="Arial"/>
                  <w:sz w:val="16"/>
                  <w:szCs w:val="16"/>
                  <w:color w:val="0000FF"/>
                </w:rPr>
                <w:t>Certification of the Principal Executive Officer and the Principal Financial Officer pursuant to</w:t>
              </w:r>
            </w:hyperlink>
          </w:p>
        </w:tc>
        <w:tc>
          <w:tcPr>
            <w:tcW w:w="160" w:type="dxa"/>
            <w:vAlign w:val="bottom"/>
            <w:gridSpan w:val="2"/>
          </w:tcPr>
          <w:p>
            <w:pPr>
              <w:spacing w:after="0"/>
              <w:rPr>
                <w:sz w:val="19"/>
                <w:szCs w:val="19"/>
                <w:color w:val="auto"/>
              </w:rPr>
            </w:pPr>
          </w:p>
        </w:tc>
        <w:tc>
          <w:tcPr>
            <w:tcW w:w="346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60" w:type="dxa"/>
            <w:vAlign w:val="bottom"/>
            <w:tcBorders>
              <w:bottom w:val="single" w:sz="8" w:color="0000FF"/>
            </w:tcBorders>
            <w:gridSpan w:val="5"/>
          </w:tcPr>
          <w:p>
            <w:pPr>
              <w:spacing w:after="0" w:line="169" w:lineRule="exact"/>
              <w:rPr>
                <w:rFonts w:ascii="Arial" w:cs="Arial" w:eastAsia="Arial" w:hAnsi="Arial"/>
                <w:sz w:val="16"/>
                <w:szCs w:val="16"/>
                <w:color w:val="0000FF"/>
              </w:rPr>
            </w:pPr>
            <w:hyperlink w:anchor="page67">
              <w:r>
                <w:rPr>
                  <w:rFonts w:ascii="Arial" w:cs="Arial" w:eastAsia="Arial" w:hAnsi="Arial"/>
                  <w:sz w:val="16"/>
                  <w:szCs w:val="16"/>
                  <w:color w:val="0000FF"/>
                </w:rPr>
                <w:t>18 U.S.C. Section 1350, as adopted pursuant to Section 906 of the Sarbanes-Oxley Act of</w:t>
              </w:r>
            </w:hyperlink>
          </w:p>
        </w:tc>
        <w:tc>
          <w:tcPr>
            <w:tcW w:w="260" w:type="dxa"/>
            <w:vAlign w:val="bottom"/>
            <w:gridSpan w:val="4"/>
          </w:tcPr>
          <w:p>
            <w:pPr>
              <w:spacing w:after="0"/>
              <w:rPr>
                <w:sz w:val="14"/>
                <w:szCs w:val="14"/>
                <w:color w:val="auto"/>
              </w:rPr>
            </w:pPr>
          </w:p>
        </w:tc>
        <w:tc>
          <w:tcPr>
            <w:tcW w:w="3460" w:type="dxa"/>
            <w:vAlign w:val="bottom"/>
          </w:tcPr>
          <w:p>
            <w:pPr>
              <w:spacing w:after="0"/>
              <w:rPr>
                <w:sz w:val="14"/>
                <w:szCs w:val="14"/>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0000FF"/>
            </w:tcBorders>
          </w:tcPr>
          <w:p>
            <w:pPr>
              <w:spacing w:after="0" w:line="169" w:lineRule="exact"/>
              <w:rPr>
                <w:rFonts w:ascii="Arial" w:cs="Arial" w:eastAsia="Arial" w:hAnsi="Arial"/>
                <w:sz w:val="16"/>
                <w:szCs w:val="16"/>
                <w:color w:val="0000FF"/>
                <w:w w:val="95"/>
              </w:rPr>
            </w:pPr>
            <w:hyperlink w:anchor="page67">
              <w:r>
                <w:rPr>
                  <w:rFonts w:ascii="Arial" w:cs="Arial" w:eastAsia="Arial" w:hAnsi="Arial"/>
                  <w:sz w:val="16"/>
                  <w:szCs w:val="16"/>
                  <w:color w:val="0000FF"/>
                  <w:w w:val="95"/>
                </w:rPr>
                <w:t>2002</w:t>
              </w:r>
            </w:hyperlink>
          </w:p>
        </w:tc>
        <w:tc>
          <w:tcPr>
            <w:tcW w:w="29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60" w:type="dxa"/>
            <w:vAlign w:val="bottom"/>
          </w:tcPr>
          <w:p>
            <w:pPr>
              <w:spacing w:after="0"/>
              <w:rPr>
                <w:sz w:val="14"/>
                <w:szCs w:val="14"/>
                <w:color w:val="auto"/>
              </w:rPr>
            </w:pPr>
          </w:p>
        </w:tc>
      </w:tr>
      <w:tr>
        <w:trPr>
          <w:trHeight w:val="252"/>
        </w:trPr>
        <w:tc>
          <w:tcPr>
            <w:tcW w:w="1040" w:type="dxa"/>
            <w:vAlign w:val="bottom"/>
            <w:gridSpan w:val="2"/>
          </w:tcPr>
          <w:p>
            <w:pPr>
              <w:ind w:left="300"/>
              <w:spacing w:after="0"/>
              <w:rPr>
                <w:sz w:val="20"/>
                <w:szCs w:val="20"/>
                <w:color w:val="auto"/>
              </w:rPr>
            </w:pPr>
            <w:r>
              <w:rPr>
                <w:rFonts w:ascii="Arial" w:cs="Arial" w:eastAsia="Arial" w:hAnsi="Arial"/>
                <w:sz w:val="16"/>
                <w:szCs w:val="16"/>
                <w:color w:val="auto"/>
              </w:rPr>
              <w:t>101.INS</w:t>
            </w:r>
          </w:p>
        </w:tc>
        <w:tc>
          <w:tcPr>
            <w:tcW w:w="20" w:type="dxa"/>
            <w:vAlign w:val="bottom"/>
          </w:tcPr>
          <w:p>
            <w:pPr>
              <w:spacing w:after="0"/>
              <w:rPr>
                <w:sz w:val="21"/>
                <w:szCs w:val="21"/>
                <w:color w:val="auto"/>
              </w:rPr>
            </w:pPr>
          </w:p>
        </w:tc>
        <w:tc>
          <w:tcPr>
            <w:tcW w:w="6720" w:type="dxa"/>
            <w:vAlign w:val="bottom"/>
            <w:gridSpan w:val="9"/>
          </w:tcPr>
          <w:p>
            <w:pPr>
              <w:spacing w:after="0"/>
              <w:rPr>
                <w:sz w:val="20"/>
                <w:szCs w:val="20"/>
                <w:color w:val="auto"/>
              </w:rPr>
            </w:pPr>
            <w:r>
              <w:rPr>
                <w:rFonts w:ascii="Arial" w:cs="Arial" w:eastAsia="Arial" w:hAnsi="Arial"/>
                <w:sz w:val="16"/>
                <w:szCs w:val="16"/>
                <w:color w:val="auto"/>
              </w:rPr>
              <w:t>XBRL Instance Document - the instance document does not appear in the Interactive Data</w:t>
            </w:r>
          </w:p>
        </w:tc>
        <w:tc>
          <w:tcPr>
            <w:tcW w:w="3460" w:type="dxa"/>
            <w:vAlign w:val="bottom"/>
          </w:tcPr>
          <w:p>
            <w:pPr>
              <w:spacing w:after="0"/>
              <w:rPr>
                <w:sz w:val="21"/>
                <w:szCs w:val="21"/>
                <w:color w:val="auto"/>
              </w:rPr>
            </w:pPr>
          </w:p>
        </w:tc>
      </w:tr>
      <w:tr>
        <w:trPr>
          <w:trHeight w:val="195"/>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720" w:type="dxa"/>
            <w:vAlign w:val="bottom"/>
            <w:gridSpan w:val="9"/>
          </w:tcPr>
          <w:p>
            <w:pPr>
              <w:spacing w:after="0"/>
              <w:rPr>
                <w:sz w:val="20"/>
                <w:szCs w:val="20"/>
                <w:color w:val="auto"/>
              </w:rPr>
            </w:pPr>
            <w:r>
              <w:rPr>
                <w:rFonts w:ascii="Arial" w:cs="Arial" w:eastAsia="Arial" w:hAnsi="Arial"/>
                <w:sz w:val="16"/>
                <w:szCs w:val="16"/>
                <w:color w:val="auto"/>
              </w:rPr>
              <w:t>File because its XBRL tags are embedded within the inline XBRL document</w:t>
            </w:r>
          </w:p>
        </w:tc>
        <w:tc>
          <w:tcPr>
            <w:tcW w:w="3460" w:type="dxa"/>
            <w:vAlign w:val="bottom"/>
          </w:tcPr>
          <w:p>
            <w:pPr>
              <w:spacing w:after="0"/>
              <w:rPr>
                <w:sz w:val="16"/>
                <w:szCs w:val="16"/>
                <w:color w:val="auto"/>
              </w:rPr>
            </w:pPr>
          </w:p>
        </w:tc>
      </w:tr>
    </w:tbl>
    <w:p>
      <w:pPr>
        <w:spacing w:after="0" w:line="48" w:lineRule="exact"/>
        <w:rPr>
          <w:sz w:val="20"/>
          <w:szCs w:val="20"/>
          <w:color w:val="auto"/>
        </w:rPr>
      </w:pPr>
    </w:p>
    <w:p>
      <w:pPr>
        <w:sectPr>
          <w:pgSz w:w="11900" w:h="16838" w:orient="portrait"/>
          <w:cols w:equalWidth="0" w:num="1">
            <w:col w:w="11240"/>
          </w:cols>
          <w:pgMar w:left="320" w:top="140" w:right="339" w:bottom="1440" w:gutter="0" w:footer="0" w:header="0"/>
        </w:sectPr>
      </w:pPr>
    </w:p>
    <w:p>
      <w:pPr>
        <w:jc w:val="right"/>
        <w:spacing w:after="0"/>
        <w:rPr>
          <w:sz w:val="20"/>
          <w:szCs w:val="20"/>
          <w:color w:val="auto"/>
        </w:rPr>
      </w:pPr>
      <w:r>
        <w:rPr>
          <w:rFonts w:ascii="Arial" w:cs="Arial" w:eastAsia="Arial" w:hAnsi="Arial"/>
          <w:sz w:val="16"/>
          <w:szCs w:val="16"/>
          <w:color w:val="auto"/>
        </w:rPr>
        <w:t>101.SCH</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101.CAL</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101.DEF</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101.LAB</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101.PRE</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104</w:t>
      </w:r>
    </w:p>
    <w:p>
      <w:pPr>
        <w:spacing w:after="0" w:line="398" w:lineRule="exact"/>
        <w:rPr>
          <w:sz w:val="20"/>
          <w:szCs w:val="20"/>
          <w:color w:val="auto"/>
        </w:rPr>
      </w:pPr>
    </w:p>
    <w:p>
      <w:pPr>
        <w:spacing w:after="0"/>
        <w:rPr>
          <w:sz w:val="20"/>
          <w:szCs w:val="20"/>
          <w:color w:val="auto"/>
        </w:rPr>
      </w:pPr>
      <w:r>
        <w:rPr>
          <w:rFonts w:ascii="Arial" w:cs="Arial" w:eastAsia="Arial" w:hAnsi="Arial"/>
          <w:sz w:val="9"/>
          <w:szCs w:val="9"/>
          <w:color w:val="auto"/>
        </w:rPr>
        <w:t>________________</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Schema Document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Calculation Linkbase Document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Definition Linkbase Document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Label Linkbase Document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Presentation Linkbase Document</w:t>
      </w:r>
    </w:p>
    <w:p>
      <w:pPr>
        <w:spacing w:after="0" w:line="59" w:lineRule="exact"/>
        <w:rPr>
          <w:sz w:val="20"/>
          <w:szCs w:val="20"/>
          <w:color w:val="auto"/>
        </w:rPr>
      </w:pPr>
    </w:p>
    <w:p>
      <w:pPr>
        <w:ind w:right="3940"/>
        <w:spacing w:after="0" w:line="253" w:lineRule="auto"/>
        <w:rPr>
          <w:sz w:val="20"/>
          <w:szCs w:val="20"/>
          <w:color w:val="auto"/>
        </w:rPr>
      </w:pPr>
      <w:r>
        <w:rPr>
          <w:rFonts w:ascii="Arial" w:cs="Arial" w:eastAsia="Arial" w:hAnsi="Arial"/>
          <w:sz w:val="16"/>
          <w:szCs w:val="16"/>
          <w:color w:val="auto"/>
        </w:rPr>
        <w:t>Cover Page Interactive Data File (formatted as Inline XBRL with applicable taxonomy extension information contained in Exhibits 101.SCH, 101.CAL, 101.DEF, 101.LAB and 101.PRE)</w:t>
      </w:r>
    </w:p>
    <w:p>
      <w:pPr>
        <w:spacing w:after="0" w:line="131" w:lineRule="exact"/>
        <w:rPr>
          <w:sz w:val="20"/>
          <w:szCs w:val="20"/>
          <w:color w:val="auto"/>
        </w:rPr>
      </w:pPr>
    </w:p>
    <w:p>
      <w:pPr>
        <w:sectPr>
          <w:pgSz w:w="11900" w:h="16838" w:orient="portrait"/>
          <w:cols w:equalWidth="0" w:num="2">
            <w:col w:w="880" w:space="180"/>
            <w:col w:w="10180"/>
          </w:cols>
          <w:pgMar w:left="320" w:top="140" w:right="339" w:bottom="1440" w:gutter="0" w:footer="0" w:header="0"/>
          <w:type w:val="continuous"/>
        </w:sectPr>
      </w:pPr>
    </w:p>
    <w:p>
      <w:pPr>
        <w:ind w:right="180" w:firstLine="332"/>
        <w:spacing w:after="0" w:line="256" w:lineRule="auto"/>
        <w:tabs>
          <w:tab w:leader="none" w:pos="71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40" w:right="339" w:bottom="1440" w:gutter="0" w:footer="0" w:header="0"/>
          <w:type w:val="continuous"/>
        </w:sectPr>
      </w:pPr>
    </w:p>
    <w:bookmarkStart w:id="59" w:name="page60"/>
    <w:bookmarkEnd w:id="5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5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6820" w:type="dxa"/>
            <w:vAlign w:val="bottom"/>
            <w:gridSpan w:val="2"/>
          </w:tcPr>
          <w:p>
            <w:pPr>
              <w:ind w:left="1320"/>
              <w:spacing w:after="0"/>
              <w:rPr>
                <w:sz w:val="20"/>
                <w:szCs w:val="20"/>
                <w:color w:val="auto"/>
              </w:rPr>
            </w:pPr>
            <w:r>
              <w:rPr>
                <w:rFonts w:ascii="Arial" w:cs="Arial" w:eastAsia="Arial" w:hAnsi="Arial"/>
                <w:sz w:val="18"/>
                <w:szCs w:val="18"/>
                <w:b w:val="1"/>
                <w:bCs w:val="1"/>
                <w:color w:val="auto"/>
              </w:rPr>
              <w:t>TENABLE HOLDINGS, INC.</w:t>
            </w:r>
          </w:p>
        </w:tc>
      </w:tr>
      <w:tr>
        <w:trPr>
          <w:trHeight w:val="588"/>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2360" w:type="dxa"/>
            <w:vAlign w:val="bottom"/>
          </w:tcPr>
          <w:p>
            <w:pPr>
              <w:ind w:left="60"/>
              <w:spacing w:after="0"/>
              <w:rPr>
                <w:sz w:val="20"/>
                <w:szCs w:val="20"/>
                <w:color w:val="auto"/>
              </w:rPr>
            </w:pPr>
            <w:r>
              <w:rPr>
                <w:rFonts w:ascii="Arial" w:cs="Arial" w:eastAsia="Arial" w:hAnsi="Arial"/>
                <w:sz w:val="18"/>
                <w:szCs w:val="18"/>
                <w:color w:val="auto"/>
              </w:rPr>
              <w:t>May 7, 2020</w:t>
            </w:r>
          </w:p>
        </w:tc>
        <w:tc>
          <w:tcPr>
            <w:tcW w:w="6820" w:type="dxa"/>
            <w:vAlign w:val="bottom"/>
            <w:gridSpan w:val="2"/>
          </w:tcPr>
          <w:p>
            <w:pPr>
              <w:ind w:left="1320"/>
              <w:spacing w:after="0"/>
              <w:rPr>
                <w:sz w:val="20"/>
                <w:szCs w:val="20"/>
                <w:color w:val="auto"/>
              </w:rPr>
            </w:pPr>
            <w:r>
              <w:rPr>
                <w:rFonts w:ascii="Arial" w:cs="Arial" w:eastAsia="Arial" w:hAnsi="Arial"/>
                <w:sz w:val="18"/>
                <w:szCs w:val="18"/>
                <w:color w:val="auto"/>
              </w:rPr>
              <w:t>By: /s/ Amit Yoran</w:t>
            </w:r>
          </w:p>
        </w:tc>
      </w:tr>
      <w:tr>
        <w:trPr>
          <w:trHeight w:val="243"/>
        </w:trPr>
        <w:tc>
          <w:tcPr>
            <w:tcW w:w="50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5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Amit Yoran</w:t>
            </w:r>
          </w:p>
        </w:tc>
      </w:tr>
      <w:tr>
        <w:trPr>
          <w:trHeight w:val="270"/>
        </w:trPr>
        <w:tc>
          <w:tcPr>
            <w:tcW w:w="50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r>
        <w:trPr>
          <w:trHeight w:val="270"/>
        </w:trPr>
        <w:tc>
          <w:tcPr>
            <w:tcW w:w="50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5140" w:type="dxa"/>
            <w:vAlign w:val="bottom"/>
          </w:tcPr>
          <w:p>
            <w:pPr>
              <w:ind w:left="20"/>
              <w:spacing w:after="0"/>
              <w:rPr>
                <w:sz w:val="20"/>
                <w:szCs w:val="20"/>
                <w:color w:val="auto"/>
              </w:rPr>
            </w:pPr>
            <w:r>
              <w:rPr>
                <w:rFonts w:ascii="Arial" w:cs="Arial" w:eastAsia="Arial" w:hAnsi="Arial"/>
                <w:sz w:val="18"/>
                <w:szCs w:val="18"/>
                <w:i w:val="1"/>
                <w:iCs w:val="1"/>
                <w:color w:val="auto"/>
              </w:rPr>
              <w:t>(On Behalf of the Registrant and as Principal Executive Officer)</w:t>
            </w:r>
          </w:p>
        </w:tc>
      </w:tr>
      <w:tr>
        <w:trPr>
          <w:trHeight w:val="588"/>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2360" w:type="dxa"/>
            <w:vAlign w:val="bottom"/>
          </w:tcPr>
          <w:p>
            <w:pPr>
              <w:ind w:left="60"/>
              <w:spacing w:after="0"/>
              <w:rPr>
                <w:sz w:val="20"/>
                <w:szCs w:val="20"/>
                <w:color w:val="auto"/>
              </w:rPr>
            </w:pPr>
            <w:r>
              <w:rPr>
                <w:rFonts w:ascii="Arial" w:cs="Arial" w:eastAsia="Arial" w:hAnsi="Arial"/>
                <w:sz w:val="18"/>
                <w:szCs w:val="18"/>
                <w:color w:val="auto"/>
              </w:rPr>
              <w:t>May 7, 2020</w:t>
            </w:r>
          </w:p>
        </w:tc>
        <w:tc>
          <w:tcPr>
            <w:tcW w:w="6820" w:type="dxa"/>
            <w:vAlign w:val="bottom"/>
            <w:gridSpan w:val="2"/>
          </w:tcPr>
          <w:p>
            <w:pPr>
              <w:ind w:left="1320"/>
              <w:spacing w:after="0"/>
              <w:rPr>
                <w:sz w:val="20"/>
                <w:szCs w:val="20"/>
                <w:color w:val="auto"/>
              </w:rPr>
            </w:pPr>
            <w:r>
              <w:rPr>
                <w:rFonts w:ascii="Arial" w:cs="Arial" w:eastAsia="Arial" w:hAnsi="Arial"/>
                <w:sz w:val="18"/>
                <w:szCs w:val="18"/>
                <w:color w:val="auto"/>
              </w:rPr>
              <w:t>By: /s/ Stephen A. Vintz</w:t>
            </w:r>
          </w:p>
        </w:tc>
      </w:tr>
      <w:tr>
        <w:trPr>
          <w:trHeight w:val="243"/>
        </w:trPr>
        <w:tc>
          <w:tcPr>
            <w:tcW w:w="50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5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Stephen A. Vintz</w:t>
            </w:r>
          </w:p>
        </w:tc>
      </w:tr>
      <w:tr>
        <w:trPr>
          <w:trHeight w:val="270"/>
        </w:trPr>
        <w:tc>
          <w:tcPr>
            <w:tcW w:w="50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0"/>
        </w:trPr>
        <w:tc>
          <w:tcPr>
            <w:tcW w:w="50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514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 and Principal Accounting Officer)</w:t>
            </w:r>
          </w:p>
        </w:tc>
      </w:tr>
      <w:tr>
        <w:trPr>
          <w:trHeight w:val="878"/>
        </w:trPr>
        <w:tc>
          <w:tcPr>
            <w:tcW w:w="5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820" w:type="dxa"/>
            <w:vAlign w:val="bottom"/>
            <w:gridSpan w:val="2"/>
          </w:tcPr>
          <w:p>
            <w:pPr>
              <w:jc w:val="right"/>
              <w:ind w:right="3910"/>
              <w:spacing w:after="0"/>
              <w:rPr>
                <w:sz w:val="20"/>
                <w:szCs w:val="20"/>
                <w:color w:val="auto"/>
              </w:rPr>
            </w:pPr>
            <w:r>
              <w:rPr>
                <w:rFonts w:ascii="Arial" w:cs="Arial" w:eastAsia="Arial" w:hAnsi="Arial"/>
                <w:sz w:val="18"/>
                <w:szCs w:val="18"/>
                <w:color w:val="auto"/>
              </w:rPr>
              <w:t>60</w:t>
            </w:r>
          </w:p>
        </w:tc>
      </w:tr>
    </w:tbl>
    <w:p>
      <w:pPr>
        <w:sectPr>
          <w:pgSz w:w="11900" w:h="16838" w:orient="portrait"/>
          <w:cols w:equalWidth="0" w:num="1">
            <w:col w:w="11200"/>
          </w:cols>
          <w:pgMar w:left="320" w:top="140" w:right="379" w:bottom="1440" w:gutter="0" w:footer="0" w:header="0"/>
        </w:sectPr>
      </w:pPr>
    </w:p>
    <w:bookmarkStart w:id="60" w:name="page61"/>
    <w:bookmarkEnd w:id="60"/>
    <w:p>
      <w:pPr>
        <w:jc w:val="center"/>
        <w:spacing w:after="0"/>
        <w:rPr>
          <w:sz w:val="20"/>
          <w:szCs w:val="20"/>
          <w:color w:val="auto"/>
        </w:rPr>
      </w:pPr>
      <w:r>
        <w:rPr>
          <w:rFonts w:ascii="Arial" w:cs="Arial" w:eastAsia="Arial" w:hAnsi="Arial"/>
          <w:sz w:val="22"/>
          <w:szCs w:val="22"/>
          <w:b w:val="1"/>
          <w:bCs w:val="1"/>
          <w:color w:val="auto"/>
        </w:rPr>
        <w:t>FIRST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LOAN AND SECURITY AGREEMENT</w:t>
      </w:r>
    </w:p>
    <w:p>
      <w:pPr>
        <w:spacing w:after="0" w:line="231" w:lineRule="exact"/>
        <w:rPr>
          <w:sz w:val="20"/>
          <w:szCs w:val="20"/>
          <w:color w:val="auto"/>
        </w:rPr>
      </w:pPr>
    </w:p>
    <w:p>
      <w:pPr>
        <w:ind w:firstLine="648"/>
        <w:spacing w:after="0" w:line="226" w:lineRule="auto"/>
        <w:rPr>
          <w:sz w:val="20"/>
          <w:szCs w:val="20"/>
          <w:color w:val="auto"/>
        </w:rPr>
      </w:pPr>
      <w:r>
        <w:rPr>
          <w:rFonts w:ascii="Arial" w:cs="Arial" w:eastAsia="Arial" w:hAnsi="Arial"/>
          <w:sz w:val="22"/>
          <w:szCs w:val="22"/>
          <w:color w:val="auto"/>
        </w:rPr>
        <w:t>This First Amendment to Loan and Security Agreement (this “</w:t>
      </w:r>
      <w:r>
        <w:rPr>
          <w:rFonts w:ascii="Arial" w:cs="Arial" w:eastAsia="Arial" w:hAnsi="Arial"/>
          <w:sz w:val="22"/>
          <w:szCs w:val="22"/>
          <w:b w:val="1"/>
          <w:bCs w:val="1"/>
          <w:color w:val="auto"/>
        </w:rPr>
        <w:t>Amendment</w:t>
      </w:r>
      <w:r>
        <w:rPr>
          <w:rFonts w:ascii="Arial" w:cs="Arial" w:eastAsia="Arial" w:hAnsi="Arial"/>
          <w:sz w:val="22"/>
          <w:szCs w:val="22"/>
          <w:color w:val="auto"/>
        </w:rPr>
        <w:t>”) is entered into this 22</w:t>
      </w:r>
      <w:r>
        <w:rPr>
          <w:rFonts w:ascii="Arial" w:cs="Arial" w:eastAsia="Arial" w:hAnsi="Arial"/>
          <w:sz w:val="28"/>
          <w:szCs w:val="28"/>
          <w:color w:val="auto"/>
          <w:vertAlign w:val="superscript"/>
        </w:rPr>
        <w:t>nd</w:t>
      </w:r>
      <w:r>
        <w:rPr>
          <w:rFonts w:ascii="Arial" w:cs="Arial" w:eastAsia="Arial" w:hAnsi="Arial"/>
          <w:sz w:val="22"/>
          <w:szCs w:val="22"/>
          <w:color w:val="auto"/>
        </w:rPr>
        <w:t xml:space="preserve"> day of April, 2020, by and between Silicon Valley Bank (“</w:t>
      </w:r>
      <w:r>
        <w:rPr>
          <w:rFonts w:ascii="Arial" w:cs="Arial" w:eastAsia="Arial" w:hAnsi="Arial"/>
          <w:sz w:val="22"/>
          <w:szCs w:val="22"/>
          <w:b w:val="1"/>
          <w:bCs w:val="1"/>
          <w:color w:val="auto"/>
        </w:rPr>
        <w:t>Bank</w:t>
      </w:r>
      <w:r>
        <w:rPr>
          <w:rFonts w:ascii="Arial" w:cs="Arial" w:eastAsia="Arial" w:hAnsi="Arial"/>
          <w:sz w:val="22"/>
          <w:szCs w:val="22"/>
          <w:color w:val="auto"/>
        </w:rPr>
        <w:t>”), and Tenable, Inc., a Delaware corporation (“</w:t>
      </w:r>
      <w:r>
        <w:rPr>
          <w:rFonts w:ascii="Arial" w:cs="Arial" w:eastAsia="Arial" w:hAnsi="Arial"/>
          <w:sz w:val="22"/>
          <w:szCs w:val="22"/>
          <w:b w:val="1"/>
          <w:bCs w:val="1"/>
          <w:color w:val="auto"/>
        </w:rPr>
        <w:t>Borrower</w:t>
      </w:r>
      <w:r>
        <w:rPr>
          <w:rFonts w:ascii="Arial" w:cs="Arial" w:eastAsia="Arial" w:hAnsi="Arial"/>
          <w:sz w:val="22"/>
          <w:szCs w:val="22"/>
          <w:color w:val="auto"/>
        </w:rPr>
        <w: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6" w:lineRule="exact"/>
        <w:rPr>
          <w:sz w:val="20"/>
          <w:szCs w:val="20"/>
          <w:color w:val="auto"/>
        </w:rPr>
      </w:pPr>
    </w:p>
    <w:p>
      <w:pPr>
        <w:jc w:val="both"/>
        <w:ind w:firstLine="656"/>
        <w:spacing w:after="0" w:line="253" w:lineRule="auto"/>
        <w:tabs>
          <w:tab w:leader="none" w:pos="1156" w:val="left"/>
        </w:tabs>
        <w:numPr>
          <w:ilvl w:val="0"/>
          <w:numId w:val="30"/>
        </w:numPr>
        <w:rPr>
          <w:rFonts w:ascii="Arial" w:cs="Arial" w:eastAsia="Arial" w:hAnsi="Arial"/>
          <w:sz w:val="22"/>
          <w:szCs w:val="22"/>
          <w:b w:val="1"/>
          <w:bCs w:val="1"/>
          <w:color w:val="auto"/>
        </w:rPr>
      </w:pPr>
      <w:r>
        <w:rPr>
          <w:rFonts w:ascii="Arial" w:cs="Arial" w:eastAsia="Arial" w:hAnsi="Arial"/>
          <w:sz w:val="22"/>
          <w:szCs w:val="22"/>
          <w:color w:val="auto"/>
        </w:rPr>
        <w:t>Bank and Borrower have entered into that certain Loan and Security Agreement dated as of May 4, 2017 (as the same may be amended, restated, amended and restated, supplemented or otherwise modified from time to time, the “</w:t>
      </w:r>
      <w:r>
        <w:rPr>
          <w:rFonts w:ascii="Arial" w:cs="Arial" w:eastAsia="Arial" w:hAnsi="Arial"/>
          <w:sz w:val="22"/>
          <w:szCs w:val="22"/>
          <w:b w:val="1"/>
          <w:bCs w:val="1"/>
          <w:color w:val="auto"/>
        </w:rPr>
        <w:t>Loan</w:t>
      </w:r>
      <w:r>
        <w:rPr>
          <w:rFonts w:ascii="Arial" w:cs="Arial" w:eastAsia="Arial" w:hAnsi="Arial"/>
          <w:sz w:val="22"/>
          <w:szCs w:val="22"/>
          <w:color w:val="auto"/>
        </w:rPr>
        <w:t xml:space="preserve"> </w:t>
      </w:r>
      <w:r>
        <w:rPr>
          <w:rFonts w:ascii="Arial" w:cs="Arial" w:eastAsia="Arial" w:hAnsi="Arial"/>
          <w:sz w:val="22"/>
          <w:szCs w:val="22"/>
          <w:b w:val="1"/>
          <w:bCs w:val="1"/>
          <w:color w:val="auto"/>
        </w:rPr>
        <w:t>Agreement</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ind w:left="1080" w:hanging="424"/>
        <w:spacing w:after="0"/>
        <w:tabs>
          <w:tab w:leader="none" w:pos="1080" w:val="left"/>
        </w:tabs>
        <w:numPr>
          <w:ilvl w:val="0"/>
          <w:numId w:val="30"/>
        </w:numPr>
        <w:rPr>
          <w:rFonts w:ascii="Arial" w:cs="Arial" w:eastAsia="Arial" w:hAnsi="Arial"/>
          <w:sz w:val="22"/>
          <w:szCs w:val="22"/>
          <w:b w:val="1"/>
          <w:bCs w:val="1"/>
          <w:color w:val="auto"/>
        </w:rPr>
      </w:pPr>
      <w:r>
        <w:rPr>
          <w:rFonts w:ascii="Arial" w:cs="Arial" w:eastAsia="Arial" w:hAnsi="Arial"/>
          <w:sz w:val="22"/>
          <w:szCs w:val="22"/>
          <w:color w:val="auto"/>
        </w:rPr>
        <w:t>Bank has extended credit to Borrower for the purposes permitted in the Loan Agreement.</w:t>
      </w:r>
    </w:p>
    <w:p>
      <w:pPr>
        <w:spacing w:after="0" w:line="219" w:lineRule="exact"/>
        <w:rPr>
          <w:rFonts w:ascii="Arial" w:cs="Arial" w:eastAsia="Arial" w:hAnsi="Arial"/>
          <w:sz w:val="22"/>
          <w:szCs w:val="22"/>
          <w:b w:val="1"/>
          <w:bCs w:val="1"/>
          <w:color w:val="auto"/>
        </w:rPr>
      </w:pPr>
    </w:p>
    <w:p>
      <w:pPr>
        <w:ind w:right="20" w:firstLine="656"/>
        <w:spacing w:after="0" w:line="263" w:lineRule="auto"/>
        <w:tabs>
          <w:tab w:leader="none" w:pos="1120" w:val="left"/>
        </w:tabs>
        <w:numPr>
          <w:ilvl w:val="0"/>
          <w:numId w:val="30"/>
        </w:numPr>
        <w:rPr>
          <w:rFonts w:ascii="Arial" w:cs="Arial" w:eastAsia="Arial" w:hAnsi="Arial"/>
          <w:sz w:val="22"/>
          <w:szCs w:val="22"/>
          <w:b w:val="1"/>
          <w:bCs w:val="1"/>
          <w:color w:val="auto"/>
        </w:rPr>
      </w:pPr>
      <w:r>
        <w:rPr>
          <w:rFonts w:ascii="Arial" w:cs="Arial" w:eastAsia="Arial" w:hAnsi="Arial"/>
          <w:sz w:val="22"/>
          <w:szCs w:val="22"/>
          <w:color w:val="auto"/>
        </w:rPr>
        <w:t>Borrower has requested that Bank amend the Loan Agreement to make certain revisions to the Loan Agreement as more fully set forth herein.</w:t>
      </w:r>
    </w:p>
    <w:p>
      <w:pPr>
        <w:spacing w:after="0" w:line="174" w:lineRule="exact"/>
        <w:rPr>
          <w:rFonts w:ascii="Arial" w:cs="Arial" w:eastAsia="Arial" w:hAnsi="Arial"/>
          <w:sz w:val="22"/>
          <w:szCs w:val="22"/>
          <w:b w:val="1"/>
          <w:bCs w:val="1"/>
          <w:color w:val="auto"/>
        </w:rPr>
      </w:pPr>
    </w:p>
    <w:p>
      <w:pPr>
        <w:ind w:firstLine="656"/>
        <w:spacing w:after="0" w:line="343" w:lineRule="auto"/>
        <w:tabs>
          <w:tab w:leader="none" w:pos="1123" w:val="left"/>
        </w:tabs>
        <w:numPr>
          <w:ilvl w:val="0"/>
          <w:numId w:val="30"/>
        </w:numPr>
        <w:rPr>
          <w:rFonts w:ascii="Arial" w:cs="Arial" w:eastAsia="Arial" w:hAnsi="Arial"/>
          <w:sz w:val="19"/>
          <w:szCs w:val="19"/>
          <w:b w:val="1"/>
          <w:bCs w:val="1"/>
          <w:color w:val="auto"/>
        </w:rPr>
      </w:pPr>
      <w:r>
        <w:rPr>
          <w:rFonts w:ascii="Arial" w:cs="Arial" w:eastAsia="Arial" w:hAnsi="Arial"/>
          <w:sz w:val="19"/>
          <w:szCs w:val="19"/>
          <w:color w:val="auto"/>
        </w:rPr>
        <w:t>Bank has agreed to so amend certain provisions of the Loan Agreement, but only to the extent, in accordance with the terms, subject to the conditions and in reliance upon the representations and warranties set forth below.</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20" w:lineRule="exact"/>
        <w:rPr>
          <w:sz w:val="20"/>
          <w:szCs w:val="20"/>
          <w:color w:val="auto"/>
        </w:rPr>
      </w:pPr>
    </w:p>
    <w:p>
      <w:pPr>
        <w:ind w:firstLine="648"/>
        <w:spacing w:after="0" w:line="349" w:lineRule="auto"/>
        <w:rPr>
          <w:sz w:val="20"/>
          <w:szCs w:val="20"/>
          <w:color w:val="auto"/>
        </w:rPr>
      </w:pPr>
      <w:r>
        <w:rPr>
          <w:rFonts w:ascii="Arial" w:cs="Arial" w:eastAsia="Arial" w:hAnsi="Arial"/>
          <w:sz w:val="19"/>
          <w:szCs w:val="19"/>
          <w:b w:val="1"/>
          <w:bCs w:val="1"/>
          <w:color w:val="auto"/>
        </w:rPr>
        <w:t xml:space="preserve">NOW, THEREFORE, </w:t>
      </w:r>
      <w:r>
        <w:rPr>
          <w:rFonts w:ascii="Arial" w:cs="Arial" w:eastAsia="Arial" w:hAnsi="Arial"/>
          <w:sz w:val="19"/>
          <w:szCs w:val="19"/>
          <w:color w:val="auto"/>
        </w:rPr>
        <w:t>in consideration of the foregoing recitals and other good and valuable consideration, the receipt</w:t>
      </w:r>
      <w:r>
        <w:rPr>
          <w:rFonts w:ascii="Arial" w:cs="Arial" w:eastAsia="Arial" w:hAnsi="Arial"/>
          <w:sz w:val="19"/>
          <w:szCs w:val="19"/>
          <w:b w:val="1"/>
          <w:bCs w:val="1"/>
          <w:color w:val="auto"/>
        </w:rPr>
        <w:t xml:space="preserve"> </w:t>
      </w:r>
      <w:r>
        <w:rPr>
          <w:rFonts w:ascii="Arial" w:cs="Arial" w:eastAsia="Arial" w:hAnsi="Arial"/>
          <w:sz w:val="19"/>
          <w:szCs w:val="19"/>
          <w:color w:val="auto"/>
        </w:rPr>
        <w:t>and adequacy of which is hereby acknowledged, and intending to be legally bound, the parties hereto agree as follows:</w:t>
      </w:r>
    </w:p>
    <w:p>
      <w:pPr>
        <w:spacing w:after="0" w:line="67" w:lineRule="exact"/>
        <w:rPr>
          <w:sz w:val="20"/>
          <w:szCs w:val="20"/>
          <w:color w:val="auto"/>
        </w:rPr>
      </w:pPr>
    </w:p>
    <w:p>
      <w:pPr>
        <w:ind w:firstLine="656"/>
        <w:spacing w:after="0" w:line="235" w:lineRule="auto"/>
        <w:tabs>
          <w:tab w:leader="none" w:pos="1458"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Definitions. </w:t>
      </w:r>
      <w:r>
        <w:rPr>
          <w:rFonts w:ascii="Arial" w:cs="Arial" w:eastAsia="Arial" w:hAnsi="Arial"/>
          <w:sz w:val="22"/>
          <w:szCs w:val="22"/>
          <w:color w:val="auto"/>
        </w:rPr>
        <w:t>Capitalized terms used but not defined in this Amendment shall have the meanings given to them in</w:t>
      </w:r>
      <w:r>
        <w:rPr>
          <w:rFonts w:ascii="Arial" w:cs="Arial" w:eastAsia="Arial" w:hAnsi="Arial"/>
          <w:sz w:val="22"/>
          <w:szCs w:val="22"/>
          <w:b w:val="1"/>
          <w:bCs w:val="1"/>
          <w:color w:val="auto"/>
        </w:rPr>
        <w:t xml:space="preserve"> </w:t>
      </w:r>
      <w:r>
        <w:rPr>
          <w:rFonts w:ascii="Arial" w:cs="Arial" w:eastAsia="Arial" w:hAnsi="Arial"/>
          <w:sz w:val="22"/>
          <w:szCs w:val="22"/>
          <w:color w:val="auto"/>
        </w:rPr>
        <w:t>the Loan Agreement.</w:t>
      </w:r>
    </w:p>
    <w:p>
      <w:pPr>
        <w:spacing w:after="0" w:line="179" w:lineRule="exact"/>
        <w:rPr>
          <w:rFonts w:ascii="Arial" w:cs="Arial" w:eastAsia="Arial" w:hAnsi="Arial"/>
          <w:sz w:val="22"/>
          <w:szCs w:val="22"/>
          <w:b w:val="1"/>
          <w:bCs w:val="1"/>
          <w:color w:val="auto"/>
        </w:rPr>
      </w:pPr>
    </w:p>
    <w:p>
      <w:pPr>
        <w:ind w:left="1000" w:hanging="344"/>
        <w:spacing w:after="0"/>
        <w:tabs>
          <w:tab w:leader="none" w:pos="1000"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color w:val="auto"/>
        </w:rPr>
        <w:t>Amendments to Loan Agreement.</w:t>
      </w:r>
    </w:p>
    <w:p>
      <w:pPr>
        <w:spacing w:after="0" w:line="12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 xml:space="preserve">2.1 Section 2.2.2 </w:t>
      </w:r>
      <w:r>
        <w:rPr>
          <w:rFonts w:ascii="Arial" w:cs="Arial" w:eastAsia="Arial" w:hAnsi="Arial"/>
          <w:sz w:val="22"/>
          <w:szCs w:val="22"/>
          <w:color w:val="auto"/>
        </w:rPr>
        <w:t>(</w:t>
      </w:r>
      <w:r>
        <w:rPr>
          <w:rFonts w:ascii="Arial" w:cs="Arial" w:eastAsia="Arial" w:hAnsi="Arial"/>
          <w:sz w:val="22"/>
          <w:szCs w:val="22"/>
          <w:b w:val="1"/>
          <w:bCs w:val="1"/>
          <w:color w:val="auto"/>
        </w:rPr>
        <w:t>Letters of Credit</w:t>
      </w:r>
      <w:r>
        <w:rPr>
          <w:rFonts w:ascii="Arial" w:cs="Arial" w:eastAsia="Arial" w:hAnsi="Arial"/>
          <w:sz w:val="22"/>
          <w:szCs w:val="22"/>
          <w:color w:val="auto"/>
        </w:rPr>
        <w:t>). Clause (a) of Section 2.2.2 is amended by replacing the amount “Five Million</w:t>
      </w:r>
      <w:r>
        <w:rPr>
          <w:rFonts w:ascii="Arial" w:cs="Arial" w:eastAsia="Arial" w:hAnsi="Arial"/>
          <w:sz w:val="22"/>
          <w:szCs w:val="22"/>
          <w:b w:val="1"/>
          <w:bCs w:val="1"/>
          <w:color w:val="auto"/>
        </w:rPr>
        <w:t xml:space="preserve"> </w:t>
      </w:r>
      <w:r>
        <w:rPr>
          <w:rFonts w:ascii="Arial" w:cs="Arial" w:eastAsia="Arial" w:hAnsi="Arial"/>
          <w:sz w:val="22"/>
          <w:szCs w:val="22"/>
          <w:color w:val="auto"/>
        </w:rPr>
        <w:t>Dollars ($5,000,000)” with the amount “Six Million Five Hundred Thousand Dollars ($6,500,000)” where such amount appears therein.</w:t>
      </w:r>
    </w:p>
    <w:p>
      <w:pPr>
        <w:spacing w:after="0" w:line="17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19"/>
          <w:szCs w:val="19"/>
          <w:b w:val="1"/>
          <w:bCs w:val="1"/>
          <w:color w:val="auto"/>
        </w:rPr>
        <w:t xml:space="preserve">Section 13 </w:t>
      </w:r>
      <w:r>
        <w:rPr>
          <w:rFonts w:ascii="Arial" w:cs="Arial" w:eastAsia="Arial" w:hAnsi="Arial"/>
          <w:sz w:val="19"/>
          <w:szCs w:val="19"/>
          <w:color w:val="auto"/>
        </w:rPr>
        <w:t>(</w:t>
      </w:r>
      <w:r>
        <w:rPr>
          <w:rFonts w:ascii="Arial" w:cs="Arial" w:eastAsia="Arial" w:hAnsi="Arial"/>
          <w:sz w:val="19"/>
          <w:szCs w:val="19"/>
          <w:b w:val="1"/>
          <w:bCs w:val="1"/>
          <w:color w:val="auto"/>
        </w:rPr>
        <w:t>Definitions</w:t>
      </w:r>
      <w:r>
        <w:rPr>
          <w:rFonts w:ascii="Arial" w:cs="Arial" w:eastAsia="Arial" w:hAnsi="Arial"/>
          <w:sz w:val="19"/>
          <w:szCs w:val="19"/>
          <w:color w:val="auto"/>
        </w:rPr>
        <w:t>).</w:t>
      </w:r>
    </w:p>
    <w:p>
      <w:pPr>
        <w:spacing w:after="0" w:line="233" w:lineRule="exact"/>
        <w:rPr>
          <w:sz w:val="20"/>
          <w:szCs w:val="20"/>
          <w:color w:val="auto"/>
        </w:rPr>
      </w:pPr>
    </w:p>
    <w:p>
      <w:pPr>
        <w:ind w:right="20" w:firstLine="656"/>
        <w:spacing w:after="0" w:line="282" w:lineRule="auto"/>
        <w:tabs>
          <w:tab w:leader="none" w:pos="1080" w:val="left"/>
        </w:tabs>
        <w:numPr>
          <w:ilvl w:val="0"/>
          <w:numId w:val="32"/>
        </w:numPr>
        <w:rPr>
          <w:rFonts w:ascii="Arial" w:cs="Arial" w:eastAsia="Arial" w:hAnsi="Arial"/>
          <w:sz w:val="22"/>
          <w:szCs w:val="22"/>
          <w:b w:val="1"/>
          <w:bCs w:val="1"/>
          <w:color w:val="auto"/>
        </w:rPr>
      </w:pPr>
      <w:r>
        <w:rPr>
          <w:rFonts w:ascii="Arial" w:cs="Arial" w:eastAsia="Arial" w:hAnsi="Arial"/>
          <w:sz w:val="22"/>
          <w:szCs w:val="22"/>
          <w:color w:val="auto"/>
        </w:rPr>
        <w:t>The definition of “</w:t>
      </w:r>
      <w:r>
        <w:rPr>
          <w:rFonts w:ascii="Arial" w:cs="Arial" w:eastAsia="Arial" w:hAnsi="Arial"/>
          <w:sz w:val="22"/>
          <w:szCs w:val="22"/>
          <w:b w:val="1"/>
          <w:bCs w:val="1"/>
          <w:color w:val="auto"/>
        </w:rPr>
        <w:t>Indebtedness</w:t>
      </w:r>
      <w:r>
        <w:rPr>
          <w:rFonts w:ascii="Arial" w:cs="Arial" w:eastAsia="Arial" w:hAnsi="Arial"/>
          <w:sz w:val="22"/>
          <w:szCs w:val="22"/>
          <w:color w:val="auto"/>
        </w:rPr>
        <w:t>” is hereby amended by replacing the amount “$2,500,000” set forth in clause (d)(ii) therein with the amount “$3,500,000” where such amount appears therein.</w:t>
      </w:r>
    </w:p>
    <w:p>
      <w:pPr>
        <w:sectPr>
          <w:pgSz w:w="11900" w:h="16838" w:orient="portrait"/>
          <w:cols w:equalWidth="0" w:num="1">
            <w:col w:w="11240"/>
          </w:cols>
          <w:pgMar w:left="320" w:top="342" w:right="339" w:bottom="1440" w:gutter="0" w:footer="0" w:header="0"/>
        </w:sectPr>
      </w:pPr>
    </w:p>
    <w:bookmarkStart w:id="61" w:name="page62"/>
    <w:bookmarkEnd w:id="61"/>
    <w:p>
      <w:pPr>
        <w:ind w:right="20" w:firstLine="656"/>
        <w:spacing w:after="0" w:line="282" w:lineRule="auto"/>
        <w:tabs>
          <w:tab w:leader="none" w:pos="1132" w:val="left"/>
        </w:tabs>
        <w:numPr>
          <w:ilvl w:val="0"/>
          <w:numId w:val="33"/>
        </w:numPr>
        <w:rPr>
          <w:rFonts w:ascii="Arial" w:cs="Arial" w:eastAsia="Arial" w:hAnsi="Arial"/>
          <w:sz w:val="22"/>
          <w:szCs w:val="22"/>
          <w:b w:val="1"/>
          <w:bCs w:val="1"/>
          <w:color w:val="auto"/>
        </w:rPr>
      </w:pPr>
      <w:r>
        <w:rPr>
          <w:rFonts w:ascii="Arial" w:cs="Arial" w:eastAsia="Arial" w:hAnsi="Arial"/>
          <w:sz w:val="22"/>
          <w:szCs w:val="22"/>
          <w:color w:val="auto"/>
        </w:rPr>
        <w:t>The definition of “</w:t>
      </w:r>
      <w:r>
        <w:rPr>
          <w:rFonts w:ascii="Arial" w:cs="Arial" w:eastAsia="Arial" w:hAnsi="Arial"/>
          <w:sz w:val="22"/>
          <w:szCs w:val="22"/>
          <w:b w:val="1"/>
          <w:bCs w:val="1"/>
          <w:color w:val="auto"/>
        </w:rPr>
        <w:t>Revolving Line Maturity Date</w:t>
      </w:r>
      <w:r>
        <w:rPr>
          <w:rFonts w:ascii="Arial" w:cs="Arial" w:eastAsia="Arial" w:hAnsi="Arial"/>
          <w:sz w:val="22"/>
          <w:szCs w:val="22"/>
          <w:color w:val="auto"/>
        </w:rPr>
        <w:t>” is hereby amended and restated by replacing the date “May 4, 2020” set forth therein with the date “July 3, 2020” where such date appears therein.</w:t>
      </w:r>
    </w:p>
    <w:p>
      <w:pPr>
        <w:spacing w:after="0" w:line="148"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2"/>
          <w:szCs w:val="22"/>
          <w:b w:val="1"/>
          <w:bCs w:val="1"/>
          <w:color w:val="auto"/>
        </w:rPr>
        <w:t>3.</w:t>
      </w:r>
      <w:r>
        <w:rPr>
          <w:sz w:val="20"/>
          <w:szCs w:val="20"/>
          <w:color w:val="auto"/>
        </w:rPr>
        <w:tab/>
      </w:r>
      <w:r>
        <w:rPr>
          <w:rFonts w:ascii="Arial" w:cs="Arial" w:eastAsia="Arial" w:hAnsi="Arial"/>
          <w:sz w:val="19"/>
          <w:szCs w:val="19"/>
          <w:b w:val="1"/>
          <w:bCs w:val="1"/>
          <w:color w:val="auto"/>
        </w:rPr>
        <w:t>Limitation of Amendments.</w:t>
      </w:r>
    </w:p>
    <w:p>
      <w:pPr>
        <w:spacing w:after="0" w:line="23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3.1 </w:t>
      </w:r>
      <w:r>
        <w:rPr>
          <w:rFonts w:ascii="Arial" w:cs="Arial" w:eastAsia="Arial" w:hAnsi="Arial"/>
          <w:sz w:val="22"/>
          <w:szCs w:val="22"/>
          <w:color w:val="auto"/>
        </w:rPr>
        <w:t>The amendments set forth in Section 2, above, are effective for the purposes set forth herein and shall be limited</w:t>
      </w:r>
      <w:r>
        <w:rPr>
          <w:rFonts w:ascii="Arial" w:cs="Arial" w:eastAsia="Arial" w:hAnsi="Arial"/>
          <w:sz w:val="22"/>
          <w:szCs w:val="22"/>
          <w:b w:val="1"/>
          <w:bCs w:val="1"/>
          <w:color w:val="auto"/>
        </w:rPr>
        <w:t xml:space="preserve"> </w:t>
      </w:r>
      <w:r>
        <w:rPr>
          <w:rFonts w:ascii="Arial" w:cs="Arial" w:eastAsia="Arial" w:hAnsi="Arial"/>
          <w:sz w:val="22"/>
          <w:szCs w:val="22"/>
          <w:color w:val="auto"/>
        </w:rPr>
        <w:t>precisely as written and shall not be deemed to (a) be a consent to any amendment, waiver or modification of any other term or condition of any Loan Document, or (b) otherwise prejudice any right or remedy which Bank may now have or may have in the future under or in connection with any Loan Document.</w:t>
      </w:r>
    </w:p>
    <w:p>
      <w:pPr>
        <w:spacing w:after="0" w:line="17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 xml:space="preserve">3.2 </w:t>
      </w:r>
      <w:r>
        <w:rPr>
          <w:rFonts w:ascii="Arial" w:cs="Arial" w:eastAsia="Arial" w:hAnsi="Arial"/>
          <w:sz w:val="22"/>
          <w:szCs w:val="22"/>
          <w:color w:val="auto"/>
        </w:rPr>
        <w:t>This Amendment shall be construed in connection with and as part of the Loan Documents and all terms, conditions,</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representations, warranties, covenants and agreements set forth in the Loan Documents, except as herein amended, are hereby ratified and confirmed and shall remain in full force and effect.</w:t>
      </w:r>
    </w:p>
    <w:p>
      <w:pPr>
        <w:spacing w:after="0" w:line="171" w:lineRule="exact"/>
        <w:rPr>
          <w:sz w:val="20"/>
          <w:szCs w:val="20"/>
          <w:color w:val="auto"/>
        </w:rPr>
      </w:pPr>
    </w:p>
    <w:p>
      <w:pPr>
        <w:ind w:firstLine="656"/>
        <w:spacing w:after="0" w:line="282" w:lineRule="auto"/>
        <w:tabs>
          <w:tab w:leader="none" w:pos="1057"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Representations and Warranties. </w:t>
      </w:r>
      <w:r>
        <w:rPr>
          <w:rFonts w:ascii="Arial" w:cs="Arial" w:eastAsia="Arial" w:hAnsi="Arial"/>
          <w:sz w:val="22"/>
          <w:szCs w:val="22"/>
          <w:color w:val="auto"/>
        </w:rPr>
        <w:t>To induce Bank to enter into this Amendment, Borrower hereby represents and</w:t>
      </w:r>
      <w:r>
        <w:rPr>
          <w:rFonts w:ascii="Arial" w:cs="Arial" w:eastAsia="Arial" w:hAnsi="Arial"/>
          <w:sz w:val="22"/>
          <w:szCs w:val="22"/>
          <w:b w:val="1"/>
          <w:bCs w:val="1"/>
          <w:color w:val="auto"/>
        </w:rPr>
        <w:t xml:space="preserve"> </w:t>
      </w:r>
      <w:r>
        <w:rPr>
          <w:rFonts w:ascii="Arial" w:cs="Arial" w:eastAsia="Arial" w:hAnsi="Arial"/>
          <w:sz w:val="22"/>
          <w:szCs w:val="22"/>
          <w:color w:val="auto"/>
        </w:rPr>
        <w:t>warrants to Bank as follows:</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4.1 </w:t>
      </w:r>
      <w:r>
        <w:rPr>
          <w:rFonts w:ascii="Arial" w:cs="Arial" w:eastAsia="Arial" w:hAnsi="Arial"/>
          <w:sz w:val="22"/>
          <w:szCs w:val="22"/>
          <w:color w:val="auto"/>
        </w:rPr>
        <w:t>Immediately after giving effect to this Amendment (a) the representations and warranties contained in the Loan</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Documents are true, accurate and complete in all material respects as of the date hereof (except to the extent such representations and warranties relate to an earlier date, in which case they are true and correct as of such date), and (b) no Event of Default has occurred and is continuing;</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22"/>
          <w:szCs w:val="22"/>
          <w:b w:val="1"/>
          <w:bCs w:val="1"/>
          <w:color w:val="auto"/>
        </w:rPr>
        <w:t xml:space="preserve">4.2 </w:t>
      </w:r>
      <w:r>
        <w:rPr>
          <w:rFonts w:ascii="Arial" w:cs="Arial" w:eastAsia="Arial" w:hAnsi="Arial"/>
          <w:sz w:val="22"/>
          <w:szCs w:val="22"/>
          <w:color w:val="auto"/>
        </w:rPr>
        <w:t>Borrower has the power and authority to execute and deliver this Amendment and to perform its obligations under</w:t>
      </w:r>
      <w:r>
        <w:rPr>
          <w:rFonts w:ascii="Arial" w:cs="Arial" w:eastAsia="Arial" w:hAnsi="Arial"/>
          <w:sz w:val="22"/>
          <w:szCs w:val="22"/>
          <w:b w:val="1"/>
          <w:bCs w:val="1"/>
          <w:color w:val="auto"/>
        </w:rPr>
        <w:t xml:space="preserve"> </w:t>
      </w:r>
      <w:r>
        <w:rPr>
          <w:rFonts w:ascii="Arial" w:cs="Arial" w:eastAsia="Arial" w:hAnsi="Arial"/>
          <w:sz w:val="22"/>
          <w:szCs w:val="22"/>
          <w:color w:val="auto"/>
        </w:rPr>
        <w:t>the Loan Agreement, as amended by this Amendment;</w:t>
      </w:r>
    </w:p>
    <w:p>
      <w:pPr>
        <w:spacing w:after="0" w:line="148"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9"/>
          <w:szCs w:val="19"/>
          <w:b w:val="1"/>
          <w:bCs w:val="1"/>
          <w:color w:val="auto"/>
        </w:rPr>
        <w:t xml:space="preserve">4.3 </w:t>
      </w:r>
      <w:r>
        <w:rPr>
          <w:rFonts w:ascii="Arial" w:cs="Arial" w:eastAsia="Arial" w:hAnsi="Arial"/>
          <w:sz w:val="19"/>
          <w:szCs w:val="19"/>
          <w:color w:val="auto"/>
        </w:rPr>
        <w:t>Except for (i) the Certificate of Amendment to Second Amended and Restated Certificate of Incorporation, filed</w:t>
      </w:r>
      <w:r>
        <w:rPr>
          <w:rFonts w:ascii="Arial" w:cs="Arial" w:eastAsia="Arial" w:hAnsi="Arial"/>
          <w:sz w:val="19"/>
          <w:szCs w:val="19"/>
          <w:b w:val="1"/>
          <w:bCs w:val="1"/>
          <w:color w:val="auto"/>
        </w:rPr>
        <w:t xml:space="preserve"> </w:t>
      </w:r>
      <w:r>
        <w:rPr>
          <w:rFonts w:ascii="Arial" w:cs="Arial" w:eastAsia="Arial" w:hAnsi="Arial"/>
          <w:sz w:val="19"/>
          <w:szCs w:val="19"/>
          <w:color w:val="auto"/>
        </w:rPr>
        <w:t>with the Secretary of State of the State of Delaware on August 10, 2017 and (ii) the resignation of John C. Huffard, Jr., the organizational documents and incumbency signatures of Borrower delivered to Bank on the Effective Date remain true, accurate and complete and have not been amended, supplemented or restated and are and continue to be in full force and effect;</w:t>
      </w:r>
    </w:p>
    <w:p>
      <w:pPr>
        <w:spacing w:after="0" w:line="130"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22"/>
          <w:szCs w:val="22"/>
          <w:b w:val="1"/>
          <w:bCs w:val="1"/>
          <w:color w:val="auto"/>
        </w:rPr>
        <w:t xml:space="preserve">4.4 </w:t>
      </w:r>
      <w:r>
        <w:rPr>
          <w:rFonts w:ascii="Arial" w:cs="Arial" w:eastAsia="Arial" w:hAnsi="Arial"/>
          <w:sz w:val="22"/>
          <w:szCs w:val="22"/>
          <w:color w:val="auto"/>
        </w:rPr>
        <w:t>The execution and delivery by Borrower of this Amendment and the performance by Borrower of its obligations</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the Loan Agreement, as amended by this Amendment, have been duly authorized;</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b w:val="1"/>
          <w:bCs w:val="1"/>
          <w:color w:val="auto"/>
        </w:rPr>
        <w:t xml:space="preserve">4.5 </w:t>
      </w:r>
      <w:r>
        <w:rPr>
          <w:rFonts w:ascii="Arial" w:cs="Arial" w:eastAsia="Arial" w:hAnsi="Arial"/>
          <w:sz w:val="22"/>
          <w:szCs w:val="22"/>
          <w:color w:val="auto"/>
        </w:rPr>
        <w:t>The execution and delivery by Borrower of this Amendment and the performance by Borrower of its obligations</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the Loan Agreement, as amended by this Amendment, do not and will 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w:t>
      </w:r>
    </w:p>
    <w:p>
      <w:pPr>
        <w:sectPr>
          <w:pgSz w:w="11900" w:h="16838" w:orient="portrait"/>
          <w:cols w:equalWidth="0" w:num="1">
            <w:col w:w="11240"/>
          </w:cols>
          <w:pgMar w:left="320" w:top="342" w:right="339" w:bottom="1440" w:gutter="0" w:footer="0" w:header="0"/>
        </w:sectPr>
      </w:pPr>
    </w:p>
    <w:bookmarkStart w:id="62" w:name="page63"/>
    <w:bookmarkEnd w:id="62"/>
    <w:p>
      <w:pPr>
        <w:jc w:val="both"/>
        <w:ind w:firstLine="648"/>
        <w:spacing w:after="0" w:line="272" w:lineRule="auto"/>
        <w:rPr>
          <w:sz w:val="20"/>
          <w:szCs w:val="20"/>
          <w:color w:val="auto"/>
        </w:rPr>
      </w:pPr>
      <w:r>
        <w:rPr>
          <w:rFonts w:ascii="Arial" w:cs="Arial" w:eastAsia="Arial" w:hAnsi="Arial"/>
          <w:sz w:val="21"/>
          <w:szCs w:val="21"/>
          <w:b w:val="1"/>
          <w:bCs w:val="1"/>
          <w:color w:val="auto"/>
        </w:rPr>
        <w:t xml:space="preserve">4.6 </w:t>
      </w:r>
      <w:r>
        <w:rPr>
          <w:rFonts w:ascii="Arial" w:cs="Arial" w:eastAsia="Arial" w:hAnsi="Arial"/>
          <w:sz w:val="21"/>
          <w:szCs w:val="21"/>
          <w:color w:val="auto"/>
        </w:rPr>
        <w:t>The execution and delivery by Borrower of this Amendment and the performance by Borrower of its obligations</w:t>
      </w:r>
      <w:r>
        <w:rPr>
          <w:rFonts w:ascii="Arial" w:cs="Arial" w:eastAsia="Arial" w:hAnsi="Arial"/>
          <w:sz w:val="21"/>
          <w:szCs w:val="21"/>
          <w:b w:val="1"/>
          <w:bCs w:val="1"/>
          <w:color w:val="auto"/>
        </w:rPr>
        <w:t xml:space="preserve"> </w:t>
      </w:r>
      <w:r>
        <w:rPr>
          <w:rFonts w:ascii="Arial" w:cs="Arial" w:eastAsia="Arial" w:hAnsi="Arial"/>
          <w:sz w:val="21"/>
          <w:szCs w:val="21"/>
          <w:color w:val="auto"/>
        </w:rPr>
        <w:t>under the Loan Agreement, as 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 and</w:t>
      </w:r>
    </w:p>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4.7 </w:t>
      </w:r>
      <w:r>
        <w:rPr>
          <w:rFonts w:ascii="Arial" w:cs="Arial" w:eastAsia="Arial" w:hAnsi="Arial"/>
          <w:sz w:val="22"/>
          <w:szCs w:val="22"/>
          <w:color w:val="auto"/>
        </w:rPr>
        <w:t>This Amendment has been duly executed and delivered by Borrower and is the binding obligation of Borrower,</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enforceable against 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76" w:lineRule="exact"/>
        <w:rPr>
          <w:sz w:val="20"/>
          <w:szCs w:val="20"/>
          <w:color w:val="auto"/>
        </w:rPr>
      </w:pPr>
    </w:p>
    <w:p>
      <w:pPr>
        <w:jc w:val="both"/>
        <w:ind w:firstLine="656"/>
        <w:spacing w:after="0" w:line="256" w:lineRule="auto"/>
        <w:tabs>
          <w:tab w:leader="none" w:pos="1017"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color w:val="auto"/>
        </w:rPr>
        <w:t>Integration</w:t>
      </w:r>
      <w:r>
        <w:rPr>
          <w:rFonts w:ascii="Arial" w:cs="Arial" w:eastAsia="Arial" w:hAnsi="Arial"/>
          <w:sz w:val="22"/>
          <w:szCs w:val="22"/>
          <w:color w:val="auto"/>
        </w:rPr>
        <w:t>. This Amendment and the Loan Documents represent the entire agreement about this subject matter and</w:t>
      </w:r>
      <w:r>
        <w:rPr>
          <w:rFonts w:ascii="Arial" w:cs="Arial" w:eastAsia="Arial" w:hAnsi="Arial"/>
          <w:sz w:val="22"/>
          <w:szCs w:val="22"/>
          <w:b w:val="1"/>
          <w:bCs w:val="1"/>
          <w:color w:val="auto"/>
        </w:rPr>
        <w:t xml:space="preserve"> </w:t>
      </w:r>
      <w:r>
        <w:rPr>
          <w:rFonts w:ascii="Arial" w:cs="Arial" w:eastAsia="Arial" w:hAnsi="Arial"/>
          <w:sz w:val="22"/>
          <w:szCs w:val="22"/>
          <w:color w:val="auto"/>
        </w:rPr>
        <w:t>supersede prior negotiations or agreements. All prior agreements, understandings, representations, warranties, and negotiations between the parties about the subject matter of this Amendment and the Loan Documents merge into this Amendment and the Loan Documents.</w:t>
      </w:r>
    </w:p>
    <w:p>
      <w:pPr>
        <w:spacing w:after="0" w:line="176" w:lineRule="exact"/>
        <w:rPr>
          <w:rFonts w:ascii="Arial" w:cs="Arial" w:eastAsia="Arial" w:hAnsi="Arial"/>
          <w:sz w:val="22"/>
          <w:szCs w:val="22"/>
          <w:b w:val="1"/>
          <w:bCs w:val="1"/>
          <w:color w:val="auto"/>
        </w:rPr>
      </w:pPr>
    </w:p>
    <w:p>
      <w:pPr>
        <w:ind w:right="20" w:firstLine="656"/>
        <w:spacing w:after="0" w:line="282" w:lineRule="auto"/>
        <w:tabs>
          <w:tab w:leader="none" w:pos="1030"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Counterparts. </w:t>
      </w:r>
      <w:r>
        <w:rPr>
          <w:rFonts w:ascii="Arial" w:cs="Arial" w:eastAsia="Arial" w:hAnsi="Arial"/>
          <w:sz w:val="22"/>
          <w:szCs w:val="22"/>
          <w:color w:val="auto"/>
        </w:rPr>
        <w:t>This Amendment may be executed in any number of counterparts and all of such counterparts taken</w:t>
      </w:r>
      <w:r>
        <w:rPr>
          <w:rFonts w:ascii="Arial" w:cs="Arial" w:eastAsia="Arial" w:hAnsi="Arial"/>
          <w:sz w:val="22"/>
          <w:szCs w:val="22"/>
          <w:b w:val="1"/>
          <w:bCs w:val="1"/>
          <w:color w:val="auto"/>
        </w:rPr>
        <w:t xml:space="preserve"> </w:t>
      </w:r>
      <w:r>
        <w:rPr>
          <w:rFonts w:ascii="Arial" w:cs="Arial" w:eastAsia="Arial" w:hAnsi="Arial"/>
          <w:sz w:val="22"/>
          <w:szCs w:val="22"/>
          <w:color w:val="auto"/>
        </w:rPr>
        <w:t>together shall be deemed to constitute one and the same instrument.</w:t>
      </w:r>
    </w:p>
    <w:p>
      <w:pPr>
        <w:spacing w:after="0" w:line="148" w:lineRule="exact"/>
        <w:rPr>
          <w:rFonts w:ascii="Arial" w:cs="Arial" w:eastAsia="Arial" w:hAnsi="Arial"/>
          <w:sz w:val="22"/>
          <w:szCs w:val="22"/>
          <w:b w:val="1"/>
          <w:bCs w:val="1"/>
          <w:color w:val="auto"/>
        </w:rPr>
      </w:pPr>
    </w:p>
    <w:p>
      <w:pPr>
        <w:jc w:val="both"/>
        <w:ind w:firstLine="656"/>
        <w:spacing w:after="0" w:line="262" w:lineRule="auto"/>
        <w:tabs>
          <w:tab w:leader="none" w:pos="1057"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color w:val="auto"/>
        </w:rPr>
        <w:t>Effectiveness</w:t>
      </w:r>
      <w:r>
        <w:rPr>
          <w:rFonts w:ascii="Arial" w:cs="Arial" w:eastAsia="Arial" w:hAnsi="Arial"/>
          <w:sz w:val="22"/>
          <w:szCs w:val="22"/>
          <w:color w:val="auto"/>
        </w:rPr>
        <w:t>. This Amendment shall be deemed effective upon (a) the due execution and delivery to Bank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Amendment by each party hereto and (b) Borrower’s payment of Bank’s legal fees and expenses incurred in connection with this Amendment.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ectPr>
          <w:pgSz w:w="11900" w:h="16838" w:orient="portrait"/>
          <w:cols w:equalWidth="0" w:num="1">
            <w:col w:w="11240"/>
          </w:cols>
          <w:pgMar w:left="320" w:top="342" w:right="339" w:bottom="1440" w:gutter="0" w:footer="0" w:header="0"/>
        </w:sectPr>
      </w:pPr>
    </w:p>
    <w:bookmarkStart w:id="63" w:name="page64"/>
    <w:bookmarkEnd w:id="63"/>
    <w:p>
      <w:pPr>
        <w:ind w:firstLine="648"/>
        <w:spacing w:after="0" w:line="269"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hereto have caused this Amendment to be duly executed and delivered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6737985" cy="1534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6737985" cy="153479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sz w:val="1"/>
          <w:szCs w:val="1"/>
          <w:color w:val="auto"/>
        </w:rPr>
        <w:drawing>
          <wp:inline distT="0" distB="0" distL="0" distR="0">
            <wp:extent cx="8890" cy="2057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8890" cy="205740"/>
                    </a:xfrm>
                    <a:prstGeom prst="rect">
                      <a:avLst/>
                    </a:prstGeom>
                    <a:noFill/>
                    <a:ln>
                      <a:noFill/>
                    </a:ln>
                  </pic:spPr>
                </pic:pic>
              </a:graphicData>
            </a:graphic>
          </wp:inline>
        </w:drawing>
      </w:r>
      <w:r>
        <w:rPr>
          <w:rFonts w:ascii="Arial" w:cs="Arial" w:eastAsia="Arial" w:hAnsi="Arial"/>
          <w:sz w:val="19"/>
          <w:szCs w:val="19"/>
          <w:b w:val="1"/>
          <w:bCs w:val="1"/>
          <w:color w:val="auto"/>
        </w:rPr>
        <w:t xml:space="preserve"> BANK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8" w:lineRule="exact"/>
        <w:rPr>
          <w:sz w:val="20"/>
          <w:szCs w:val="20"/>
          <w:color w:val="auto"/>
        </w:rPr>
      </w:pPr>
    </w:p>
    <w:p>
      <w:pPr>
        <w:jc w:val="center"/>
        <w:ind w:right="4580"/>
        <w:spacing w:after="0"/>
        <w:rPr>
          <w:sz w:val="20"/>
          <w:szCs w:val="20"/>
          <w:color w:val="auto"/>
        </w:rPr>
      </w:pPr>
      <w:r>
        <w:rPr>
          <w:sz w:val="1"/>
          <w:szCs w:val="1"/>
          <w:color w:val="auto"/>
        </w:rPr>
        <w:drawing>
          <wp:inline distT="0" distB="0" distL="0" distR="0">
            <wp:extent cx="8890" cy="2057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8890" cy="205740"/>
                    </a:xfrm>
                    <a:prstGeom prst="rect">
                      <a:avLst/>
                    </a:prstGeom>
                    <a:noFill/>
                    <a:ln>
                      <a:noFill/>
                    </a:ln>
                  </pic:spPr>
                </pic:pic>
              </a:graphicData>
            </a:graphic>
          </wp:inline>
        </w:drawing>
      </w:r>
      <w:r>
        <w:rPr>
          <w:rFonts w:ascii="Arial" w:cs="Arial" w:eastAsia="Arial" w:hAnsi="Arial"/>
          <w:sz w:val="19"/>
          <w:szCs w:val="19"/>
          <w:b w:val="1"/>
          <w:bCs w:val="1"/>
          <w:color w:val="auto"/>
        </w:rPr>
        <w:t xml:space="preserve"> BORROWER</w:t>
      </w:r>
    </w:p>
    <w:p>
      <w:pPr>
        <w:spacing w:after="0" w:line="200" w:lineRule="exact"/>
        <w:rPr>
          <w:sz w:val="20"/>
          <w:szCs w:val="20"/>
          <w:color w:val="auto"/>
        </w:rPr>
      </w:pPr>
    </w:p>
    <w:p>
      <w:pPr>
        <w:sectPr>
          <w:pgSz w:w="11900" w:h="16838" w:orient="portrait"/>
          <w:cols w:equalWidth="0" w:num="2">
            <w:col w:w="4600" w:space="720"/>
            <w:col w:w="5920"/>
          </w:cols>
          <w:pgMar w:left="320" w:top="342" w:right="339" w:bottom="1440" w:gutter="0" w:footer="0" w:header="0"/>
          <w:type w:val="continuous"/>
        </w:sectPr>
      </w:pPr>
    </w:p>
    <w:p>
      <w:pPr>
        <w:spacing w:after="0" w:line="49" w:lineRule="exact"/>
        <w:rPr>
          <w:sz w:val="20"/>
          <w:szCs w:val="20"/>
          <w:color w:val="auto"/>
        </w:rPr>
      </w:pPr>
    </w:p>
    <w:p>
      <w:pPr>
        <w:ind w:left="40"/>
        <w:spacing w:after="0"/>
        <w:rPr>
          <w:sz w:val="20"/>
          <w:szCs w:val="20"/>
          <w:color w:val="auto"/>
        </w:rPr>
      </w:pPr>
      <w:r>
        <w:rPr>
          <w:rFonts w:ascii="Arial" w:cs="Arial" w:eastAsia="Arial" w:hAnsi="Arial"/>
          <w:sz w:val="19"/>
          <w:szCs w:val="19"/>
          <w:color w:val="auto"/>
        </w:rPr>
        <w:t>Silicon Valley Bank</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Tenable, Inc.</w:t>
      </w:r>
    </w:p>
    <w:p>
      <w:pPr>
        <w:spacing w:after="0" w:line="200" w:lineRule="exact"/>
        <w:rPr>
          <w:sz w:val="20"/>
          <w:szCs w:val="20"/>
          <w:color w:val="auto"/>
        </w:rPr>
      </w:pPr>
    </w:p>
    <w:p>
      <w:pPr>
        <w:sectPr>
          <w:pgSz w:w="11900" w:h="16838" w:orient="portrait"/>
          <w:cols w:equalWidth="0" w:num="2">
            <w:col w:w="4640" w:space="720"/>
            <w:col w:w="5880"/>
          </w:cols>
          <w:pgMar w:left="320" w:top="342" w:right="339" w:bottom="1440" w:gutter="0" w:footer="0" w:header="0"/>
          <w:type w:val="continuous"/>
        </w:sect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19"/>
          <w:szCs w:val="19"/>
          <w:color w:val="auto"/>
        </w:rPr>
        <w:t>By: __________________________</w:t>
      </w:r>
    </w:p>
    <w:p>
      <w:pPr>
        <w:spacing w:after="0" w:line="133" w:lineRule="exact"/>
        <w:rPr>
          <w:sz w:val="20"/>
          <w:szCs w:val="20"/>
          <w:color w:val="auto"/>
        </w:rPr>
      </w:pPr>
    </w:p>
    <w:p>
      <w:pPr>
        <w:ind w:left="40"/>
        <w:spacing w:after="0"/>
        <w:rPr>
          <w:sz w:val="20"/>
          <w:szCs w:val="20"/>
          <w:color w:val="auto"/>
        </w:rPr>
      </w:pPr>
      <w:r>
        <w:rPr>
          <w:rFonts w:ascii="Arial" w:cs="Arial" w:eastAsia="Arial" w:hAnsi="Arial"/>
          <w:sz w:val="19"/>
          <w:szCs w:val="19"/>
          <w:color w:val="auto"/>
        </w:rPr>
        <w:t>Name: ________________________</w:t>
      </w:r>
    </w:p>
    <w:p>
      <w:pPr>
        <w:spacing w:after="0" w:line="133" w:lineRule="exact"/>
        <w:rPr>
          <w:sz w:val="20"/>
          <w:szCs w:val="20"/>
          <w:color w:val="auto"/>
        </w:rPr>
      </w:pPr>
    </w:p>
    <w:p>
      <w:pPr>
        <w:ind w:left="40"/>
        <w:spacing w:after="0"/>
        <w:rPr>
          <w:sz w:val="20"/>
          <w:szCs w:val="20"/>
          <w:color w:val="auto"/>
        </w:rPr>
      </w:pPr>
      <w:r>
        <w:rPr>
          <w:rFonts w:ascii="Arial" w:cs="Arial" w:eastAsia="Arial" w:hAnsi="Arial"/>
          <w:sz w:val="19"/>
          <w:szCs w:val="19"/>
          <w:color w:val="auto"/>
        </w:rPr>
        <w:t>Title: _________________________</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rPr>
          <w:sz w:val="20"/>
          <w:szCs w:val="20"/>
          <w:color w:val="auto"/>
        </w:rPr>
      </w:pPr>
      <w:r>
        <w:rPr>
          <w:rFonts w:ascii="Arial" w:cs="Arial" w:eastAsia="Arial" w:hAnsi="Arial"/>
          <w:sz w:val="19"/>
          <w:szCs w:val="19"/>
          <w:color w:val="auto"/>
        </w:rPr>
        <w:t>By: __________________________</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color w:val="auto"/>
        </w:rPr>
        <w:t>Name: ________________________</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color w:val="auto"/>
        </w:rPr>
        <w:t>Title: _________________________</w:t>
      </w:r>
    </w:p>
    <w:p>
      <w:pPr>
        <w:sectPr>
          <w:pgSz w:w="11900" w:h="16838" w:orient="portrait"/>
          <w:cols w:equalWidth="0" w:num="2">
            <w:col w:w="4640" w:space="720"/>
            <w:col w:w="5880"/>
          </w:cols>
          <w:pgMar w:left="320" w:top="342" w:right="339" w:bottom="1440" w:gutter="0" w:footer="0" w:header="0"/>
          <w:type w:val="continuous"/>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332" w:lineRule="exact"/>
        <w:rPr>
          <w:sz w:val="20"/>
          <w:szCs w:val="20"/>
          <w:color w:val="auto"/>
        </w:rPr>
      </w:pPr>
    </w:p>
    <w:p>
      <w:pPr>
        <w:jc w:val="center"/>
        <w:ind w:left="340" w:right="1940"/>
        <w:spacing w:after="0" w:line="268" w:lineRule="auto"/>
        <w:rPr>
          <w:sz w:val="20"/>
          <w:szCs w:val="20"/>
          <w:color w:val="auto"/>
        </w:rPr>
      </w:pPr>
      <w:r>
        <w:rPr>
          <w:rFonts w:ascii="Arial" w:cs="Arial" w:eastAsia="Arial" w:hAnsi="Arial"/>
          <w:sz w:val="18"/>
          <w:szCs w:val="18"/>
          <w:b w:val="1"/>
          <w:bCs w:val="1"/>
          <w:color w:val="auto"/>
        </w:rPr>
        <w:t>CERTIFICATION OF PRINCIPAL EXECUTIVE OFFICER PURSUANT TO EXCHANGE ACT RULES 13a-14(a) AND 15d-14(a) AS ADOPTED PURSUANT TO SECTION 302 OF THE SARBANES-OXLEY ACT OF 2002</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I, Amit Yoran, certify that:</w:t>
      </w:r>
    </w:p>
    <w:p>
      <w:pPr>
        <w:spacing w:after="0" w:line="225" w:lineRule="exact"/>
        <w:rPr>
          <w:sz w:val="20"/>
          <w:szCs w:val="20"/>
          <w:color w:val="auto"/>
        </w:rPr>
      </w:pPr>
    </w:p>
    <w:p>
      <w:pPr>
        <w:ind w:left="500" w:hanging="465"/>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Tenable Holdings, Inc.;</w:t>
      </w:r>
    </w:p>
    <w:p>
      <w:pPr>
        <w:spacing w:after="0" w:line="225" w:lineRule="exact"/>
        <w:rPr>
          <w:rFonts w:ascii="Arial" w:cs="Arial" w:eastAsia="Arial" w:hAnsi="Arial"/>
          <w:sz w:val="18"/>
          <w:szCs w:val="18"/>
          <w:color w:val="auto"/>
        </w:rPr>
      </w:pPr>
    </w:p>
    <w:p>
      <w:pPr>
        <w:ind w:left="500" w:right="100" w:hanging="465"/>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8"/>
          <w:szCs w:val="18"/>
          <w:color w:val="auto"/>
        </w:rPr>
      </w:pPr>
    </w:p>
    <w:p>
      <w:pPr>
        <w:ind w:left="500" w:right="280" w:hanging="465"/>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rFonts w:ascii="Arial" w:cs="Arial" w:eastAsia="Arial" w:hAnsi="Arial"/>
          <w:sz w:val="18"/>
          <w:szCs w:val="18"/>
          <w:color w:val="auto"/>
        </w:rPr>
      </w:pPr>
    </w:p>
    <w:p>
      <w:pPr>
        <w:ind w:left="500" w:right="80" w:hanging="465"/>
        <w:spacing w:after="0" w:line="246"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96" w:lineRule="exact"/>
        <w:rPr>
          <w:rFonts w:ascii="Arial" w:cs="Arial" w:eastAsia="Arial" w:hAnsi="Arial"/>
          <w:sz w:val="18"/>
          <w:szCs w:val="18"/>
          <w:color w:val="auto"/>
        </w:rPr>
      </w:pPr>
    </w:p>
    <w:p>
      <w:pPr>
        <w:ind w:left="1040" w:right="260" w:hanging="546"/>
        <w:spacing w:after="0"/>
        <w:tabs>
          <w:tab w:leader="none" w:pos="10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Arial" w:cs="Arial" w:eastAsia="Arial" w:hAnsi="Arial"/>
          <w:sz w:val="18"/>
          <w:szCs w:val="18"/>
          <w:color w:val="auto"/>
        </w:rPr>
      </w:pPr>
    </w:p>
    <w:p>
      <w:pPr>
        <w:jc w:val="both"/>
        <w:ind w:left="1040" w:right="180" w:hanging="546"/>
        <w:spacing w:after="0"/>
        <w:tabs>
          <w:tab w:leader="none" w:pos="10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Arial" w:cs="Arial" w:eastAsia="Arial" w:hAnsi="Arial"/>
          <w:sz w:val="18"/>
          <w:szCs w:val="18"/>
          <w:color w:val="auto"/>
        </w:rPr>
      </w:pPr>
    </w:p>
    <w:p>
      <w:pPr>
        <w:ind w:left="1040" w:right="320" w:hanging="546"/>
        <w:spacing w:after="0"/>
        <w:tabs>
          <w:tab w:leader="none" w:pos="10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18"/>
          <w:szCs w:val="18"/>
          <w:color w:val="auto"/>
        </w:rPr>
      </w:pPr>
    </w:p>
    <w:p>
      <w:pPr>
        <w:ind w:left="500" w:right="300" w:hanging="465"/>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Arial" w:cs="Arial" w:eastAsia="Arial" w:hAnsi="Arial"/>
          <w:sz w:val="18"/>
          <w:szCs w:val="18"/>
          <w:color w:val="auto"/>
        </w:rPr>
      </w:pPr>
    </w:p>
    <w:p>
      <w:pPr>
        <w:ind w:left="1040" w:right="180" w:hanging="546"/>
        <w:spacing w:after="0"/>
        <w:tabs>
          <w:tab w:leader="none" w:pos="10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Arial" w:cs="Arial" w:eastAsia="Arial" w:hAnsi="Arial"/>
          <w:sz w:val="18"/>
          <w:szCs w:val="18"/>
          <w:color w:val="auto"/>
        </w:rPr>
      </w:pPr>
    </w:p>
    <w:p>
      <w:pPr>
        <w:ind w:left="1040" w:right="100" w:hanging="546"/>
        <w:spacing w:after="0" w:line="246" w:lineRule="auto"/>
        <w:tabs>
          <w:tab w:leader="none" w:pos="10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40"/>
        <w:spacing w:after="0"/>
        <w:tabs>
          <w:tab w:leader="none" w:pos="700" w:val="left"/>
          <w:tab w:leader="none" w:pos="5760" w:val="left"/>
          <w:tab w:leader="none" w:pos="6200" w:val="left"/>
        </w:tabs>
        <w:rPr>
          <w:sz w:val="20"/>
          <w:szCs w:val="20"/>
          <w:color w:val="auto"/>
        </w:rPr>
      </w:pPr>
      <w:r>
        <w:rPr>
          <w:rFonts w:ascii="Arial" w:cs="Arial" w:eastAsia="Arial" w:hAnsi="Arial"/>
          <w:sz w:val="18"/>
          <w:szCs w:val="18"/>
          <w:color w:val="auto"/>
        </w:rPr>
        <w:t>Date:</w:t>
        <w:tab/>
        <w:t>May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Amit Yoran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4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Amit Yoran</w:t>
      </w:r>
    </w:p>
    <w:p>
      <w:pPr>
        <w:spacing w:after="0" w:line="6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Chairman and Chief Executive Officer</w:t>
      </w:r>
    </w:p>
    <w:p>
      <w:pPr>
        <w:spacing w:after="0" w:line="45"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18"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278" w:lineRule="exact"/>
        <w:rPr>
          <w:sz w:val="20"/>
          <w:szCs w:val="20"/>
          <w:color w:val="auto"/>
        </w:rPr>
      </w:pPr>
    </w:p>
    <w:p>
      <w:pPr>
        <w:jc w:val="center"/>
        <w:ind w:left="340" w:right="1940"/>
        <w:spacing w:after="0" w:line="268" w:lineRule="auto"/>
        <w:rPr>
          <w:sz w:val="20"/>
          <w:szCs w:val="20"/>
          <w:color w:val="auto"/>
        </w:rPr>
      </w:pPr>
      <w:r>
        <w:rPr>
          <w:rFonts w:ascii="Arial" w:cs="Arial" w:eastAsia="Arial" w:hAnsi="Arial"/>
          <w:sz w:val="18"/>
          <w:szCs w:val="18"/>
          <w:b w:val="1"/>
          <w:bCs w:val="1"/>
          <w:color w:val="auto"/>
        </w:rPr>
        <w:t>CERTIFICATION OF PRINCIPAL FINANCIAL OFFICER PURSUANT TO EXCHANGE ACT RULES 13a-14(a) AND 15d-14(a) AS ADOPTED PURSUANT TO SECTION 302 OF THE SARBANES-OXLEY ACT OF 2002</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I, Stephen A. Vintz, certify that:</w:t>
      </w:r>
    </w:p>
    <w:p>
      <w:pPr>
        <w:spacing w:after="0" w:line="225" w:lineRule="exact"/>
        <w:rPr>
          <w:sz w:val="20"/>
          <w:szCs w:val="20"/>
          <w:color w:val="auto"/>
        </w:rPr>
      </w:pPr>
    </w:p>
    <w:p>
      <w:pPr>
        <w:ind w:left="500" w:hanging="465"/>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Tenable Holdings, Inc.;</w:t>
      </w:r>
    </w:p>
    <w:p>
      <w:pPr>
        <w:spacing w:after="0" w:line="225" w:lineRule="exact"/>
        <w:rPr>
          <w:rFonts w:ascii="Arial" w:cs="Arial" w:eastAsia="Arial" w:hAnsi="Arial"/>
          <w:sz w:val="18"/>
          <w:szCs w:val="18"/>
          <w:color w:val="auto"/>
        </w:rPr>
      </w:pPr>
    </w:p>
    <w:p>
      <w:pPr>
        <w:ind w:left="500" w:right="100" w:hanging="465"/>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8"/>
          <w:szCs w:val="18"/>
          <w:color w:val="auto"/>
        </w:rPr>
      </w:pPr>
    </w:p>
    <w:p>
      <w:pPr>
        <w:ind w:left="500" w:right="280" w:hanging="465"/>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rFonts w:ascii="Arial" w:cs="Arial" w:eastAsia="Arial" w:hAnsi="Arial"/>
          <w:sz w:val="18"/>
          <w:szCs w:val="18"/>
          <w:color w:val="auto"/>
        </w:rPr>
      </w:pPr>
    </w:p>
    <w:p>
      <w:pPr>
        <w:ind w:left="500" w:right="80" w:hanging="465"/>
        <w:spacing w:after="0" w:line="246"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96" w:lineRule="exact"/>
        <w:rPr>
          <w:rFonts w:ascii="Arial" w:cs="Arial" w:eastAsia="Arial" w:hAnsi="Arial"/>
          <w:sz w:val="18"/>
          <w:szCs w:val="18"/>
          <w:color w:val="auto"/>
        </w:rPr>
      </w:pPr>
    </w:p>
    <w:p>
      <w:pPr>
        <w:ind w:left="1040" w:right="260" w:hanging="546"/>
        <w:spacing w:after="0"/>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Arial" w:cs="Arial" w:eastAsia="Arial" w:hAnsi="Arial"/>
          <w:sz w:val="18"/>
          <w:szCs w:val="18"/>
          <w:color w:val="auto"/>
        </w:rPr>
      </w:pPr>
    </w:p>
    <w:p>
      <w:pPr>
        <w:jc w:val="both"/>
        <w:ind w:left="1040" w:right="180" w:hanging="546"/>
        <w:spacing w:after="0"/>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Arial" w:cs="Arial" w:eastAsia="Arial" w:hAnsi="Arial"/>
          <w:sz w:val="18"/>
          <w:szCs w:val="18"/>
          <w:color w:val="auto"/>
        </w:rPr>
      </w:pPr>
    </w:p>
    <w:p>
      <w:pPr>
        <w:ind w:left="1040" w:right="320" w:hanging="546"/>
        <w:spacing w:after="0"/>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18"/>
          <w:szCs w:val="18"/>
          <w:color w:val="auto"/>
        </w:rPr>
      </w:pPr>
    </w:p>
    <w:p>
      <w:pPr>
        <w:ind w:left="500" w:right="300" w:hanging="465"/>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Arial" w:cs="Arial" w:eastAsia="Arial" w:hAnsi="Arial"/>
          <w:sz w:val="18"/>
          <w:szCs w:val="18"/>
          <w:color w:val="auto"/>
        </w:rPr>
      </w:pPr>
    </w:p>
    <w:p>
      <w:pPr>
        <w:ind w:left="1040" w:right="180" w:hanging="546"/>
        <w:spacing w:after="0"/>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Arial" w:cs="Arial" w:eastAsia="Arial" w:hAnsi="Arial"/>
          <w:sz w:val="18"/>
          <w:szCs w:val="18"/>
          <w:color w:val="auto"/>
        </w:rPr>
      </w:pPr>
    </w:p>
    <w:p>
      <w:pPr>
        <w:ind w:left="1040" w:right="100" w:hanging="546"/>
        <w:spacing w:after="0" w:line="246" w:lineRule="auto"/>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40"/>
        <w:spacing w:after="0"/>
        <w:tabs>
          <w:tab w:leader="none" w:pos="700" w:val="left"/>
          <w:tab w:leader="none" w:pos="5760" w:val="left"/>
          <w:tab w:leader="none" w:pos="6200" w:val="left"/>
        </w:tabs>
        <w:rPr>
          <w:sz w:val="20"/>
          <w:szCs w:val="20"/>
          <w:color w:val="auto"/>
        </w:rPr>
      </w:pPr>
      <w:r>
        <w:rPr>
          <w:rFonts w:ascii="Arial" w:cs="Arial" w:eastAsia="Arial" w:hAnsi="Arial"/>
          <w:sz w:val="18"/>
          <w:szCs w:val="18"/>
          <w:color w:val="auto"/>
        </w:rPr>
        <w:t>Date:</w:t>
        <w:tab/>
        <w:t>May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Stephen A. Vintz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4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Stephen A. Vintz</w:t>
      </w:r>
    </w:p>
    <w:p>
      <w:pPr>
        <w:spacing w:after="0" w:line="6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Chief Financial Officer</w:t>
      </w:r>
    </w:p>
    <w:p>
      <w:pPr>
        <w:spacing w:after="0" w:line="45"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ectPr>
          <w:pgSz w:w="11900" w:h="16838" w:orient="portrait"/>
          <w:cols w:equalWidth="0" w:num="1">
            <w:col w:w="11240"/>
          </w:cols>
          <w:pgMar w:left="320" w:top="118"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27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w:t>
      </w:r>
    </w:p>
    <w:p>
      <w:pPr>
        <w:spacing w:after="0" w:line="6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w:t>
      </w:r>
    </w:p>
    <w:p>
      <w:pPr>
        <w:spacing w:after="0" w:line="6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18 U.S.C. SECTION 1350,</w:t>
      </w:r>
    </w:p>
    <w:p>
      <w:pPr>
        <w:spacing w:after="0" w:line="6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AS ADOPTED PURSUANT TO</w:t>
      </w:r>
    </w:p>
    <w:p>
      <w:pPr>
        <w:spacing w:after="0" w:line="6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5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Each of the undersigned hereby certifies, pursuant to 18 U.S.C. Section 1350, as adopted pursuant to Section 906 of the Sarbanes-Oxley Act of 2002, that the Quarterly Report on Form 10-Q of Tenable Holdings, Inc. for the fiscal quarter ended March 31, 2020 fully complies with the requirements of Section 13(a) or 15(d) of the Securities Exchange Act of 1934 and that information contained in such Quarterly Report on Form 10-Q fairly presents, in all material respects, the financial condition and results of operations of Tenable Holdings, Inc.</w:t>
      </w:r>
    </w:p>
    <w:p>
      <w:pPr>
        <w:spacing w:after="0" w:line="366" w:lineRule="exact"/>
        <w:rPr>
          <w:sz w:val="20"/>
          <w:szCs w:val="20"/>
          <w:color w:val="auto"/>
        </w:rPr>
      </w:pPr>
    </w:p>
    <w:p>
      <w:pPr>
        <w:ind w:left="40"/>
        <w:spacing w:after="0"/>
        <w:tabs>
          <w:tab w:leader="none" w:pos="700" w:val="left"/>
          <w:tab w:leader="none" w:pos="5760" w:val="left"/>
          <w:tab w:leader="none" w:pos="6200" w:val="left"/>
        </w:tabs>
        <w:rPr>
          <w:sz w:val="20"/>
          <w:szCs w:val="20"/>
          <w:color w:val="auto"/>
        </w:rPr>
      </w:pPr>
      <w:r>
        <w:rPr>
          <w:rFonts w:ascii="Arial" w:cs="Arial" w:eastAsia="Arial" w:hAnsi="Arial"/>
          <w:sz w:val="18"/>
          <w:szCs w:val="18"/>
          <w:color w:val="auto"/>
        </w:rPr>
        <w:t>Date:</w:t>
        <w:tab/>
        <w:t>May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Amit Yoran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4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Amit Yoran</w:t>
      </w:r>
    </w:p>
    <w:p>
      <w:pPr>
        <w:spacing w:after="0" w:line="6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Chairman and Chief Executive Officer</w:t>
      </w:r>
    </w:p>
    <w:p>
      <w:pPr>
        <w:spacing w:after="0" w:line="45"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(Principal Executive Officer)</w:t>
      </w:r>
    </w:p>
    <w:p>
      <w:pPr>
        <w:spacing w:after="0" w:line="392" w:lineRule="exact"/>
        <w:rPr>
          <w:sz w:val="20"/>
          <w:szCs w:val="20"/>
          <w:color w:val="auto"/>
        </w:rPr>
      </w:pPr>
    </w:p>
    <w:p>
      <w:pPr>
        <w:ind w:left="40"/>
        <w:spacing w:after="0"/>
        <w:tabs>
          <w:tab w:leader="none" w:pos="700" w:val="left"/>
          <w:tab w:leader="none" w:pos="5760" w:val="left"/>
          <w:tab w:leader="none" w:pos="6200" w:val="left"/>
        </w:tabs>
        <w:rPr>
          <w:sz w:val="20"/>
          <w:szCs w:val="20"/>
          <w:color w:val="auto"/>
        </w:rPr>
      </w:pPr>
      <w:r>
        <w:rPr>
          <w:rFonts w:ascii="Arial" w:cs="Arial" w:eastAsia="Arial" w:hAnsi="Arial"/>
          <w:sz w:val="18"/>
          <w:szCs w:val="18"/>
          <w:color w:val="auto"/>
        </w:rPr>
        <w:t>Date:</w:t>
        <w:tab/>
        <w:t>May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Stephen A. Vintz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4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Stephen A. Vintz</w:t>
      </w:r>
    </w:p>
    <w:p>
      <w:pPr>
        <w:spacing w:after="0" w:line="6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Chief Financial Officer</w:t>
      </w:r>
    </w:p>
    <w:p>
      <w:pPr>
        <w:spacing w:after="0" w:line="45"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(Principal Financial Officer and Principal Accounting Officer)</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2"/>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1."/>
      <w:numFmt w:val="upperLetter"/>
      <w:start w:val="1"/>
    </w:lvl>
  </w:abstractNum>
  <w:abstractNum w:abstractNumId="30">
    <w:nsid w:val="614FD4A1"/>
    <w:multiLevelType w:val="hybridMultilevel"/>
    <w:lvl w:ilvl="0">
      <w:lvlJc w:val="left"/>
      <w:lvlText w:val="%1."/>
      <w:numFmt w:val="decimal"/>
      <w:start w:val="1"/>
    </w:lvl>
  </w:abstractNum>
  <w:abstractNum w:abstractNumId="31">
    <w:nsid w:val="419AC241"/>
    <w:multiLevelType w:val="hybridMultilevel"/>
    <w:lvl w:ilvl="0">
      <w:lvlJc w:val="left"/>
      <w:lvlText w:val="(%1)"/>
      <w:numFmt w:val="lowerLetter"/>
      <w:start w:val="1"/>
    </w:lvl>
  </w:abstractNum>
  <w:abstractNum w:abstractNumId="32">
    <w:nsid w:val="5577F8E1"/>
    <w:multiLevelType w:val="hybridMultilevel"/>
    <w:lvl w:ilvl="0">
      <w:lvlJc w:val="left"/>
      <w:lvlText w:val="(%1)"/>
      <w:numFmt w:val="lowerLetter"/>
      <w:start w:val="2"/>
    </w:lvl>
  </w:abstractNum>
  <w:abstractNum w:abstractNumId="33">
    <w:nsid w:val="440BADFC"/>
    <w:multiLevelType w:val="hybridMultilevel"/>
    <w:lvl w:ilvl="0">
      <w:lvlJc w:val="left"/>
      <w:lvlText w:val="%1."/>
      <w:numFmt w:val="decimal"/>
      <w:start w:val="4"/>
    </w:lvl>
  </w:abstractNum>
  <w:abstractNum w:abstractNumId="34">
    <w:nsid w:val="5072367"/>
    <w:multiLevelType w:val="hybridMultilevel"/>
    <w:lvl w:ilvl="0">
      <w:lvlJc w:val="left"/>
      <w:lvlText w:val="%1."/>
      <w:numFmt w:val="decimal"/>
      <w:start w:val="5"/>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10" Type="http://schemas.openxmlformats.org/officeDocument/2006/relationships/hyperlink" Target="http://www.sec.gov/Archives/edgar/data/1660280/000119312518231446/d562353dex31.htm" TargetMode="External"/><Relationship Id="rId11" Type="http://schemas.openxmlformats.org/officeDocument/2006/relationships/hyperlink" Target="http://www.sec.gov/Archives/edgar/data/1660280/000119312518209705/d548092dex34.htm" TargetMode="External"/><Relationship Id="rId12" Type="http://schemas.openxmlformats.org/officeDocument/2006/relationships/hyperlink" Target="http://www.sec.gov/Archives/edgar/data/1660280/000119312518218215/d548092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2020-05-07T16:01:54Z</dcterms:created>
  <dcterms:modified xsi:type="dcterms:W3CDTF">2020-05-07T16:01:54Z</dcterms:modified>
</cp:coreProperties>
</file>