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8682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82355"/>
                    </a:xfrm>
                    <a:prstGeom prst="rect">
                      <a:avLst/>
                    </a:prstGeom>
                    <a:noFill/>
                  </pic:spPr>
                </pic:pic>
              </a:graphicData>
            </a:graphic>
          </wp:anchor>
        </w:drawing>
      </w:r>
    </w:p>
    <w:p>
      <w:pPr>
        <w:spacing w:after="0" w:line="1241"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Thurmond Mark C.</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TENABLE HOLDINGS,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6100 MERRIWEATHER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Tenable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TENB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11/24/2025</w:t>
      </w:r>
    </w:p>
    <w:p>
      <w:pPr>
        <w:spacing w:after="0" w:line="20" w:lineRule="exact"/>
        <w:rPr>
          <w:sz w:val="24"/>
          <w:szCs w:val="24"/>
          <w:color w:val="auto"/>
        </w:rPr>
      </w:pPr>
      <w:r>
        <w:rPr>
          <w:sz w:val="24"/>
          <w:szCs w:val="24"/>
          <w:color w:val="auto"/>
        </w:rPr>
        <w:br w:type="column"/>
      </w:r>
    </w:p>
    <w:p>
      <w:pPr>
        <w:ind w:left="9" w:right="640" w:hanging="9"/>
        <w:spacing w:after="0" w:line="258"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49"/>
        <w:spacing w:after="0"/>
        <w:rPr>
          <w:sz w:val="20"/>
          <w:szCs w:val="20"/>
          <w:color w:val="auto"/>
        </w:rPr>
      </w:pPr>
      <w:r>
        <w:rPr>
          <w:rFonts w:ascii="Times New Roman" w:cs="Times New Roman" w:eastAsia="Times New Roman" w:hAnsi="Times New Roman"/>
          <w:sz w:val="17"/>
          <w:szCs w:val="17"/>
          <w:color w:val="0000FF"/>
        </w:rPr>
        <w:t>Co-Chief Executive Officer</w:t>
      </w:r>
    </w:p>
    <w:p>
      <w:pPr>
        <w:spacing w:after="0" w:line="409" w:lineRule="exact"/>
        <w:rPr>
          <w:sz w:val="24"/>
          <w:szCs w:val="24"/>
          <w:color w:val="auto"/>
        </w:rPr>
      </w:pPr>
    </w:p>
    <w:p>
      <w:pPr>
        <w:sectPr>
          <w:pgSz w:w="11900" w:h="16838" w:orient="portrait"/>
          <w:cols w:equalWidth="0" w:num="3">
            <w:col w:w="3180" w:space="720"/>
            <w:col w:w="3111" w:space="720"/>
            <w:col w:w="3349"/>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21044</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2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ind w:right="9"/>
              <w:spacing w:after="0"/>
              <w:rPr>
                <w:sz w:val="20"/>
                <w:szCs w:val="20"/>
                <w:color w:val="auto"/>
              </w:rPr>
            </w:pPr>
            <w:r>
              <w:rPr>
                <w:rFonts w:ascii="Arial" w:cs="Arial" w:eastAsia="Arial" w:hAnsi="Arial"/>
                <w:sz w:val="12"/>
                <w:szCs w:val="12"/>
                <w:b w:val="1"/>
                <w:bCs w:val="1"/>
                <w:color w:val="auto"/>
                <w:w w:val="92"/>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w w:val="95"/>
              </w:rPr>
              <w:t>11/24/2025</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1,363</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106,364</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w w:val="95"/>
              </w:rPr>
              <w:t>11/24/2025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85"/>
              </w:rPr>
              <w:t>660</w:t>
            </w:r>
            <w:r>
              <w:rPr>
                <w:rFonts w:ascii="Times New Roman" w:cs="Times New Roman" w:eastAsia="Times New Roman" w:hAnsi="Times New Roman"/>
                <w:sz w:val="21"/>
                <w:szCs w:val="21"/>
                <w:color w:val="008000"/>
                <w:w w:val="85"/>
                <w:vertAlign w:val="superscript"/>
              </w:rPr>
              <w:t>(1)</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25.68</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105,704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w w:val="95"/>
              </w:rPr>
              <w:t>11/24/2025</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1,162</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106,866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w w:val="95"/>
              </w:rPr>
              <w:t>11/24/2025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85"/>
              </w:rPr>
              <w:t>562</w:t>
            </w:r>
            <w:r>
              <w:rPr>
                <w:rFonts w:ascii="Times New Roman" w:cs="Times New Roman" w:eastAsia="Times New Roman" w:hAnsi="Times New Roman"/>
                <w:sz w:val="21"/>
                <w:szCs w:val="21"/>
                <w:color w:val="008000"/>
                <w:w w:val="85"/>
                <w:vertAlign w:val="superscript"/>
              </w:rPr>
              <w:t>(1)</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25.68</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106,304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w w:val="95"/>
              </w:rPr>
              <w:t>11/24/2025</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2,267</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108,571</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w w:val="95"/>
              </w:rPr>
              <w:t>11/24/2025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5"/>
              </w:rPr>
              <w:t>1,097</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25.68</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107,474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w w:val="95"/>
              </w:rPr>
              <w:t>11/24/2025</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3,857</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111,331</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w w:val="95"/>
              </w:rPr>
              <w:t>11/24/2025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5"/>
              </w:rPr>
              <w:t>1,865</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25.68</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109,466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w w:val="95"/>
              </w:rPr>
              <w:t>11/24/2025</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3,713</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113,179</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w w:val="95"/>
              </w:rPr>
              <w:t>11/24/2025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95"/>
              </w:rPr>
              <w:t>1,796</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25.68</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111,383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680" w:type="dxa"/>
            <w:vAlign w:val="bottom"/>
            <w:gridSpan w:val="2"/>
          </w:tcPr>
          <w:p>
            <w:pPr>
              <w:jc w:val="center"/>
              <w:ind w:left="425"/>
              <w:spacing w:after="0"/>
              <w:rPr>
                <w:sz w:val="20"/>
                <w:szCs w:val="20"/>
                <w:color w:val="auto"/>
              </w:rPr>
            </w:pPr>
            <w:r>
              <w:rPr>
                <w:rFonts w:ascii="Times New Roman" w:cs="Times New Roman" w:eastAsia="Times New Roman" w:hAnsi="Times New Roman"/>
                <w:sz w:val="17"/>
                <w:szCs w:val="17"/>
                <w:color w:val="0000FF"/>
                <w:w w:val="95"/>
              </w:rPr>
              <w:t>11/24/2025</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37"/>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109"/>
              <w:spacing w:after="0"/>
              <w:rPr>
                <w:sz w:val="20"/>
                <w:szCs w:val="20"/>
                <w:color w:val="auto"/>
              </w:rPr>
            </w:pPr>
            <w:r>
              <w:rPr>
                <w:rFonts w:ascii="Times New Roman" w:cs="Times New Roman" w:eastAsia="Times New Roman" w:hAnsi="Times New Roman"/>
                <w:sz w:val="17"/>
                <w:szCs w:val="17"/>
                <w:color w:val="0000FF"/>
                <w:w w:val="93"/>
              </w:rPr>
              <w:t>4,368</w:t>
            </w: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Pr>
          <w:p>
            <w:pPr>
              <w:jc w:val="center"/>
              <w:ind w:left="63"/>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2"/>
                <w:szCs w:val="22"/>
                <w:color w:val="auto"/>
              </w:rPr>
            </w:pPr>
          </w:p>
        </w:tc>
        <w:tc>
          <w:tcPr>
            <w:tcW w:w="12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115,751</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25"/>
              <w:spacing w:after="0"/>
              <w:rPr>
                <w:sz w:val="20"/>
                <w:szCs w:val="20"/>
                <w:color w:val="auto"/>
              </w:rPr>
            </w:pPr>
            <w:r>
              <w:rPr>
                <w:rFonts w:ascii="Times New Roman" w:cs="Times New Roman" w:eastAsia="Times New Roman" w:hAnsi="Times New Roman"/>
                <w:sz w:val="17"/>
                <w:szCs w:val="17"/>
                <w:color w:val="0000FF"/>
                <w:w w:val="95"/>
              </w:rPr>
              <w:t>11/24/2025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57"/>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center"/>
              <w:ind w:left="109"/>
              <w:spacing w:after="0"/>
              <w:rPr>
                <w:sz w:val="20"/>
                <w:szCs w:val="20"/>
                <w:color w:val="auto"/>
              </w:rPr>
            </w:pPr>
            <w:r>
              <w:rPr>
                <w:rFonts w:ascii="Times New Roman" w:cs="Times New Roman" w:eastAsia="Times New Roman" w:hAnsi="Times New Roman"/>
                <w:sz w:val="17"/>
                <w:szCs w:val="17"/>
                <w:color w:val="0000FF"/>
                <w:w w:val="87"/>
              </w:rPr>
              <w:t>2,112</w:t>
            </w:r>
            <w:r>
              <w:rPr>
                <w:rFonts w:ascii="Times New Roman" w:cs="Times New Roman" w:eastAsia="Times New Roman" w:hAnsi="Times New Roman"/>
                <w:sz w:val="21"/>
                <w:szCs w:val="21"/>
                <w:color w:val="008000"/>
                <w:w w:val="87"/>
                <w:vertAlign w:val="superscript"/>
              </w:rPr>
              <w:t>(1)</w:t>
            </w:r>
          </w:p>
        </w:tc>
        <w:tc>
          <w:tcPr>
            <w:tcW w:w="6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7"/>
              </w:rPr>
              <w:t>D</w:t>
            </w:r>
          </w:p>
        </w:tc>
        <w:tc>
          <w:tcPr>
            <w:tcW w:w="580" w:type="dxa"/>
            <w:vAlign w:val="bottom"/>
            <w:tcBorders>
              <w:bottom w:val="single" w:sz="8" w:color="2C2C2C"/>
            </w:tcBorders>
            <w:gridSpan w:val="2"/>
          </w:tcPr>
          <w:p>
            <w:pPr>
              <w:jc w:val="center"/>
              <w:ind w:left="3"/>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25.68</w:t>
            </w:r>
          </w:p>
        </w:tc>
        <w:tc>
          <w:tcPr>
            <w:tcW w:w="128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113,639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10"/>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jc w:val="center"/>
              <w:ind w:right="40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center"/>
              <w:ind w:right="14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29"/>
              <w:spacing w:after="0" w:line="129"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1,363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11/24/2025</w:t>
            </w:r>
          </w:p>
        </w:tc>
        <w:tc>
          <w:tcPr>
            <w:tcW w:w="1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7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1,363</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w w:val="95"/>
              </w:rPr>
              <w:t>1,365</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1,162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11/24/2025</w:t>
            </w:r>
          </w:p>
        </w:tc>
        <w:tc>
          <w:tcPr>
            <w:tcW w:w="1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7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1,162</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w w:val="95"/>
              </w:rPr>
              <w:t>5,816</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jc w:val="right"/>
              <w:ind w:right="317"/>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29"/>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2,267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continue"/>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7"/>
              </w:rPr>
              <w:t>11/24/2025</w:t>
            </w:r>
          </w:p>
        </w:tc>
        <w:tc>
          <w:tcPr>
            <w:tcW w:w="1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78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2,267</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82"/>
              <w:spacing w:after="0" w:line="129"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60"/>
              <w:spacing w:after="0" w:line="129" w:lineRule="exact"/>
              <w:rPr>
                <w:sz w:val="20"/>
                <w:szCs w:val="20"/>
                <w:color w:val="auto"/>
              </w:rPr>
            </w:pPr>
            <w:r>
              <w:rPr>
                <w:rFonts w:ascii="Times New Roman" w:cs="Times New Roman" w:eastAsia="Times New Roman" w:hAnsi="Times New Roman"/>
                <w:sz w:val="13"/>
                <w:szCs w:val="13"/>
                <w:color w:val="0000FF"/>
              </w:rPr>
              <w:t>20,407</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11/24/2025</w:t>
            </w:r>
          </w:p>
        </w:tc>
        <w:tc>
          <w:tcPr>
            <w:tcW w:w="110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3,857</w:t>
            </w:r>
          </w:p>
        </w:tc>
        <w:tc>
          <w:tcPr>
            <w:tcW w:w="800" w:type="dxa"/>
            <w:vAlign w:val="bottom"/>
            <w:gridSpan w:val="2"/>
          </w:tcPr>
          <w:p>
            <w:pPr>
              <w:jc w:val="right"/>
              <w:ind w:right="317"/>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jc w:val="center"/>
              <w:ind w:right="29"/>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3,857</w:t>
            </w:r>
          </w:p>
        </w:tc>
        <w:tc>
          <w:tcPr>
            <w:tcW w:w="60" w:type="dxa"/>
            <w:vAlign w:val="bottom"/>
          </w:tcPr>
          <w:p>
            <w:pPr>
              <w:spacing w:after="0"/>
              <w:rPr>
                <w:sz w:val="20"/>
                <w:szCs w:val="20"/>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5"/>
              </w:rPr>
              <w:t>3,857</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11/24/2025</w:t>
            </w:r>
          </w:p>
        </w:tc>
        <w:tc>
          <w:tcPr>
            <w:tcW w:w="1100" w:type="dxa"/>
            <w:vAlign w:val="bottom"/>
          </w:tcPr>
          <w:p>
            <w:pPr>
              <w:spacing w:after="0"/>
              <w:rPr>
                <w:sz w:val="20"/>
                <w:szCs w:val="20"/>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3,713</w:t>
            </w:r>
          </w:p>
        </w:tc>
        <w:tc>
          <w:tcPr>
            <w:tcW w:w="800" w:type="dxa"/>
            <w:vAlign w:val="bottom"/>
            <w:gridSpan w:val="2"/>
          </w:tcPr>
          <w:p>
            <w:pPr>
              <w:jc w:val="right"/>
              <w:ind w:right="317"/>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jc w:val="center"/>
              <w:ind w:right="29"/>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3,713</w:t>
            </w:r>
          </w:p>
        </w:tc>
        <w:tc>
          <w:tcPr>
            <w:tcW w:w="60" w:type="dxa"/>
            <w:vAlign w:val="bottom"/>
          </w:tcPr>
          <w:p>
            <w:pPr>
              <w:spacing w:after="0"/>
              <w:rPr>
                <w:sz w:val="20"/>
                <w:szCs w:val="20"/>
                <w:color w:val="auto"/>
              </w:rPr>
            </w:pPr>
          </w:p>
        </w:tc>
        <w:tc>
          <w:tcPr>
            <w:tcW w:w="700" w:type="dxa"/>
            <w:vAlign w:val="bottom"/>
            <w:gridSpan w:val="2"/>
          </w:tcPr>
          <w:p>
            <w:pPr>
              <w:jc w:val="center"/>
              <w:ind w:right="8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18,565</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8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-3316605</wp:posOffset>
            </wp:positionV>
            <wp:extent cx="29210" cy="351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51345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000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20002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76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76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6"/>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232"/>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11/24/2025</w:t>
            </w:r>
          </w:p>
        </w:tc>
        <w:tc>
          <w:tcPr>
            <w:tcW w:w="1100" w:type="dxa"/>
            <w:vAlign w:val="bottom"/>
          </w:tcPr>
          <w:p>
            <w:pPr>
              <w:spacing w:after="0"/>
              <w:rPr>
                <w:sz w:val="20"/>
                <w:szCs w:val="20"/>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4,368</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4,368</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39,312</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0"/>
                <w:szCs w:val="20"/>
                <w:color w:val="auto"/>
              </w:rPr>
            </w:pPr>
          </w:p>
        </w:tc>
      </w:tr>
      <w:tr>
        <w:trPr>
          <w:trHeight w:val="167"/>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right="18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w:t>
      </w:r>
    </w:p>
    <w:p>
      <w:pPr>
        <w:spacing w:after="0" w:line="17"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20" w:right="28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22, 2023, the Compensation Committee of the Issuer's Board of Directors certified the achievement of the Performance Restricted Stock Units (PRSUs) granted on February 23, 2022 and determined a 106% payout for the measurement period based on the Issuer's fiscal year 2022 criteria. 25% of the shares underlying the PRSUs vested on February 23, 2023,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20" w:right="26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21, 2024, the Compensation Committee of the Issuer's Board of Directors certified the achievement of the Performance Restricted Stock Units (PRSUs) granted on February 22, 2023 and determined a 93.9% payout for the measurement period based on the Issuer's fiscal year 2023 criteria. 25% of the shares underlying the PRSUs vested on February 22, 2024,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20" w:right="26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13, 2025, the Compensation Committee of the Issuer's Board of Directors certified the achievement of the Performance Restricted Stock Units (PRSUs) granted on February 22, 2024 and determined a 96.4% payout for the measurement period based on the Issuer's fiscal year 2024 criteria. 25% of the shares underlying the PRSUs vested on February 22, 2025, with the remainder vesting in equal quarterly installments over 3 years, subject to the Reporting Person's continuous service with the Issuer as of the applicable vesting date, and subject to accelerated vesting in specified circumstances.</w:t>
      </w:r>
    </w:p>
    <w:p>
      <w:pPr>
        <w:spacing w:after="0" w:line="26" w:lineRule="exact"/>
        <w:rPr>
          <w:rFonts w:ascii="Times New Roman" w:cs="Times New Roman" w:eastAsia="Times New Roman" w:hAnsi="Times New Roman"/>
          <w:sz w:val="13"/>
          <w:szCs w:val="13"/>
          <w:color w:val="008000"/>
        </w:rPr>
      </w:pPr>
    </w:p>
    <w:p>
      <w:pPr>
        <w:ind w:left="20" w:right="4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23, 2023,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rFonts w:ascii="Times New Roman" w:cs="Times New Roman" w:eastAsia="Times New Roman" w:hAnsi="Times New Roman"/>
          <w:sz w:val="13"/>
          <w:szCs w:val="13"/>
          <w:color w:val="008000"/>
        </w:rPr>
      </w:pPr>
    </w:p>
    <w:p>
      <w:pPr>
        <w:ind w:left="20" w:right="4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2024,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rFonts w:ascii="Times New Roman" w:cs="Times New Roman" w:eastAsia="Times New Roman" w:hAnsi="Times New Roman"/>
          <w:sz w:val="13"/>
          <w:szCs w:val="13"/>
          <w:color w:val="008000"/>
        </w:rPr>
      </w:pPr>
    </w:p>
    <w:p>
      <w:pPr>
        <w:ind w:left="20" w:right="460" w:firstLine="2"/>
        <w:spacing w:after="0" w:line="255"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2025, with the remainder vesting in equal quarterly installments over 3 years, subject to the Reporting Person's continuous service with the Issuer as of the applicable vesting date, and subject to accelerated vesting in specified circumstances.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David Bartholomew,</w:t>
            </w:r>
          </w:p>
        </w:tc>
        <w:tc>
          <w:tcPr>
            <w:tcW w:w="44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11/25/2025</w:t>
            </w:r>
          </w:p>
        </w:tc>
        <w:tc>
          <w:tcPr>
            <w:tcW w:w="0" w:type="dxa"/>
            <w:vAlign w:val="bottom"/>
          </w:tcPr>
          <w:p>
            <w:pPr>
              <w:spacing w:after="0"/>
              <w:rPr>
                <w:sz w:val="1"/>
                <w:szCs w:val="1"/>
                <w:color w:val="auto"/>
              </w:rPr>
            </w:pPr>
          </w:p>
        </w:tc>
      </w:tr>
      <w:tr>
        <w:trPr>
          <w:trHeight w:val="83"/>
        </w:trPr>
        <w:tc>
          <w:tcPr>
            <w:tcW w:w="204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1579"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2025-11-25T18:58:37Z</dcterms:created>
  <dcterms:modified xsi:type="dcterms:W3CDTF">2025-11-25T18:58:37Z</dcterms:modified>
</cp:coreProperties>
</file>