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231F20"/>
        </w:rPr>
        <w:t>UNITED STATES</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231F20"/>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231F20"/>
        </w:rPr>
        <w:t>Washington, D.C. 20549</w:t>
      </w:r>
    </w:p>
    <w:p>
      <w:pPr>
        <w:ind w:left="4720"/>
        <w:spacing w:after="0"/>
        <w:rPr>
          <w:sz w:val="20"/>
          <w:szCs w:val="20"/>
          <w:color w:val="auto"/>
        </w:rPr>
      </w:pPr>
      <w:r>
        <w:rPr>
          <w:rFonts w:ascii="Arial" w:cs="Arial" w:eastAsia="Arial" w:hAnsi="Arial"/>
          <w:sz w:val="18"/>
          <w:szCs w:val="18"/>
          <w:b w:val="1"/>
          <w:bCs w:val="1"/>
          <w:color w:val="auto"/>
        </w:rPr>
        <w:t>__________________</w:t>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231F20"/>
        </w:rPr>
        <w:t>FORM 10-Q</w:t>
      </w:r>
    </w:p>
    <w:p>
      <w:pPr>
        <w:spacing w:after="0" w:line="43"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122"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135"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For the transition period from _____ to _____</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001-38600</w:t>
      </w:r>
    </w:p>
    <w:p>
      <w:pPr>
        <w:spacing w:after="0" w:line="22"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231F20"/>
        </w:rPr>
        <w:t>TENABLE HOLDINGS,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231F20"/>
        </w:rPr>
        <w:t>(Exact name of registrant as specified in its charter)</w:t>
      </w:r>
    </w:p>
    <w:p>
      <w:pPr>
        <w:ind w:left="47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200"/>
          </w:cols>
          <w:pgMar w:left="320" w:top="1189" w:right="379" w:bottom="1440" w:gutter="0" w:footer="0" w:header="0"/>
        </w:sectPr>
      </w:pPr>
    </w:p>
    <w:p>
      <w:pPr>
        <w:spacing w:after="0" w:line="113" w:lineRule="exact"/>
        <w:rPr>
          <w:sz w:val="24"/>
          <w:szCs w:val="24"/>
          <w:color w:val="auto"/>
        </w:rPr>
      </w:pPr>
    </w:p>
    <w:p>
      <w:pPr>
        <w:ind w:left="19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47-5580846</w:t>
      </w:r>
    </w:p>
    <w:p>
      <w:pPr>
        <w:spacing w:after="0" w:line="95" w:lineRule="exact"/>
        <w:rPr>
          <w:sz w:val="24"/>
          <w:szCs w:val="24"/>
          <w:color w:val="auto"/>
        </w:rPr>
      </w:pPr>
    </w:p>
    <w:p>
      <w:pPr>
        <w:sectPr>
          <w:pgSz w:w="11900" w:h="16838" w:orient="portrait"/>
          <w:cols w:equalWidth="0" w:num="2">
            <w:col w:w="7740" w:space="720"/>
            <w:col w:w="2740"/>
          </w:cols>
          <w:pgMar w:left="320" w:top="1189" w:right="379" w:bottom="1440" w:gutter="0" w:footer="0" w:header="0"/>
          <w:type w:val="continuous"/>
        </w:sectPr>
      </w:pPr>
    </w:p>
    <w:p>
      <w:pPr>
        <w:ind w:left="48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194" w:lineRule="exact"/>
        <w:rPr>
          <w:sz w:val="24"/>
          <w:szCs w:val="24"/>
          <w:color w:val="auto"/>
        </w:rPr>
      </w:pPr>
    </w:p>
    <w:p>
      <w:pPr>
        <w:sectPr>
          <w:pgSz w:w="11900" w:h="16838" w:orient="portrait"/>
          <w:cols w:equalWidth="0" w:num="2">
            <w:col w:w="6920" w:space="720"/>
            <w:col w:w="3560"/>
          </w:cols>
          <w:pgMar w:left="320" w:top="1189" w:right="37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6100 Merriweather Drive, Columbia, Maryland, 21044</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(410) 872-0555</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(Registrant’s telephone number, including area code)</w:t>
      </w: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00"/>
          </w:cols>
          <w:pgMar w:left="320" w:top="1189" w:right="379" w:bottom="1440" w:gutter="0" w:footer="0" w:header="0"/>
          <w:type w:val="continuous"/>
        </w:sectPr>
      </w:pPr>
    </w:p>
    <w:p>
      <w:pPr>
        <w:spacing w:after="0" w:line="140" w:lineRule="exact"/>
        <w:rPr>
          <w:sz w:val="24"/>
          <w:szCs w:val="24"/>
          <w:color w:val="auto"/>
        </w:rPr>
      </w:pPr>
    </w:p>
    <w:p>
      <w:pPr>
        <w:ind w:left="144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32" w:lineRule="exact"/>
        <w:rPr>
          <w:sz w:val="24"/>
          <w:szCs w:val="24"/>
          <w:color w:val="auto"/>
        </w:rPr>
      </w:pPr>
    </w:p>
    <w:p>
      <w:pPr>
        <w:sectPr>
          <w:pgSz w:w="11900" w:h="16838" w:orient="portrait"/>
          <w:cols w:equalWidth="0" w:num="3">
            <w:col w:w="4240" w:space="720"/>
            <w:col w:w="1880" w:space="720"/>
            <w:col w:w="3640"/>
          </w:cols>
          <w:pgMar w:left="320" w:top="1189" w:right="37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TENB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Stock Market LLC</w:t>
      </w:r>
    </w:p>
    <w:p>
      <w:pPr>
        <w:spacing w:after="0" w:line="200" w:lineRule="exact"/>
        <w:rPr>
          <w:sz w:val="24"/>
          <w:szCs w:val="24"/>
          <w:color w:val="auto"/>
        </w:rPr>
      </w:pPr>
    </w:p>
    <w:p>
      <w:pPr>
        <w:sectPr>
          <w:pgSz w:w="11900" w:h="16838" w:orient="portrait"/>
          <w:cols w:equalWidth="0" w:num="3">
            <w:col w:w="4680" w:space="720"/>
            <w:col w:w="1940" w:space="720"/>
            <w:col w:w="3140"/>
          </w:cols>
          <w:pgMar w:left="320" w:top="1189" w:right="379" w:bottom="1440" w:gutter="0" w:footer="0" w:header="0"/>
          <w:type w:val="continuous"/>
        </w:sectPr>
      </w:pPr>
    </w:p>
    <w:p>
      <w:pPr>
        <w:spacing w:after="0" w:line="8" w:lineRule="exact"/>
        <w:rPr>
          <w:sz w:val="24"/>
          <w:szCs w:val="24"/>
          <w:color w:val="auto"/>
        </w:rPr>
      </w:pPr>
    </w:p>
    <w:p>
      <w:pPr>
        <w:jc w:val="both"/>
        <w:ind w:right="36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ind w:right="4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4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rPr>
              <w:t>☒</w:t>
            </w:r>
          </w:p>
        </w:tc>
        <w:tc>
          <w:tcPr>
            <w:tcW w:w="3840" w:type="dxa"/>
            <w:vAlign w:val="bottom"/>
          </w:tcPr>
          <w:p>
            <w:pPr>
              <w:ind w:left="420"/>
              <w:spacing w:after="0"/>
              <w:rPr>
                <w:sz w:val="20"/>
                <w:szCs w:val="20"/>
                <w:color w:val="auto"/>
              </w:rPr>
            </w:pPr>
            <w:r>
              <w:rPr>
                <w:rFonts w:ascii="Arial" w:cs="Arial" w:eastAsia="Arial" w:hAnsi="Arial"/>
                <w:sz w:val="16"/>
                <w:szCs w:val="16"/>
                <w:color w:val="auto"/>
              </w:rPr>
              <w:t>Accelerated filer</w:t>
            </w:r>
          </w:p>
        </w:tc>
        <w:tc>
          <w:tcPr>
            <w:tcW w:w="16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3400" w:type="dxa"/>
            <w:vAlign w:val="bottom"/>
          </w:tcPr>
          <w:p>
            <w:pPr>
              <w:spacing w:after="0"/>
              <w:rPr>
                <w:sz w:val="20"/>
                <w:szCs w:val="20"/>
                <w:color w:val="auto"/>
              </w:rPr>
            </w:pPr>
            <w:r>
              <w:rPr>
                <w:rFonts w:ascii="Arial" w:cs="Arial" w:eastAsia="Arial" w:hAnsi="Arial"/>
                <w:sz w:val="16"/>
                <w:szCs w:val="16"/>
                <w:color w:val="auto"/>
              </w:rPr>
              <w:t>Non-accelerated filer</w:t>
            </w:r>
          </w:p>
        </w:tc>
        <w:tc>
          <w:tcPr>
            <w:tcW w:w="204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rPr>
              <w:t>☐</w:t>
            </w:r>
          </w:p>
        </w:tc>
        <w:tc>
          <w:tcPr>
            <w:tcW w:w="38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54"/>
        </w:trPr>
        <w:tc>
          <w:tcPr>
            <w:tcW w:w="34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04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rPr>
              <w:t>☐</w:t>
            </w:r>
          </w:p>
        </w:tc>
        <w:tc>
          <w:tcPr>
            <w:tcW w:w="3840" w:type="dxa"/>
            <w:vAlign w:val="bottom"/>
          </w:tcPr>
          <w:p>
            <w:pPr>
              <w:ind w:left="420"/>
              <w:spacing w:after="0"/>
              <w:rPr>
                <w:sz w:val="20"/>
                <w:szCs w:val="20"/>
                <w:color w:val="auto"/>
              </w:rPr>
            </w:pPr>
            <w:r>
              <w:rPr>
                <w:rFonts w:ascii="Arial" w:cs="Arial" w:eastAsia="Arial" w:hAnsi="Arial"/>
                <w:sz w:val="16"/>
                <w:szCs w:val="16"/>
                <w:color w:val="auto"/>
              </w:rPr>
              <w:t>Smaller reporting company</w:t>
            </w:r>
          </w:p>
        </w:tc>
        <w:tc>
          <w:tcPr>
            <w:tcW w:w="16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 w:lineRule="exact"/>
        <w:rPr>
          <w:sz w:val="24"/>
          <w:szCs w:val="24"/>
          <w:color w:val="auto"/>
        </w:rPr>
      </w:pPr>
    </w:p>
    <w:p>
      <w:pPr>
        <w:ind w:left="20" w:right="80"/>
        <w:spacing w:after="0" w:line="19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4" w:lineRule="exact"/>
        <w:rPr>
          <w:sz w:val="24"/>
          <w:szCs w:val="24"/>
          <w:color w:val="auto"/>
        </w:rPr>
      </w:pPr>
    </w:p>
    <w:p>
      <w:pPr>
        <w:ind w:right="156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as of April 23, 2021 was 105,591,098.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9"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140" w:type="dxa"/>
            <w:vAlign w:val="bottom"/>
            <w:gridSpan w:val="9"/>
          </w:tcPr>
          <w:p>
            <w:pPr>
              <w:jc w:val="center"/>
              <w:ind w:right="3780"/>
              <w:spacing w:after="0"/>
              <w:rPr>
                <w:sz w:val="20"/>
                <w:szCs w:val="20"/>
                <w:color w:val="auto"/>
              </w:rPr>
            </w:pPr>
            <w:r>
              <w:rPr>
                <w:rFonts w:ascii="Arial" w:cs="Arial" w:eastAsia="Arial" w:hAnsi="Arial"/>
                <w:sz w:val="18"/>
                <w:szCs w:val="18"/>
                <w:b w:val="1"/>
                <w:bCs w:val="1"/>
                <w:color w:val="auto"/>
              </w:rPr>
              <w:t>TENABLE HOLDINGS, INC.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20" w:type="dxa"/>
            <w:vAlign w:val="bottom"/>
            <w:gridSpan w:val="8"/>
          </w:tcPr>
          <w:p>
            <w:pPr>
              <w:jc w:val="center"/>
              <w:ind w:right="390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500" w:type="dxa"/>
            <w:vAlign w:val="bottom"/>
            <w:gridSpan w:val="13"/>
            <w:vMerge w:val="restart"/>
          </w:tcPr>
          <w:p>
            <w:pPr>
              <w:jc w:val="center"/>
              <w:ind w:right="3400"/>
              <w:spacing w:after="0"/>
              <w:rPr>
                <w:rFonts w:ascii="Arial" w:cs="Arial" w:eastAsia="Arial" w:hAnsi="Arial"/>
                <w:sz w:val="18"/>
                <w:szCs w:val="18"/>
                <w:b w:val="1"/>
                <w:bCs w:val="1"/>
                <w:color w:val="0000FF"/>
                <w:w w:val="99"/>
              </w:rPr>
            </w:pPr>
            <w:hyperlink w:anchor="page2">
              <w:r>
                <w:rPr>
                  <w:rFonts w:ascii="Arial" w:cs="Arial" w:eastAsia="Arial" w:hAnsi="Arial"/>
                  <w:sz w:val="18"/>
                  <w:szCs w:val="18"/>
                  <w:b w:val="1"/>
                  <w:bCs w:val="1"/>
                  <w:color w:val="0000FF"/>
                  <w:w w:val="99"/>
                </w:rPr>
                <w:t>PART I – FINANCIAL INFORMATION</w:t>
              </w:r>
            </w:hyperlink>
          </w:p>
        </w:tc>
        <w:tc>
          <w:tcPr>
            <w:tcW w:w="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500" w:type="dxa"/>
            <w:vAlign w:val="bottom"/>
            <w:gridSpan w:val="13"/>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Borders>
              <w:bottom w:val="single" w:sz="8" w:color="0000FF"/>
            </w:tcBorders>
          </w:tcPr>
          <w:p>
            <w:pPr>
              <w:spacing w:after="0"/>
              <w:rPr>
                <w:rFonts w:ascii="Arial" w:cs="Arial" w:eastAsia="Arial" w:hAnsi="Arial"/>
                <w:sz w:val="18"/>
                <w:szCs w:val="18"/>
                <w:color w:val="0000FF"/>
                <w:w w:val="98"/>
              </w:rPr>
            </w:pPr>
            <w:hyperlink w:anchor="page2">
              <w:r>
                <w:rPr>
                  <w:rFonts w:ascii="Arial" w:cs="Arial" w:eastAsia="Arial" w:hAnsi="Arial"/>
                  <w:sz w:val="18"/>
                  <w:szCs w:val="18"/>
                  <w:color w:val="0000FF"/>
                  <w:w w:val="98"/>
                </w:rPr>
                <w:t>Item 1.</w:t>
              </w:r>
            </w:hyperlink>
          </w:p>
        </w:tc>
        <w:tc>
          <w:tcPr>
            <w:tcW w:w="360" w:type="dxa"/>
            <w:vAlign w:val="bottom"/>
            <w:gridSpan w:val="2"/>
          </w:tcPr>
          <w:p>
            <w:pPr>
              <w:spacing w:after="0"/>
              <w:rPr>
                <w:sz w:val="18"/>
                <w:szCs w:val="18"/>
                <w:color w:val="auto"/>
              </w:rPr>
            </w:pPr>
          </w:p>
        </w:tc>
        <w:tc>
          <w:tcPr>
            <w:tcW w:w="1680" w:type="dxa"/>
            <w:vAlign w:val="bottom"/>
            <w:tcBorders>
              <w:bottom w:val="single" w:sz="8" w:color="0000FF"/>
            </w:tcBorders>
            <w:gridSpan w:val="11"/>
          </w:tcPr>
          <w:p>
            <w:pPr>
              <w:spacing w:after="0"/>
              <w:rPr>
                <w:rFonts w:ascii="Arial" w:cs="Arial" w:eastAsia="Arial" w:hAnsi="Arial"/>
                <w:sz w:val="18"/>
                <w:szCs w:val="18"/>
                <w:color w:val="0000FF"/>
                <w:w w:val="98"/>
              </w:rPr>
            </w:pPr>
            <w:hyperlink w:anchor="page2">
              <w:r>
                <w:rPr>
                  <w:rFonts w:ascii="Arial" w:cs="Arial" w:eastAsia="Arial" w:hAnsi="Arial"/>
                  <w:sz w:val="18"/>
                  <w:szCs w:val="18"/>
                  <w:color w:val="0000FF"/>
                  <w:w w:val="98"/>
                </w:rPr>
                <w:t>Financial Statements</w:t>
              </w:r>
            </w:hyperlink>
          </w:p>
        </w:tc>
        <w:tc>
          <w:tcPr>
            <w:tcW w:w="1480" w:type="dxa"/>
            <w:vAlign w:val="bottom"/>
            <w:gridSpan w:val="8"/>
          </w:tcPr>
          <w:p>
            <w:pPr>
              <w:spacing w:after="0"/>
              <w:rPr>
                <w:sz w:val="18"/>
                <w:szCs w:val="18"/>
                <w:color w:val="auto"/>
              </w:rPr>
            </w:pPr>
          </w:p>
        </w:tc>
        <w:tc>
          <w:tcPr>
            <w:tcW w:w="3040" w:type="dxa"/>
            <w:vAlign w:val="bottom"/>
            <w:tcBorders>
              <w:top w:val="single" w:sz="8" w:color="0000FF"/>
            </w:tcBorders>
            <w:gridSpan w:val="10"/>
          </w:tcPr>
          <w:p>
            <w:pPr>
              <w:spacing w:after="0"/>
              <w:rPr>
                <w:sz w:val="18"/>
                <w:szCs w:val="18"/>
                <w:color w:val="auto"/>
              </w:rPr>
            </w:pPr>
          </w:p>
        </w:tc>
        <w:tc>
          <w:tcPr>
            <w:tcW w:w="3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14"/>
          </w:tcPr>
          <w:p>
            <w:pPr>
              <w:spacing w:after="0"/>
              <w:rPr>
                <w:rFonts w:ascii="Arial" w:cs="Arial" w:eastAsia="Arial" w:hAnsi="Arial"/>
                <w:sz w:val="18"/>
                <w:szCs w:val="18"/>
                <w:color w:val="0000FF"/>
                <w:w w:val="98"/>
              </w:rPr>
            </w:pPr>
            <w:hyperlink w:anchor="page3">
              <w:r>
                <w:rPr>
                  <w:rFonts w:ascii="Arial" w:cs="Arial" w:eastAsia="Arial" w:hAnsi="Arial"/>
                  <w:sz w:val="18"/>
                  <w:szCs w:val="18"/>
                  <w:color w:val="0000FF"/>
                  <w:w w:val="98"/>
                </w:rPr>
                <w:t>Consolidated Balance Sheets</w:t>
              </w:r>
            </w:hyperlink>
          </w:p>
        </w:tc>
        <w:tc>
          <w:tcPr>
            <w:tcW w:w="7280" w:type="dxa"/>
            <w:vAlign w:val="bottom"/>
            <w:gridSpan w:val="17"/>
          </w:tcPr>
          <w:p>
            <w:pPr>
              <w:spacing w:after="0"/>
              <w:rPr>
                <w:sz w:val="18"/>
                <w:szCs w:val="18"/>
                <w:color w:val="auto"/>
              </w:rPr>
            </w:pPr>
          </w:p>
        </w:tc>
        <w:tc>
          <w:tcPr>
            <w:tcW w:w="200" w:type="dxa"/>
            <w:vAlign w:val="bottom"/>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18"/>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Consolidated Statements of Operations</w:t>
              </w:r>
            </w:hyperlink>
          </w:p>
        </w:tc>
        <w:tc>
          <w:tcPr>
            <w:tcW w:w="6500" w:type="dxa"/>
            <w:vAlign w:val="bottom"/>
            <w:gridSpan w:val="13"/>
          </w:tcPr>
          <w:p>
            <w:pPr>
              <w:spacing w:after="0"/>
              <w:rPr>
                <w:sz w:val="18"/>
                <w:szCs w:val="18"/>
                <w:color w:val="auto"/>
              </w:rPr>
            </w:pPr>
          </w:p>
        </w:tc>
        <w:tc>
          <w:tcPr>
            <w:tcW w:w="200" w:type="dxa"/>
            <w:vAlign w:val="bottom"/>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40" w:type="dxa"/>
            <w:vAlign w:val="bottom"/>
            <w:gridSpan w:val="31"/>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Statements of Comprehensive Loss</w:t>
              </w:r>
            </w:hyperlink>
          </w:p>
        </w:tc>
        <w:tc>
          <w:tcPr>
            <w:tcW w:w="20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gridSpan w:val="24"/>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Consolidated Statements of Stockholders' Equity</w:t>
              </w:r>
            </w:hyperlink>
          </w:p>
        </w:tc>
        <w:tc>
          <w:tcPr>
            <w:tcW w:w="5760" w:type="dxa"/>
            <w:vAlign w:val="bottom"/>
            <w:gridSpan w:val="7"/>
          </w:tcPr>
          <w:p>
            <w:pPr>
              <w:spacing w:after="0"/>
              <w:rPr>
                <w:sz w:val="18"/>
                <w:szCs w:val="18"/>
                <w:color w:val="auto"/>
              </w:rPr>
            </w:pPr>
          </w:p>
        </w:tc>
        <w:tc>
          <w:tcPr>
            <w:tcW w:w="20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0" w:type="dxa"/>
            <w:vAlign w:val="bottom"/>
            <w:gridSpan w:val="20"/>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Consolidated Statements of Cash Flows</w:t>
              </w:r>
            </w:hyperlink>
          </w:p>
        </w:tc>
        <w:tc>
          <w:tcPr>
            <w:tcW w:w="680" w:type="dxa"/>
            <w:vAlign w:val="bottom"/>
            <w:gridSpan w:val="4"/>
          </w:tcPr>
          <w:p>
            <w:pPr>
              <w:spacing w:after="0"/>
              <w:rPr>
                <w:sz w:val="18"/>
                <w:szCs w:val="18"/>
                <w:color w:val="auto"/>
              </w:rPr>
            </w:pPr>
          </w:p>
        </w:tc>
        <w:tc>
          <w:tcPr>
            <w:tcW w:w="5760" w:type="dxa"/>
            <w:vAlign w:val="bottom"/>
            <w:gridSpan w:val="7"/>
          </w:tcPr>
          <w:p>
            <w:pPr>
              <w:spacing w:after="0"/>
              <w:rPr>
                <w:sz w:val="18"/>
                <w:szCs w:val="18"/>
                <w:color w:val="auto"/>
              </w:rPr>
            </w:pPr>
          </w:p>
        </w:tc>
        <w:tc>
          <w:tcPr>
            <w:tcW w:w="200" w:type="dxa"/>
            <w:vAlign w:val="bottom"/>
            <w:gridSpan w:val="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00" w:type="dxa"/>
            <w:vAlign w:val="bottom"/>
            <w:gridSpan w:val="22"/>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Consolidated Financial Statements</w:t>
              </w:r>
            </w:hyperlink>
          </w:p>
        </w:tc>
        <w:tc>
          <w:tcPr>
            <w:tcW w:w="6140" w:type="dxa"/>
            <w:vAlign w:val="bottom"/>
            <w:gridSpan w:val="9"/>
          </w:tcPr>
          <w:p>
            <w:pPr>
              <w:spacing w:after="0"/>
              <w:rPr>
                <w:sz w:val="18"/>
                <w:szCs w:val="18"/>
                <w:color w:val="auto"/>
              </w:rPr>
            </w:pPr>
          </w:p>
        </w:tc>
        <w:tc>
          <w:tcPr>
            <w:tcW w:w="200" w:type="dxa"/>
            <w:vAlign w:val="bottom"/>
            <w:gridSpan w:val="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rFonts w:ascii="Arial" w:cs="Arial" w:eastAsia="Arial" w:hAnsi="Arial"/>
                <w:sz w:val="18"/>
                <w:szCs w:val="18"/>
                <w:color w:val="0000FF"/>
                <w:w w:val="92"/>
              </w:rPr>
            </w:pPr>
            <w:hyperlink w:anchor="page8">
              <w:r>
                <w:rPr>
                  <w:rFonts w:ascii="Arial" w:cs="Arial" w:eastAsia="Arial" w:hAnsi="Arial"/>
                  <w:sz w:val="18"/>
                  <w:szCs w:val="18"/>
                  <w:color w:val="0000FF"/>
                  <w:w w:val="92"/>
                </w:rPr>
                <w:t>1.</w:t>
              </w:r>
            </w:hyperlink>
          </w:p>
        </w:tc>
        <w:tc>
          <w:tcPr>
            <w:tcW w:w="9280" w:type="dxa"/>
            <w:vAlign w:val="bottom"/>
            <w:gridSpan w:val="29"/>
          </w:tcPr>
          <w:p>
            <w:pPr>
              <w:ind w:left="40"/>
              <w:spacing w:after="0"/>
              <w:rPr>
                <w:rFonts w:ascii="Arial" w:cs="Arial" w:eastAsia="Arial" w:hAnsi="Arial"/>
                <w:sz w:val="18"/>
                <w:szCs w:val="18"/>
                <w:color w:val="0000FF"/>
              </w:rPr>
            </w:pPr>
            <w:hyperlink w:anchor="page8">
              <w:r>
                <w:rPr>
                  <w:rFonts w:ascii="Arial" w:cs="Arial" w:eastAsia="Arial" w:hAnsi="Arial"/>
                  <w:sz w:val="18"/>
                  <w:szCs w:val="18"/>
                  <w:color w:val="0000FF"/>
                </w:rPr>
                <w:t>Business and Summary of Significant Accounting Policies</w:t>
              </w:r>
            </w:hyperlink>
          </w:p>
        </w:tc>
        <w:tc>
          <w:tcPr>
            <w:tcW w:w="200" w:type="dxa"/>
            <w:vAlign w:val="bottom"/>
            <w:gridSpan w:val="2"/>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rFonts w:ascii="Arial" w:cs="Arial" w:eastAsia="Arial" w:hAnsi="Arial"/>
                <w:sz w:val="18"/>
                <w:szCs w:val="18"/>
                <w:color w:val="0000FF"/>
                <w:w w:val="92"/>
              </w:rPr>
            </w:pPr>
            <w:hyperlink w:anchor="page8">
              <w:r>
                <w:rPr>
                  <w:rFonts w:ascii="Arial" w:cs="Arial" w:eastAsia="Arial" w:hAnsi="Arial"/>
                  <w:sz w:val="18"/>
                  <w:szCs w:val="18"/>
                  <w:color w:val="0000FF"/>
                  <w:w w:val="92"/>
                </w:rPr>
                <w:t>2.</w:t>
              </w:r>
            </w:hyperlink>
          </w:p>
        </w:tc>
        <w:tc>
          <w:tcPr>
            <w:tcW w:w="9280" w:type="dxa"/>
            <w:vAlign w:val="bottom"/>
            <w:gridSpan w:val="29"/>
          </w:tcPr>
          <w:p>
            <w:pPr>
              <w:ind w:left="40"/>
              <w:spacing w:after="0"/>
              <w:rPr>
                <w:rFonts w:ascii="Arial" w:cs="Arial" w:eastAsia="Arial" w:hAnsi="Arial"/>
                <w:sz w:val="18"/>
                <w:szCs w:val="18"/>
                <w:color w:val="0000FF"/>
              </w:rPr>
            </w:pPr>
            <w:hyperlink w:anchor="page8">
              <w:r>
                <w:rPr>
                  <w:rFonts w:ascii="Arial" w:cs="Arial" w:eastAsia="Arial" w:hAnsi="Arial"/>
                  <w:sz w:val="18"/>
                  <w:szCs w:val="18"/>
                  <w:color w:val="0000FF"/>
                </w:rPr>
                <w:t>Revenue</w:t>
              </w:r>
            </w:hyperlink>
          </w:p>
        </w:tc>
        <w:tc>
          <w:tcPr>
            <w:tcW w:w="200" w:type="dxa"/>
            <w:vAlign w:val="bottom"/>
            <w:gridSpan w:val="2"/>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rFonts w:ascii="Arial" w:cs="Arial" w:eastAsia="Arial" w:hAnsi="Arial"/>
                <w:sz w:val="18"/>
                <w:szCs w:val="18"/>
                <w:color w:val="0000FF"/>
                <w:w w:val="92"/>
              </w:rPr>
            </w:pPr>
            <w:hyperlink w:anchor="page9">
              <w:r>
                <w:rPr>
                  <w:rFonts w:ascii="Arial" w:cs="Arial" w:eastAsia="Arial" w:hAnsi="Arial"/>
                  <w:sz w:val="18"/>
                  <w:szCs w:val="18"/>
                  <w:color w:val="0000FF"/>
                  <w:w w:val="92"/>
                </w:rPr>
                <w:t>3.</w:t>
              </w:r>
            </w:hyperlink>
          </w:p>
        </w:tc>
        <w:tc>
          <w:tcPr>
            <w:tcW w:w="9280" w:type="dxa"/>
            <w:vAlign w:val="bottom"/>
            <w:gridSpan w:val="29"/>
          </w:tcPr>
          <w:p>
            <w:pPr>
              <w:ind w:left="40"/>
              <w:spacing w:after="0"/>
              <w:rPr>
                <w:rFonts w:ascii="Arial" w:cs="Arial" w:eastAsia="Arial" w:hAnsi="Arial"/>
                <w:sz w:val="18"/>
                <w:szCs w:val="18"/>
                <w:color w:val="0000FF"/>
              </w:rPr>
            </w:pPr>
            <w:hyperlink w:anchor="page9">
              <w:r>
                <w:rPr>
                  <w:rFonts w:ascii="Arial" w:cs="Arial" w:eastAsia="Arial" w:hAnsi="Arial"/>
                  <w:sz w:val="18"/>
                  <w:szCs w:val="18"/>
                  <w:color w:val="0000FF"/>
                </w:rPr>
                <w:t>Cash and Cash Equivalents and Short-Term Investments</w:t>
              </w:r>
            </w:hyperlink>
          </w:p>
        </w:tc>
        <w:tc>
          <w:tcPr>
            <w:tcW w:w="420" w:type="dxa"/>
            <w:vAlign w:val="bottom"/>
            <w:gridSpan w:val="3"/>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10</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rFonts w:ascii="Arial" w:cs="Arial" w:eastAsia="Arial" w:hAnsi="Arial"/>
                <w:sz w:val="18"/>
                <w:szCs w:val="18"/>
                <w:color w:val="0000FF"/>
                <w:w w:val="92"/>
              </w:rPr>
            </w:pPr>
            <w:hyperlink w:anchor="page10">
              <w:r>
                <w:rPr>
                  <w:rFonts w:ascii="Arial" w:cs="Arial" w:eastAsia="Arial" w:hAnsi="Arial"/>
                  <w:sz w:val="18"/>
                  <w:szCs w:val="18"/>
                  <w:color w:val="0000FF"/>
                  <w:w w:val="92"/>
                </w:rPr>
                <w:t>4.</w:t>
              </w:r>
            </w:hyperlink>
          </w:p>
        </w:tc>
        <w:tc>
          <w:tcPr>
            <w:tcW w:w="9280" w:type="dxa"/>
            <w:vAlign w:val="bottom"/>
            <w:gridSpan w:val="29"/>
          </w:tcPr>
          <w:p>
            <w:pPr>
              <w:ind w:left="40"/>
              <w:spacing w:after="0"/>
              <w:rPr>
                <w:rFonts w:ascii="Arial" w:cs="Arial" w:eastAsia="Arial" w:hAnsi="Arial"/>
                <w:sz w:val="18"/>
                <w:szCs w:val="18"/>
                <w:color w:val="0000FF"/>
              </w:rPr>
            </w:pPr>
            <w:hyperlink w:anchor="page10">
              <w:r>
                <w:rPr>
                  <w:rFonts w:ascii="Arial" w:cs="Arial" w:eastAsia="Arial" w:hAnsi="Arial"/>
                  <w:sz w:val="18"/>
                  <w:szCs w:val="18"/>
                  <w:color w:val="0000FF"/>
                </w:rPr>
                <w:t>Fair Value Measurements</w:t>
              </w:r>
            </w:hyperlink>
          </w:p>
        </w:tc>
        <w:tc>
          <w:tcPr>
            <w:tcW w:w="420" w:type="dxa"/>
            <w:vAlign w:val="bottom"/>
            <w:gridSpan w:val="3"/>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10</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rFonts w:ascii="Arial" w:cs="Arial" w:eastAsia="Arial" w:hAnsi="Arial"/>
                <w:sz w:val="18"/>
                <w:szCs w:val="18"/>
                <w:color w:val="0000FF"/>
                <w:w w:val="92"/>
              </w:rPr>
            </w:pPr>
            <w:hyperlink w:anchor="page11">
              <w:r>
                <w:rPr>
                  <w:rFonts w:ascii="Arial" w:cs="Arial" w:eastAsia="Arial" w:hAnsi="Arial"/>
                  <w:sz w:val="18"/>
                  <w:szCs w:val="18"/>
                  <w:color w:val="0000FF"/>
                  <w:w w:val="92"/>
                </w:rPr>
                <w:t>5.</w:t>
              </w:r>
            </w:hyperlink>
          </w:p>
        </w:tc>
        <w:tc>
          <w:tcPr>
            <w:tcW w:w="9280" w:type="dxa"/>
            <w:vAlign w:val="bottom"/>
            <w:gridSpan w:val="29"/>
          </w:tcPr>
          <w:p>
            <w:pPr>
              <w:ind w:left="40"/>
              <w:spacing w:after="0"/>
              <w:rPr>
                <w:rFonts w:ascii="Arial" w:cs="Arial" w:eastAsia="Arial" w:hAnsi="Arial"/>
                <w:sz w:val="18"/>
                <w:szCs w:val="18"/>
                <w:color w:val="0000FF"/>
              </w:rPr>
            </w:pPr>
            <w:hyperlink w:anchor="page11">
              <w:r>
                <w:rPr>
                  <w:rFonts w:ascii="Arial" w:cs="Arial" w:eastAsia="Arial" w:hAnsi="Arial"/>
                  <w:sz w:val="18"/>
                  <w:szCs w:val="18"/>
                  <w:color w:val="0000FF"/>
                </w:rPr>
                <w:t>Property and Equipment, Net</w:t>
              </w:r>
            </w:hyperlink>
          </w:p>
        </w:tc>
        <w:tc>
          <w:tcPr>
            <w:tcW w:w="420" w:type="dxa"/>
            <w:vAlign w:val="bottom"/>
            <w:gridSpan w:val="3"/>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rFonts w:ascii="Arial" w:cs="Arial" w:eastAsia="Arial" w:hAnsi="Arial"/>
                <w:sz w:val="18"/>
                <w:szCs w:val="18"/>
                <w:color w:val="0000FF"/>
                <w:w w:val="92"/>
              </w:rPr>
            </w:pPr>
            <w:hyperlink w:anchor="page11">
              <w:r>
                <w:rPr>
                  <w:rFonts w:ascii="Arial" w:cs="Arial" w:eastAsia="Arial" w:hAnsi="Arial"/>
                  <w:sz w:val="18"/>
                  <w:szCs w:val="18"/>
                  <w:color w:val="0000FF"/>
                  <w:w w:val="92"/>
                </w:rPr>
                <w:t>6.</w:t>
              </w:r>
            </w:hyperlink>
          </w:p>
        </w:tc>
        <w:tc>
          <w:tcPr>
            <w:tcW w:w="9280" w:type="dxa"/>
            <w:vAlign w:val="bottom"/>
            <w:gridSpan w:val="29"/>
          </w:tcPr>
          <w:p>
            <w:pPr>
              <w:ind w:left="40"/>
              <w:spacing w:after="0"/>
              <w:rPr>
                <w:rFonts w:ascii="Arial" w:cs="Arial" w:eastAsia="Arial" w:hAnsi="Arial"/>
                <w:sz w:val="18"/>
                <w:szCs w:val="18"/>
                <w:color w:val="0000FF"/>
              </w:rPr>
            </w:pPr>
            <w:hyperlink w:anchor="page11">
              <w:r>
                <w:rPr>
                  <w:rFonts w:ascii="Arial" w:cs="Arial" w:eastAsia="Arial" w:hAnsi="Arial"/>
                  <w:sz w:val="18"/>
                  <w:szCs w:val="18"/>
                  <w:color w:val="0000FF"/>
                </w:rPr>
                <w:t>Goodwill and Acquired Intangible Assets</w:t>
              </w:r>
            </w:hyperlink>
          </w:p>
        </w:tc>
        <w:tc>
          <w:tcPr>
            <w:tcW w:w="420" w:type="dxa"/>
            <w:vAlign w:val="bottom"/>
            <w:gridSpan w:val="3"/>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12</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rFonts w:ascii="Arial" w:cs="Arial" w:eastAsia="Arial" w:hAnsi="Arial"/>
                <w:sz w:val="18"/>
                <w:szCs w:val="18"/>
                <w:color w:val="0000FF"/>
                <w:w w:val="92"/>
              </w:rPr>
            </w:pPr>
            <w:hyperlink w:anchor="page12">
              <w:r>
                <w:rPr>
                  <w:rFonts w:ascii="Arial" w:cs="Arial" w:eastAsia="Arial" w:hAnsi="Arial"/>
                  <w:sz w:val="18"/>
                  <w:szCs w:val="18"/>
                  <w:color w:val="0000FF"/>
                  <w:w w:val="92"/>
                </w:rPr>
                <w:t>7.</w:t>
              </w:r>
            </w:hyperlink>
          </w:p>
        </w:tc>
        <w:tc>
          <w:tcPr>
            <w:tcW w:w="9280" w:type="dxa"/>
            <w:vAlign w:val="bottom"/>
            <w:gridSpan w:val="29"/>
          </w:tcPr>
          <w:p>
            <w:pPr>
              <w:ind w:left="40"/>
              <w:spacing w:after="0"/>
              <w:rPr>
                <w:rFonts w:ascii="Arial" w:cs="Arial" w:eastAsia="Arial" w:hAnsi="Arial"/>
                <w:sz w:val="18"/>
                <w:szCs w:val="18"/>
                <w:color w:val="0000FF"/>
              </w:rPr>
            </w:pPr>
            <w:hyperlink w:anchor="page12">
              <w:r>
                <w:rPr>
                  <w:rFonts w:ascii="Arial" w:cs="Arial" w:eastAsia="Arial" w:hAnsi="Arial"/>
                  <w:sz w:val="18"/>
                  <w:szCs w:val="18"/>
                  <w:color w:val="0000FF"/>
                </w:rPr>
                <w:t>Leases</w:t>
              </w:r>
            </w:hyperlink>
          </w:p>
        </w:tc>
        <w:tc>
          <w:tcPr>
            <w:tcW w:w="420" w:type="dxa"/>
            <w:vAlign w:val="bottom"/>
            <w:gridSpan w:val="3"/>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12</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rFonts w:ascii="Arial" w:cs="Arial" w:eastAsia="Arial" w:hAnsi="Arial"/>
                <w:sz w:val="18"/>
                <w:szCs w:val="18"/>
                <w:color w:val="0000FF"/>
                <w:w w:val="92"/>
              </w:rPr>
            </w:pPr>
            <w:hyperlink w:anchor="page13">
              <w:r>
                <w:rPr>
                  <w:rFonts w:ascii="Arial" w:cs="Arial" w:eastAsia="Arial" w:hAnsi="Arial"/>
                  <w:sz w:val="18"/>
                  <w:szCs w:val="18"/>
                  <w:color w:val="0000FF"/>
                  <w:w w:val="92"/>
                </w:rPr>
                <w:t>8.</w:t>
              </w:r>
            </w:hyperlink>
          </w:p>
        </w:tc>
        <w:tc>
          <w:tcPr>
            <w:tcW w:w="9280" w:type="dxa"/>
            <w:vAlign w:val="bottom"/>
            <w:gridSpan w:val="29"/>
          </w:tcPr>
          <w:p>
            <w:pPr>
              <w:ind w:left="40"/>
              <w:spacing w:after="0"/>
              <w:rPr>
                <w:rFonts w:ascii="Arial" w:cs="Arial" w:eastAsia="Arial" w:hAnsi="Arial"/>
                <w:sz w:val="18"/>
                <w:szCs w:val="18"/>
                <w:color w:val="0000FF"/>
              </w:rPr>
            </w:pPr>
            <w:hyperlink w:anchor="page13">
              <w:r>
                <w:rPr>
                  <w:rFonts w:ascii="Arial" w:cs="Arial" w:eastAsia="Arial" w:hAnsi="Arial"/>
                  <w:sz w:val="18"/>
                  <w:szCs w:val="18"/>
                  <w:color w:val="0000FF"/>
                </w:rPr>
                <w:t>Debt</w:t>
              </w:r>
            </w:hyperlink>
          </w:p>
        </w:tc>
        <w:tc>
          <w:tcPr>
            <w:tcW w:w="420" w:type="dxa"/>
            <w:vAlign w:val="bottom"/>
            <w:gridSpan w:val="3"/>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13</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rFonts w:ascii="Arial" w:cs="Arial" w:eastAsia="Arial" w:hAnsi="Arial"/>
                <w:sz w:val="18"/>
                <w:szCs w:val="18"/>
                <w:color w:val="0000FF"/>
                <w:w w:val="92"/>
              </w:rPr>
            </w:pPr>
            <w:hyperlink w:anchor="page13">
              <w:r>
                <w:rPr>
                  <w:rFonts w:ascii="Arial" w:cs="Arial" w:eastAsia="Arial" w:hAnsi="Arial"/>
                  <w:sz w:val="18"/>
                  <w:szCs w:val="18"/>
                  <w:color w:val="0000FF"/>
                  <w:w w:val="92"/>
                </w:rPr>
                <w:t>9.</w:t>
              </w:r>
            </w:hyperlink>
          </w:p>
        </w:tc>
        <w:tc>
          <w:tcPr>
            <w:tcW w:w="9280" w:type="dxa"/>
            <w:vAlign w:val="bottom"/>
            <w:gridSpan w:val="29"/>
          </w:tcPr>
          <w:p>
            <w:pPr>
              <w:ind w:left="40"/>
              <w:spacing w:after="0"/>
              <w:rPr>
                <w:rFonts w:ascii="Arial" w:cs="Arial" w:eastAsia="Arial" w:hAnsi="Arial"/>
                <w:sz w:val="18"/>
                <w:szCs w:val="18"/>
                <w:color w:val="0000FF"/>
              </w:rPr>
            </w:pPr>
            <w:hyperlink w:anchor="page13">
              <w:r>
                <w:rPr>
                  <w:rFonts w:ascii="Arial" w:cs="Arial" w:eastAsia="Arial" w:hAnsi="Arial"/>
                  <w:sz w:val="18"/>
                  <w:szCs w:val="18"/>
                  <w:color w:val="0000FF"/>
                </w:rPr>
                <w:t>Stock-Based Compensation</w:t>
              </w:r>
            </w:hyperlink>
          </w:p>
        </w:tc>
        <w:tc>
          <w:tcPr>
            <w:tcW w:w="420" w:type="dxa"/>
            <w:vAlign w:val="bottom"/>
            <w:gridSpan w:val="3"/>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13</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15"/>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10. Net Loss Per Share</w:t>
              </w:r>
            </w:hyperlink>
          </w:p>
        </w:tc>
        <w:tc>
          <w:tcPr>
            <w:tcW w:w="7020" w:type="dxa"/>
            <w:vAlign w:val="bottom"/>
            <w:gridSpan w:val="15"/>
          </w:tcPr>
          <w:p>
            <w:pPr>
              <w:spacing w:after="0"/>
              <w:rPr>
                <w:sz w:val="18"/>
                <w:szCs w:val="18"/>
                <w:color w:val="auto"/>
              </w:rPr>
            </w:pPr>
          </w:p>
        </w:tc>
        <w:tc>
          <w:tcPr>
            <w:tcW w:w="420" w:type="dxa"/>
            <w:vAlign w:val="bottom"/>
            <w:gridSpan w:val="3"/>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12"/>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11. Income Taxes</w:t>
              </w:r>
            </w:hyperlink>
          </w:p>
        </w:tc>
        <w:tc>
          <w:tcPr>
            <w:tcW w:w="7580" w:type="dxa"/>
            <w:vAlign w:val="bottom"/>
            <w:gridSpan w:val="18"/>
          </w:tcPr>
          <w:p>
            <w:pPr>
              <w:spacing w:after="0"/>
              <w:rPr>
                <w:sz w:val="18"/>
                <w:szCs w:val="18"/>
                <w:color w:val="auto"/>
              </w:rPr>
            </w:pPr>
          </w:p>
        </w:tc>
        <w:tc>
          <w:tcPr>
            <w:tcW w:w="420" w:type="dxa"/>
            <w:vAlign w:val="bottom"/>
            <w:gridSpan w:val="3"/>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16</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13"/>
          </w:tcPr>
          <w:p>
            <w:pPr>
              <w:spacing w:after="0"/>
              <w:rPr>
                <w:rFonts w:ascii="Arial" w:cs="Arial" w:eastAsia="Arial" w:hAnsi="Arial"/>
                <w:sz w:val="18"/>
                <w:szCs w:val="18"/>
                <w:color w:val="0000FF"/>
                <w:w w:val="97"/>
              </w:rPr>
            </w:pPr>
            <w:hyperlink w:anchor="page16">
              <w:r>
                <w:rPr>
                  <w:rFonts w:ascii="Arial" w:cs="Arial" w:eastAsia="Arial" w:hAnsi="Arial"/>
                  <w:sz w:val="18"/>
                  <w:szCs w:val="18"/>
                  <w:color w:val="0000FF"/>
                  <w:w w:val="97"/>
                </w:rPr>
                <w:t>12. Geographic Information</w:t>
              </w:r>
            </w:hyperlink>
          </w:p>
        </w:tc>
        <w:tc>
          <w:tcPr>
            <w:tcW w:w="7280" w:type="dxa"/>
            <w:vAlign w:val="bottom"/>
            <w:gridSpan w:val="17"/>
          </w:tcPr>
          <w:p>
            <w:pPr>
              <w:spacing w:after="0"/>
              <w:rPr>
                <w:sz w:val="18"/>
                <w:szCs w:val="18"/>
                <w:color w:val="auto"/>
              </w:rPr>
            </w:pPr>
          </w:p>
        </w:tc>
        <w:tc>
          <w:tcPr>
            <w:tcW w:w="420" w:type="dxa"/>
            <w:vAlign w:val="bottom"/>
            <w:gridSpan w:val="3"/>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12"/>
          </w:tcPr>
          <w:p>
            <w:pPr>
              <w:spacing w:after="0"/>
              <w:rPr>
                <w:rFonts w:ascii="Arial" w:cs="Arial" w:eastAsia="Arial" w:hAnsi="Arial"/>
                <w:sz w:val="18"/>
                <w:szCs w:val="18"/>
                <w:color w:val="0000FF"/>
                <w:w w:val="98"/>
              </w:rPr>
            </w:pPr>
            <w:hyperlink w:anchor="page16">
              <w:r>
                <w:rPr>
                  <w:rFonts w:ascii="Arial" w:cs="Arial" w:eastAsia="Arial" w:hAnsi="Arial"/>
                  <w:sz w:val="18"/>
                  <w:szCs w:val="18"/>
                  <w:color w:val="0000FF"/>
                  <w:w w:val="98"/>
                </w:rPr>
                <w:t>13. Subsequent Events</w:t>
              </w:r>
            </w:hyperlink>
          </w:p>
        </w:tc>
        <w:tc>
          <w:tcPr>
            <w:tcW w:w="300" w:type="dxa"/>
            <w:vAlign w:val="bottom"/>
          </w:tcPr>
          <w:p>
            <w:pPr>
              <w:spacing w:after="0"/>
              <w:rPr>
                <w:sz w:val="18"/>
                <w:szCs w:val="18"/>
                <w:color w:val="auto"/>
              </w:rPr>
            </w:pPr>
          </w:p>
        </w:tc>
        <w:tc>
          <w:tcPr>
            <w:tcW w:w="7280" w:type="dxa"/>
            <w:vAlign w:val="bottom"/>
            <w:gridSpan w:val="17"/>
          </w:tcPr>
          <w:p>
            <w:pPr>
              <w:spacing w:after="0"/>
              <w:rPr>
                <w:sz w:val="18"/>
                <w:szCs w:val="18"/>
                <w:color w:val="auto"/>
              </w:rPr>
            </w:pPr>
          </w:p>
        </w:tc>
        <w:tc>
          <w:tcPr>
            <w:tcW w:w="420" w:type="dxa"/>
            <w:vAlign w:val="bottom"/>
            <w:gridSpan w:val="3"/>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60" w:type="dxa"/>
            <w:vAlign w:val="bottom"/>
          </w:tcPr>
          <w:p>
            <w:pPr>
              <w:spacing w:after="0"/>
              <w:rPr>
                <w:rFonts w:ascii="Arial" w:cs="Arial" w:eastAsia="Arial" w:hAnsi="Arial"/>
                <w:sz w:val="18"/>
                <w:szCs w:val="18"/>
                <w:color w:val="0000FF"/>
                <w:w w:val="98"/>
              </w:rPr>
            </w:pPr>
            <w:hyperlink w:anchor="page16">
              <w:r>
                <w:rPr>
                  <w:rFonts w:ascii="Arial" w:cs="Arial" w:eastAsia="Arial" w:hAnsi="Arial"/>
                  <w:sz w:val="18"/>
                  <w:szCs w:val="18"/>
                  <w:color w:val="0000FF"/>
                  <w:w w:val="98"/>
                </w:rPr>
                <w:t>Item 2.</w:t>
              </w:r>
            </w:hyperlink>
          </w:p>
        </w:tc>
        <w:tc>
          <w:tcPr>
            <w:tcW w:w="360" w:type="dxa"/>
            <w:vAlign w:val="bottom"/>
            <w:gridSpan w:val="2"/>
          </w:tcPr>
          <w:p>
            <w:pPr>
              <w:spacing w:after="0"/>
              <w:rPr>
                <w:sz w:val="24"/>
                <w:szCs w:val="24"/>
                <w:color w:val="auto"/>
              </w:rPr>
            </w:pPr>
          </w:p>
        </w:tc>
        <w:tc>
          <w:tcPr>
            <w:tcW w:w="9640" w:type="dxa"/>
            <w:vAlign w:val="bottom"/>
            <w:gridSpan w:val="31"/>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Management’s Discussion and Analysis of Financial Condition and Results of Operations</w:t>
              </w:r>
            </w:hyperlink>
          </w:p>
        </w:tc>
        <w:tc>
          <w:tcPr>
            <w:tcW w:w="420" w:type="dxa"/>
            <w:vAlign w:val="bottom"/>
            <w:gridSpan w:val="3"/>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17</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320" w:type="dxa"/>
            <w:vAlign w:val="bottom"/>
            <w:gridSpan w:val="9"/>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rFonts w:ascii="Arial" w:cs="Arial" w:eastAsia="Arial" w:hAnsi="Arial"/>
                <w:sz w:val="18"/>
                <w:szCs w:val="18"/>
                <w:color w:val="0000FF"/>
                <w:w w:val="98"/>
              </w:rPr>
            </w:pPr>
            <w:hyperlink w:anchor="page31">
              <w:r>
                <w:rPr>
                  <w:rFonts w:ascii="Arial" w:cs="Arial" w:eastAsia="Arial" w:hAnsi="Arial"/>
                  <w:sz w:val="18"/>
                  <w:szCs w:val="18"/>
                  <w:color w:val="0000FF"/>
                  <w:w w:val="98"/>
                </w:rPr>
                <w:t>Item 3.</w:t>
              </w:r>
            </w:hyperlink>
          </w:p>
        </w:tc>
        <w:tc>
          <w:tcPr>
            <w:tcW w:w="360" w:type="dxa"/>
            <w:vAlign w:val="bottom"/>
            <w:gridSpan w:val="2"/>
          </w:tcPr>
          <w:p>
            <w:pPr>
              <w:spacing w:after="0"/>
              <w:rPr>
                <w:sz w:val="18"/>
                <w:szCs w:val="18"/>
                <w:color w:val="auto"/>
              </w:rPr>
            </w:pPr>
          </w:p>
        </w:tc>
        <w:tc>
          <w:tcPr>
            <w:tcW w:w="7060" w:type="dxa"/>
            <w:vAlign w:val="bottom"/>
            <w:gridSpan w:val="30"/>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Quantitative and Qualitative Disclosures About Market Risk</w:t>
              </w:r>
            </w:hyperlink>
          </w:p>
        </w:tc>
        <w:tc>
          <w:tcPr>
            <w:tcW w:w="2580" w:type="dxa"/>
            <w:vAlign w:val="bottom"/>
          </w:tcPr>
          <w:p>
            <w:pPr>
              <w:spacing w:after="0"/>
              <w:rPr>
                <w:sz w:val="18"/>
                <w:szCs w:val="18"/>
                <w:color w:val="auto"/>
              </w:rPr>
            </w:pPr>
          </w:p>
        </w:tc>
        <w:tc>
          <w:tcPr>
            <w:tcW w:w="420" w:type="dxa"/>
            <w:vAlign w:val="bottom"/>
            <w:gridSpan w:val="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320" w:type="dxa"/>
            <w:vAlign w:val="bottom"/>
            <w:gridSpan w:val="9"/>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rFonts w:ascii="Arial" w:cs="Arial" w:eastAsia="Arial" w:hAnsi="Arial"/>
                <w:sz w:val="18"/>
                <w:szCs w:val="18"/>
                <w:color w:val="0000FF"/>
                <w:w w:val="98"/>
              </w:rPr>
            </w:pPr>
            <w:hyperlink w:anchor="page32">
              <w:r>
                <w:rPr>
                  <w:rFonts w:ascii="Arial" w:cs="Arial" w:eastAsia="Arial" w:hAnsi="Arial"/>
                  <w:sz w:val="18"/>
                  <w:szCs w:val="18"/>
                  <w:color w:val="0000FF"/>
                  <w:w w:val="98"/>
                </w:rPr>
                <w:t>Item 4.</w:t>
              </w:r>
            </w:hyperlink>
          </w:p>
        </w:tc>
        <w:tc>
          <w:tcPr>
            <w:tcW w:w="360" w:type="dxa"/>
            <w:vAlign w:val="bottom"/>
            <w:gridSpan w:val="2"/>
          </w:tcPr>
          <w:p>
            <w:pPr>
              <w:spacing w:after="0"/>
              <w:rPr>
                <w:sz w:val="18"/>
                <w:szCs w:val="18"/>
                <w:color w:val="auto"/>
              </w:rPr>
            </w:pPr>
          </w:p>
        </w:tc>
        <w:tc>
          <w:tcPr>
            <w:tcW w:w="4700" w:type="dxa"/>
            <w:vAlign w:val="bottom"/>
            <w:gridSpan w:val="25"/>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Controls and Procedures</w:t>
              </w:r>
            </w:hyperlink>
          </w:p>
        </w:tc>
        <w:tc>
          <w:tcPr>
            <w:tcW w:w="4940" w:type="dxa"/>
            <w:vAlign w:val="bottom"/>
            <w:gridSpan w:val="6"/>
          </w:tcPr>
          <w:p>
            <w:pPr>
              <w:spacing w:after="0"/>
              <w:rPr>
                <w:sz w:val="18"/>
                <w:szCs w:val="18"/>
                <w:color w:val="auto"/>
              </w:rPr>
            </w:pPr>
          </w:p>
        </w:tc>
        <w:tc>
          <w:tcPr>
            <w:tcW w:w="420" w:type="dxa"/>
            <w:vAlign w:val="bottom"/>
            <w:gridSpan w:val="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c>
          <w:tcPr>
            <w:tcW w:w="0" w:type="dxa"/>
            <w:vAlign w:val="bottom"/>
          </w:tcPr>
          <w:p>
            <w:pPr>
              <w:spacing w:after="0"/>
              <w:rPr>
                <w:sz w:val="1"/>
                <w:szCs w:val="1"/>
                <w:color w:val="auto"/>
              </w:rPr>
            </w:pPr>
          </w:p>
        </w:tc>
      </w:tr>
      <w:tr>
        <w:trPr>
          <w:trHeight w:val="210"/>
        </w:trPr>
        <w:tc>
          <w:tcPr>
            <w:tcW w:w="56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40" w:type="dxa"/>
            <w:vAlign w:val="bottom"/>
            <w:gridSpan w:val="10"/>
          </w:tcPr>
          <w:p>
            <w:pPr>
              <w:jc w:val="center"/>
              <w:ind w:right="3580"/>
              <w:spacing w:after="0"/>
              <w:rPr>
                <w:rFonts w:ascii="Arial" w:cs="Arial" w:eastAsia="Arial" w:hAnsi="Arial"/>
                <w:sz w:val="18"/>
                <w:szCs w:val="18"/>
                <w:b w:val="1"/>
                <w:bCs w:val="1"/>
                <w:color w:val="0000FF"/>
                <w:w w:val="98"/>
              </w:rPr>
            </w:pPr>
            <w:hyperlink w:anchor="page33">
              <w:r>
                <w:rPr>
                  <w:rFonts w:ascii="Arial" w:cs="Arial" w:eastAsia="Arial" w:hAnsi="Arial"/>
                  <w:sz w:val="18"/>
                  <w:szCs w:val="18"/>
                  <w:b w:val="1"/>
                  <w:bCs w:val="1"/>
                  <w:color w:val="0000FF"/>
                  <w:w w:val="98"/>
                </w:rPr>
                <w:t>PART II – OTHER INFORMATION</w:t>
              </w:r>
            </w:hyperlink>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rFonts w:ascii="Arial" w:cs="Arial" w:eastAsia="Arial" w:hAnsi="Arial"/>
                <w:sz w:val="18"/>
                <w:szCs w:val="18"/>
                <w:color w:val="0000FF"/>
                <w:w w:val="98"/>
              </w:rPr>
            </w:pPr>
            <w:hyperlink w:anchor="page34">
              <w:r>
                <w:rPr>
                  <w:rFonts w:ascii="Arial" w:cs="Arial" w:eastAsia="Arial" w:hAnsi="Arial"/>
                  <w:sz w:val="18"/>
                  <w:szCs w:val="18"/>
                  <w:color w:val="0000FF"/>
                  <w:w w:val="98"/>
                </w:rPr>
                <w:t>Item 1.</w:t>
              </w:r>
            </w:hyperlink>
          </w:p>
        </w:tc>
        <w:tc>
          <w:tcPr>
            <w:tcW w:w="360" w:type="dxa"/>
            <w:vAlign w:val="bottom"/>
            <w:gridSpan w:val="2"/>
          </w:tcPr>
          <w:p>
            <w:pPr>
              <w:spacing w:after="0"/>
              <w:rPr>
                <w:sz w:val="18"/>
                <w:szCs w:val="18"/>
                <w:color w:val="auto"/>
              </w:rPr>
            </w:pPr>
          </w:p>
        </w:tc>
        <w:tc>
          <w:tcPr>
            <w:tcW w:w="3300" w:type="dxa"/>
            <w:vAlign w:val="bottom"/>
            <w:gridSpan w:val="21"/>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Legal Proceedings</w:t>
              </w:r>
            </w:hyperlink>
          </w:p>
        </w:tc>
        <w:tc>
          <w:tcPr>
            <w:tcW w:w="2760" w:type="dxa"/>
            <w:vAlign w:val="bottom"/>
            <w:tcBorders>
              <w:top w:val="single" w:sz="8" w:color="0000FF"/>
            </w:tcBorders>
            <w:gridSpan w:val="7"/>
          </w:tcPr>
          <w:p>
            <w:pPr>
              <w:spacing w:after="0"/>
              <w:rPr>
                <w:sz w:val="18"/>
                <w:szCs w:val="18"/>
                <w:color w:val="auto"/>
              </w:rPr>
            </w:pPr>
          </w:p>
        </w:tc>
        <w:tc>
          <w:tcPr>
            <w:tcW w:w="3580" w:type="dxa"/>
            <w:vAlign w:val="bottom"/>
            <w:gridSpan w:val="3"/>
          </w:tcPr>
          <w:p>
            <w:pPr>
              <w:spacing w:after="0"/>
              <w:rPr>
                <w:sz w:val="18"/>
                <w:szCs w:val="18"/>
                <w:color w:val="auto"/>
              </w:rPr>
            </w:pPr>
          </w:p>
        </w:tc>
        <w:tc>
          <w:tcPr>
            <w:tcW w:w="42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360" w:type="dxa"/>
            <w:vAlign w:val="bottom"/>
            <w:gridSpan w:val="17"/>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rFonts w:ascii="Arial" w:cs="Arial" w:eastAsia="Arial" w:hAnsi="Arial"/>
                <w:sz w:val="18"/>
                <w:szCs w:val="18"/>
                <w:color w:val="0000FF"/>
                <w:w w:val="98"/>
              </w:rPr>
            </w:pPr>
            <w:hyperlink w:anchor="page34">
              <w:r>
                <w:rPr>
                  <w:rFonts w:ascii="Arial" w:cs="Arial" w:eastAsia="Arial" w:hAnsi="Arial"/>
                  <w:sz w:val="18"/>
                  <w:szCs w:val="18"/>
                  <w:color w:val="0000FF"/>
                  <w:w w:val="98"/>
                </w:rPr>
                <w:t>Item 1A.</w:t>
              </w:r>
            </w:hyperlink>
          </w:p>
        </w:tc>
        <w:tc>
          <w:tcPr>
            <w:tcW w:w="240" w:type="dxa"/>
            <w:vAlign w:val="bottom"/>
          </w:tcPr>
          <w:p>
            <w:pPr>
              <w:spacing w:after="0"/>
              <w:rPr>
                <w:sz w:val="18"/>
                <w:szCs w:val="18"/>
                <w:color w:val="auto"/>
              </w:rPr>
            </w:pPr>
          </w:p>
        </w:tc>
        <w:tc>
          <w:tcPr>
            <w:tcW w:w="1000" w:type="dxa"/>
            <w:vAlign w:val="bottom"/>
            <w:gridSpan w:val="7"/>
          </w:tcPr>
          <w:p>
            <w:pPr>
              <w:spacing w:after="0"/>
              <w:rPr>
                <w:rFonts w:ascii="Arial" w:cs="Arial" w:eastAsia="Arial" w:hAnsi="Arial"/>
                <w:sz w:val="18"/>
                <w:szCs w:val="18"/>
                <w:color w:val="0000FF"/>
                <w:w w:val="97"/>
              </w:rPr>
            </w:pPr>
            <w:hyperlink w:anchor="page34">
              <w:r>
                <w:rPr>
                  <w:rFonts w:ascii="Arial" w:cs="Arial" w:eastAsia="Arial" w:hAnsi="Arial"/>
                  <w:sz w:val="18"/>
                  <w:szCs w:val="18"/>
                  <w:color w:val="0000FF"/>
                  <w:w w:val="97"/>
                </w:rPr>
                <w:t>Risk Factors</w:t>
              </w:r>
            </w:hyperlink>
          </w:p>
        </w:tc>
        <w:tc>
          <w:tcPr>
            <w:tcW w:w="8640" w:type="dxa"/>
            <w:vAlign w:val="bottom"/>
            <w:gridSpan w:val="24"/>
          </w:tcPr>
          <w:p>
            <w:pPr>
              <w:spacing w:after="0"/>
              <w:rPr>
                <w:sz w:val="18"/>
                <w:szCs w:val="18"/>
                <w:color w:val="auto"/>
              </w:rPr>
            </w:pPr>
          </w:p>
        </w:tc>
        <w:tc>
          <w:tcPr>
            <w:tcW w:w="42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40" w:type="dxa"/>
            <w:vAlign w:val="bottom"/>
            <w:gridSpan w:val="19"/>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Item 2.</w:t>
              </w:r>
            </w:hyperlink>
          </w:p>
        </w:tc>
        <w:tc>
          <w:tcPr>
            <w:tcW w:w="240" w:type="dxa"/>
            <w:vAlign w:val="bottom"/>
          </w:tcPr>
          <w:p>
            <w:pPr>
              <w:spacing w:after="0"/>
              <w:rPr>
                <w:sz w:val="18"/>
                <w:szCs w:val="18"/>
                <w:color w:val="auto"/>
              </w:rPr>
            </w:pPr>
          </w:p>
        </w:tc>
        <w:tc>
          <w:tcPr>
            <w:tcW w:w="9640" w:type="dxa"/>
            <w:vAlign w:val="bottom"/>
            <w:gridSpan w:val="31"/>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Unregistered Sales of Equity Securities and Use of Proceeds</w:t>
              </w:r>
            </w:hyperlink>
          </w:p>
        </w:tc>
        <w:tc>
          <w:tcPr>
            <w:tcW w:w="420" w:type="dxa"/>
            <w:vAlign w:val="bottom"/>
            <w:gridSpan w:val="3"/>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210"/>
        </w:trPr>
        <w:tc>
          <w:tcPr>
            <w:tcW w:w="560" w:type="dxa"/>
            <w:vAlign w:val="bottom"/>
            <w:tcBorders>
              <w:top w:val="single" w:sz="8" w:color="0000FF"/>
            </w:tcBorders>
          </w:tcPr>
          <w:p>
            <w:pPr>
              <w:spacing w:after="0"/>
              <w:rPr>
                <w:rFonts w:ascii="Arial" w:cs="Arial" w:eastAsia="Arial" w:hAnsi="Arial"/>
                <w:sz w:val="18"/>
                <w:szCs w:val="18"/>
                <w:color w:val="0000FF"/>
                <w:w w:val="98"/>
              </w:rPr>
            </w:pPr>
            <w:hyperlink w:anchor="page59">
              <w:r>
                <w:rPr>
                  <w:rFonts w:ascii="Arial" w:cs="Arial" w:eastAsia="Arial" w:hAnsi="Arial"/>
                  <w:sz w:val="18"/>
                  <w:szCs w:val="18"/>
                  <w:color w:val="0000FF"/>
                  <w:w w:val="98"/>
                </w:rPr>
                <w:t>Item 6.</w:t>
              </w:r>
            </w:hyperlink>
          </w:p>
        </w:tc>
        <w:tc>
          <w:tcPr>
            <w:tcW w:w="360" w:type="dxa"/>
            <w:vAlign w:val="bottom"/>
            <w:tcBorders>
              <w:top w:val="single" w:sz="8" w:color="0000FF"/>
            </w:tcBorders>
            <w:gridSpan w:val="2"/>
          </w:tcPr>
          <w:p>
            <w:pPr>
              <w:spacing w:after="0"/>
              <w:rPr>
                <w:sz w:val="18"/>
                <w:szCs w:val="18"/>
                <w:color w:val="auto"/>
              </w:rPr>
            </w:pPr>
          </w:p>
        </w:tc>
        <w:tc>
          <w:tcPr>
            <w:tcW w:w="4840" w:type="dxa"/>
            <w:vAlign w:val="bottom"/>
            <w:tcBorders>
              <w:top w:val="single" w:sz="8" w:color="0000FF"/>
            </w:tcBorders>
            <w:gridSpan w:val="26"/>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Exhibits</w:t>
              </w:r>
            </w:hyperlink>
          </w:p>
        </w:tc>
        <w:tc>
          <w:tcPr>
            <w:tcW w:w="4800" w:type="dxa"/>
            <w:vAlign w:val="bottom"/>
            <w:gridSpan w:val="5"/>
          </w:tcPr>
          <w:p>
            <w:pPr>
              <w:spacing w:after="0"/>
              <w:rPr>
                <w:sz w:val="18"/>
                <w:szCs w:val="18"/>
                <w:color w:val="auto"/>
              </w:rPr>
            </w:pPr>
          </w:p>
        </w:tc>
        <w:tc>
          <w:tcPr>
            <w:tcW w:w="420" w:type="dxa"/>
            <w:vAlign w:val="bottom"/>
            <w:tcBorders>
              <w:top w:val="single" w:sz="8" w:color="0000FF"/>
            </w:tcBorders>
            <w:gridSpan w:val="3"/>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60</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780" w:type="dxa"/>
            <w:vAlign w:val="bottom"/>
            <w:gridSpan w:val="26"/>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5"/>
          </w:tcPr>
          <w:p>
            <w:pPr>
              <w:spacing w:after="0"/>
              <w:rPr>
                <w:rFonts w:ascii="Arial" w:cs="Arial" w:eastAsia="Arial" w:hAnsi="Arial"/>
                <w:sz w:val="18"/>
                <w:szCs w:val="18"/>
                <w:color w:val="0000FF"/>
                <w:w w:val="97"/>
              </w:rPr>
            </w:pPr>
            <w:hyperlink w:anchor="page60">
              <w:r>
                <w:rPr>
                  <w:rFonts w:ascii="Arial" w:cs="Arial" w:eastAsia="Arial" w:hAnsi="Arial"/>
                  <w:sz w:val="18"/>
                  <w:szCs w:val="18"/>
                  <w:color w:val="0000FF"/>
                  <w:w w:val="97"/>
                </w:rPr>
                <w:t>Signatures</w:t>
              </w:r>
            </w:hyperlink>
          </w:p>
        </w:tc>
        <w:tc>
          <w:tcPr>
            <w:tcW w:w="8780" w:type="dxa"/>
            <w:vAlign w:val="bottom"/>
            <w:gridSpan w:val="26"/>
          </w:tcPr>
          <w:p>
            <w:pPr>
              <w:spacing w:after="0"/>
              <w:rPr>
                <w:sz w:val="18"/>
                <w:szCs w:val="18"/>
                <w:color w:val="auto"/>
              </w:rPr>
            </w:pPr>
          </w:p>
        </w:tc>
        <w:tc>
          <w:tcPr>
            <w:tcW w:w="420" w:type="dxa"/>
            <w:vAlign w:val="bottom"/>
            <w:gridSpan w:val="3"/>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61</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1089" w:right="5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80" w:type="dxa"/>
            <w:vAlign w:val="bottom"/>
          </w:tcPr>
          <w:p>
            <w:pPr>
              <w:spacing w:after="0"/>
              <w:rPr>
                <w:sz w:val="20"/>
                <w:szCs w:val="20"/>
                <w:color w:val="auto"/>
              </w:rPr>
            </w:pPr>
          </w:p>
        </w:tc>
        <w:tc>
          <w:tcPr>
            <w:tcW w:w="7280" w:type="dxa"/>
            <w:vAlign w:val="bottom"/>
          </w:tcPr>
          <w:p>
            <w:pPr>
              <w:jc w:val="center"/>
              <w:ind w:left="1910"/>
              <w:spacing w:after="0"/>
              <w:rPr>
                <w:sz w:val="20"/>
                <w:szCs w:val="20"/>
                <w:color w:val="auto"/>
              </w:rPr>
            </w:pPr>
            <w:r>
              <w:rPr>
                <w:rFonts w:ascii="Arial" w:cs="Arial" w:eastAsia="Arial" w:hAnsi="Arial"/>
                <w:sz w:val="18"/>
                <w:szCs w:val="18"/>
                <w:b w:val="1"/>
                <w:bCs w:val="1"/>
                <w:color w:val="auto"/>
                <w:w w:val="99"/>
              </w:rPr>
              <w:t>PART I. FINANCIAL INFORMATION</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28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280" w:type="dxa"/>
            <w:vAlign w:val="bottom"/>
          </w:tcPr>
          <w:p>
            <w:pPr>
              <w:jc w:val="center"/>
              <w:ind w:left="1910"/>
              <w:spacing w:after="0"/>
              <w:rPr>
                <w:sz w:val="20"/>
                <w:szCs w:val="20"/>
                <w:color w:val="auto"/>
              </w:rPr>
            </w:pPr>
            <w:r>
              <w:rPr>
                <w:rFonts w:ascii="Arial" w:cs="Arial" w:eastAsia="Arial" w:hAnsi="Arial"/>
                <w:sz w:val="18"/>
                <w:szCs w:val="18"/>
                <w:b w:val="1"/>
                <w:bCs w:val="1"/>
                <w:color w:val="auto"/>
              </w:rPr>
              <w:t>TENABLE HOLDINGS, INC.</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7280" w:type="dxa"/>
            <w:vAlign w:val="bottom"/>
          </w:tcPr>
          <w:p>
            <w:pPr>
              <w:jc w:val="center"/>
              <w:ind w:left="1910"/>
              <w:spacing w:after="0"/>
              <w:rPr>
                <w:sz w:val="20"/>
                <w:szCs w:val="20"/>
                <w:color w:val="auto"/>
              </w:rPr>
            </w:pPr>
            <w:r>
              <w:rPr>
                <w:rFonts w:ascii="Arial" w:cs="Arial" w:eastAsia="Arial" w:hAnsi="Arial"/>
                <w:sz w:val="18"/>
                <w:szCs w:val="18"/>
                <w:b w:val="1"/>
                <w:bCs w:val="1"/>
                <w:color w:val="auto"/>
                <w:w w:val="99"/>
              </w:rPr>
              <w:t>CONSOLIDATED BALANCE SHEETS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8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Pr>
          <w:p>
            <w:pPr>
              <w:spacing w:after="0"/>
              <w:rPr>
                <w:sz w:val="24"/>
                <w:szCs w:val="24"/>
                <w:color w:val="auto"/>
              </w:rPr>
            </w:pPr>
          </w:p>
        </w:tc>
        <w:tc>
          <w:tcPr>
            <w:tcW w:w="1280" w:type="dxa"/>
            <w:vAlign w:val="bottom"/>
          </w:tcPr>
          <w:p>
            <w:pPr>
              <w:jc w:val="right"/>
              <w:ind w:right="11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82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7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178,223</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111,945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113,623</w:t>
            </w:r>
          </w:p>
        </w:tc>
        <w:tc>
          <w:tcPr>
            <w:tcW w:w="0" w:type="dxa"/>
            <w:vAlign w:val="bottom"/>
          </w:tcPr>
          <w:p>
            <w:pPr>
              <w:spacing w:after="0"/>
              <w:rPr>
                <w:sz w:val="1"/>
                <w:szCs w:val="1"/>
                <w:color w:val="auto"/>
              </w:rPr>
            </w:pPr>
          </w:p>
        </w:tc>
      </w:tr>
      <w:tr>
        <w:trPr>
          <w:trHeight w:val="188"/>
        </w:trPr>
        <w:tc>
          <w:tcPr>
            <w:tcW w:w="826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Accounts receivable (net of allowance for doubtful accounts of $326 and $261 at March 31, 2021 and</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December 31, 2020, respectively)</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115,342</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Deferred commissions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31,936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32,143</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44,462</w:t>
            </w:r>
          </w:p>
        </w:tc>
        <w:tc>
          <w:tcPr>
            <w:tcW w:w="0" w:type="dxa"/>
            <w:vAlign w:val="bottom"/>
          </w:tcPr>
          <w:p>
            <w:pPr>
              <w:spacing w:after="0"/>
              <w:rPr>
                <w:sz w:val="1"/>
                <w:szCs w:val="1"/>
                <w:color w:val="auto"/>
              </w:rPr>
            </w:pPr>
          </w:p>
        </w:tc>
      </w:tr>
      <w:tr>
        <w:trPr>
          <w:trHeight w:val="223"/>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497,659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483,793</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38,920</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Deferred commissions (net of current portion)</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45,364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46,733</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39,426</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Acquired intangible assets, net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29"/>
        </w:trPr>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14,110</w:t>
            </w:r>
          </w:p>
        </w:tc>
        <w:tc>
          <w:tcPr>
            <w:tcW w:w="0" w:type="dxa"/>
            <w:vAlign w:val="bottom"/>
          </w:tcPr>
          <w:p>
            <w:pPr>
              <w:spacing w:after="0"/>
              <w:rPr>
                <w:sz w:val="1"/>
                <w:szCs w:val="1"/>
                <w:color w:val="auto"/>
              </w:rPr>
            </w:pPr>
          </w:p>
        </w:tc>
      </w:tr>
      <w:tr>
        <w:trPr>
          <w:trHeight w:val="248"/>
        </w:trPr>
        <w:tc>
          <w:tcPr>
            <w:tcW w:w="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Total assets</w:t>
            </w:r>
          </w:p>
        </w:tc>
        <w:tc>
          <w:tcPr>
            <w:tcW w:w="7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700,847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690,589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8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35,509</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328,819</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3"/>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366,850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374,902</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105,691</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53,201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54,529</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223"/>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528,908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539,924</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26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Common stock (par value: $0.01; 500,000 shares authorized; 105,513 and 103,715 shares issued</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and outstanding at March 31, 2021 and December 31, 2020, respectively)</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786,476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757,470</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(607,852)</w:t>
            </w:r>
          </w:p>
        </w:tc>
        <w:tc>
          <w:tcPr>
            <w:tcW w:w="0" w:type="dxa"/>
            <w:vAlign w:val="bottom"/>
          </w:tcPr>
          <w:p>
            <w:pPr>
              <w:spacing w:after="0"/>
              <w:rPr>
                <w:sz w:val="1"/>
                <w:szCs w:val="1"/>
                <w:color w:val="auto"/>
              </w:rPr>
            </w:pPr>
          </w:p>
        </w:tc>
      </w:tr>
      <w:tr>
        <w:trPr>
          <w:trHeight w:val="22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171,939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150,665</w:t>
            </w:r>
          </w:p>
        </w:tc>
        <w:tc>
          <w:tcPr>
            <w:tcW w:w="0" w:type="dxa"/>
            <w:vAlign w:val="bottom"/>
          </w:tcPr>
          <w:p>
            <w:pPr>
              <w:spacing w:after="0"/>
              <w:rPr>
                <w:sz w:val="1"/>
                <w:szCs w:val="1"/>
                <w:color w:val="auto"/>
              </w:rPr>
            </w:pPr>
          </w:p>
        </w:tc>
      </w:tr>
      <w:tr>
        <w:trPr>
          <w:trHeight w:val="223"/>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700,847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690,589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6"/>
                <w:szCs w:val="16"/>
                <w:b w:val="1"/>
                <w:bCs w:val="1"/>
                <w:color w:val="auto"/>
              </w:rPr>
              <w:t>Three Months Ended March 31,</w:t>
            </w: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102,648</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18,701</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59,855</w:t>
            </w: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26,831</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18,933</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105,619</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(21,672)</w:t>
            </w: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Interest (expense) income,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734</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(21,898)</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(22,977)</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98,855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6"/>
                <w:szCs w:val="16"/>
                <w:b w:val="1"/>
                <w:bCs w:val="1"/>
                <w:color w:val="auto"/>
              </w:rPr>
              <w:t>Three Months Ended March 31,</w:t>
            </w: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(losses) gains on available-for-sale securities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Additional</w:t>
            </w:r>
          </w:p>
        </w:tc>
        <w:tc>
          <w:tcPr>
            <w:tcW w:w="14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2320" w:type="dxa"/>
            <w:vAlign w:val="bottom"/>
            <w:gridSpan w:val="4"/>
            <w:vMerge w:val="restart"/>
          </w:tcPr>
          <w:p>
            <w:pPr>
              <w:jc w:val="right"/>
              <w:ind w:right="47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840" w:type="dxa"/>
            <w:vAlign w:val="bottom"/>
          </w:tcPr>
          <w:p>
            <w:pPr>
              <w:spacing w:after="0"/>
              <w:rPr>
                <w:sz w:val="10"/>
                <w:szCs w:val="10"/>
                <w:color w:val="auto"/>
              </w:rPr>
            </w:pPr>
          </w:p>
        </w:tc>
        <w:tc>
          <w:tcPr>
            <w:tcW w:w="23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0"/>
                <w:szCs w:val="10"/>
                <w:color w:val="auto"/>
              </w:rPr>
            </w:pPr>
          </w:p>
        </w:tc>
        <w:tc>
          <w:tcPr>
            <w:tcW w:w="154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0"/>
                <w:szCs w:val="10"/>
                <w:color w:val="auto"/>
              </w:rPr>
            </w:pPr>
          </w:p>
        </w:tc>
        <w:tc>
          <w:tcPr>
            <w:tcW w:w="1320" w:type="dxa"/>
            <w:vAlign w:val="bottom"/>
            <w:gridSpan w:val="2"/>
            <w:vMerge w:val="restart"/>
          </w:tcPr>
          <w:p>
            <w:pPr>
              <w:ind w:left="40"/>
              <w:spacing w:after="0" w:line="162" w:lineRule="exact"/>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0"/>
                <w:szCs w:val="10"/>
                <w:color w:val="auto"/>
              </w:rPr>
            </w:pPr>
          </w:p>
        </w:tc>
        <w:tc>
          <w:tcPr>
            <w:tcW w:w="1280" w:type="dxa"/>
            <w:vAlign w:val="bottom"/>
            <w:vMerge w:val="restart"/>
          </w:tcPr>
          <w:p>
            <w:pPr>
              <w:jc w:val="center"/>
              <w:ind w:right="39"/>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3"/>
        </w:trPr>
        <w:tc>
          <w:tcPr>
            <w:tcW w:w="2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2"/>
                <w:szCs w:val="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84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Income</w:t>
            </w:r>
          </w:p>
        </w:tc>
        <w:tc>
          <w:tcPr>
            <w:tcW w:w="140" w:type="dxa"/>
            <w:vAlign w:val="bottom"/>
          </w:tcPr>
          <w:p>
            <w:pPr>
              <w:spacing w:after="0"/>
              <w:rPr>
                <w:sz w:val="18"/>
                <w:szCs w:val="18"/>
                <w:color w:val="auto"/>
              </w:rPr>
            </w:pPr>
          </w:p>
        </w:tc>
        <w:tc>
          <w:tcPr>
            <w:tcW w:w="1320" w:type="dxa"/>
            <w:vAlign w:val="bottom"/>
            <w:gridSpan w:val="2"/>
          </w:tcPr>
          <w:p>
            <w:pPr>
              <w:ind w:left="300"/>
              <w:spacing w:after="0"/>
              <w:rPr>
                <w:sz w:val="20"/>
                <w:szCs w:val="20"/>
                <w:color w:val="auto"/>
              </w:rPr>
            </w:pPr>
            <w:r>
              <w:rPr>
                <w:rFonts w:ascii="Arial" w:cs="Arial" w:eastAsia="Arial" w:hAnsi="Arial"/>
                <w:sz w:val="16"/>
                <w:szCs w:val="16"/>
                <w:b w:val="1"/>
                <w:bCs w:val="1"/>
                <w:color w:val="auto"/>
              </w:rPr>
              <w:t>Deficit</w:t>
            </w:r>
          </w:p>
        </w:tc>
        <w:tc>
          <w:tcPr>
            <w:tcW w:w="140" w:type="dxa"/>
            <w:vAlign w:val="bottom"/>
          </w:tcPr>
          <w:p>
            <w:pPr>
              <w:spacing w:after="0"/>
              <w:rPr>
                <w:sz w:val="18"/>
                <w:szCs w:val="18"/>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103,715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757,470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(607,852)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150,665</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4,015</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restricted stock units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2840" w:type="dxa"/>
            <w:vAlign w:val="bottom"/>
          </w:tcPr>
          <w:p>
            <w:pPr>
              <w:ind w:left="20"/>
              <w:spacing w:after="0" w:line="178" w:lineRule="exact"/>
              <w:rPr>
                <w:sz w:val="20"/>
                <w:szCs w:val="20"/>
                <w:color w:val="auto"/>
              </w:rPr>
            </w:pPr>
            <w:r>
              <w:rPr>
                <w:rFonts w:ascii="Arial" w:cs="Arial" w:eastAsia="Arial" w:hAnsi="Arial"/>
                <w:sz w:val="16"/>
                <w:szCs w:val="16"/>
                <w:color w:val="auto"/>
              </w:rPr>
              <w:t>Issuance of common stock under</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40" w:type="dxa"/>
            <w:vAlign w:val="bottom"/>
          </w:tcPr>
          <w:p>
            <w:pPr>
              <w:ind w:left="20"/>
              <w:spacing w:after="0"/>
              <w:rPr>
                <w:sz w:val="20"/>
                <w:szCs w:val="20"/>
                <w:color w:val="auto"/>
              </w:rPr>
            </w:pPr>
            <w:r>
              <w:rPr>
                <w:rFonts w:ascii="Arial" w:cs="Arial" w:eastAsia="Arial" w:hAnsi="Arial"/>
                <w:sz w:val="16"/>
                <w:szCs w:val="16"/>
                <w:color w:val="auto"/>
              </w:rPr>
              <w:t>employee stock purchase plan</w:t>
            </w:r>
          </w:p>
        </w:tc>
        <w:tc>
          <w:tcPr>
            <w:tcW w:w="1100" w:type="dxa"/>
            <w:vAlign w:val="bottom"/>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8,046</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16,963</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(7,748)</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105,513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786,476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(615,600)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171,939</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1100" w:type="dxa"/>
            <w:vAlign w:val="bottom"/>
          </w:tcPr>
          <w:p>
            <w:pPr>
              <w:jc w:val="right"/>
              <w:spacing w:after="0"/>
              <w:rPr>
                <w:sz w:val="20"/>
                <w:szCs w:val="20"/>
                <w:color w:val="auto"/>
              </w:rPr>
            </w:pPr>
            <w:r>
              <w:rPr>
                <w:rFonts w:ascii="Arial" w:cs="Arial" w:eastAsia="Arial" w:hAnsi="Arial"/>
                <w:sz w:val="16"/>
                <w:szCs w:val="16"/>
                <w:color w:val="auto"/>
              </w:rPr>
              <w:t>98,587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986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662,990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(565,121)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98,905</w:t>
            </w: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3,978</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1100" w:type="dxa"/>
            <w:vAlign w:val="bottom"/>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28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 under</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7,307</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13,050</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(22,977)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(22,977)</w:t>
            </w:r>
          </w:p>
        </w:tc>
        <w:tc>
          <w:tcPr>
            <w:tcW w:w="0" w:type="dxa"/>
            <w:vAlign w:val="bottom"/>
          </w:tcPr>
          <w:p>
            <w:pPr>
              <w:spacing w:after="0"/>
              <w:rPr>
                <w:sz w:val="1"/>
                <w:szCs w:val="1"/>
                <w:color w:val="auto"/>
              </w:rPr>
            </w:pPr>
          </w:p>
        </w:tc>
      </w:tr>
      <w:tr>
        <w:trPr>
          <w:trHeight w:val="238"/>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687,311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(588,098)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100,376</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6"/>
                <w:szCs w:val="16"/>
                <w:b w:val="1"/>
                <w:bCs w:val="1"/>
                <w:color w:val="auto"/>
              </w:rPr>
              <w:t>Three Months Ended March 31,</w:t>
            </w: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2020</w:t>
            </w:r>
          </w:p>
        </w:tc>
      </w:tr>
      <w:tr>
        <w:trPr>
          <w:trHeight w:val="19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(7,748)</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(22,977)</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2,678</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13,035</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20,813</w:t>
            </w: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w:t>
            </w: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Accounts payable, accrued expenses and accrued compensation</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(9,608)</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w:t>
            </w:r>
          </w:p>
        </w:tc>
      </w:tr>
      <w:tr>
        <w:trPr>
          <w:trHeight w:val="229"/>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and noncurrent liabilities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r>
      <w:tr>
        <w:trPr>
          <w:trHeight w:val="223"/>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r>
      <w:tr>
        <w:trPr>
          <w:trHeight w:val="216"/>
        </w:trPr>
        <w:tc>
          <w:tcPr>
            <w:tcW w:w="8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short-term investments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(58,831)</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and maturities of short-term investments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78,175</w:t>
            </w:r>
          </w:p>
        </w:tc>
      </w:tr>
      <w:tr>
        <w:trPr>
          <w:trHeight w:val="223"/>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investing activities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18,730</w:t>
            </w:r>
          </w:p>
        </w:tc>
      </w:tr>
      <w:tr>
        <w:trPr>
          <w:trHeight w:val="257"/>
        </w:trPr>
        <w:tc>
          <w:tcPr>
            <w:tcW w:w="8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stock issued in connection with the employee stock purchase plan</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7,307</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exercise of stock options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financing activities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11,281</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33,406</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74,665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108,071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income taxes, net of refunds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r>
      <w:tr>
        <w:trPr>
          <w:trHeight w:val="215"/>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 related to leases: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 for operating leases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r>
    </w:tbl>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ind w:left="340" w:right="6020" w:hanging="332"/>
        <w:spacing w:after="0" w:line="513" w:lineRule="auto"/>
        <w:tabs>
          <w:tab w:leader="none" w:pos="21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and Summary of Significant Accounting Policies </w:t>
      </w:r>
      <w:r>
        <w:rPr>
          <w:rFonts w:ascii="Arial" w:cs="Arial" w:eastAsia="Arial" w:hAnsi="Arial"/>
          <w:sz w:val="18"/>
          <w:szCs w:val="18"/>
          <w:b w:val="1"/>
          <w:bCs w:val="1"/>
          <w:i w:val="1"/>
          <w:iCs w:val="1"/>
          <w:color w:val="auto"/>
        </w:rPr>
        <w:t>Business Description</w:t>
      </w:r>
    </w:p>
    <w:p>
      <w:pPr>
        <w:spacing w:after="0" w:line="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Tenable Holdings, Inc. (the “Company,” “we,” "us," or “our”) is a provider of Cyber Exposure solutions, which is a discipline for managing, measuring and comparing cybersecurity risk in the digital era. Our platform offerings provide broad visibility into security issues such as vulnerabilities, misconfigurations, internal and regulatory compliance violations and other indicators of the state of an organization’s security across IT infrastructure and applications, cloud environments and industrial internet of things and operational technology environments.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consolidated financial statements include the accounts of Tenable Holdings, Inc. and our wholly owned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accounts and transactions have been eliminated in consolidation.</w:t>
      </w:r>
    </w:p>
    <w:p>
      <w:pPr>
        <w:spacing w:after="0" w:line="22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consolidated financial statements have been prepared in conformity with United States generally accepted accounting principles (“GAAP”) for interim financial information. The consolidated statements are unaudited and should be read in conjunction with the consolidated financial statements and related notes included in our 2020 Annual Report on Form 10-K ("10-K") filed with the Securities and Exchange Commission on February 23, 2021. The consolidated financial statements have been prepared on a basis consistent with the audited annual consolidated financial statements included in the 10-K and, in the opinion of management, include all adjustments of a normal recurring nature necessary to fairly state our financial position, our results of operations, and cash flows.</w:t>
      </w:r>
    </w:p>
    <w:p>
      <w:pPr>
        <w:spacing w:after="0" w:line="208" w:lineRule="exact"/>
        <w:rPr>
          <w:sz w:val="20"/>
          <w:szCs w:val="20"/>
          <w:color w:val="auto"/>
        </w:rPr>
      </w:pPr>
    </w:p>
    <w:p>
      <w:pPr>
        <w:ind w:right="500" w:firstLine="324"/>
        <w:spacing w:after="0" w:line="261" w:lineRule="auto"/>
        <w:rPr>
          <w:sz w:val="20"/>
          <w:szCs w:val="20"/>
          <w:color w:val="auto"/>
        </w:rPr>
      </w:pPr>
      <w:r>
        <w:rPr>
          <w:rFonts w:ascii="Arial" w:cs="Arial" w:eastAsia="Arial" w:hAnsi="Arial"/>
          <w:sz w:val="18"/>
          <w:szCs w:val="18"/>
          <w:color w:val="auto"/>
        </w:rPr>
        <w:t>The results for the three months ended March 31, 2021 are not necessarily indicative of the operating results expected for the year ending December 31, 2021 or any other future period.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determination of the estimated economic life of perpetual licenses for revenue recognition, the estimated period of benefit for deferred commissions, the useful lives of long-lived assets, the fair value of acquired intangible assets, the valuation of stock-based compensation, including the estimated underlying fair value of our common stock prior to our IPO, the incremental borrowing rate for operating leases, and the valuation of deferred tax assets. We base these estimates on historical experience and on various other assumptions that we believe to be reasonable. Actual results could differ significantly from these estimates.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47"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Our significant accounting policies are described in our 10-K. During the three months ended March 31, 2021, there were no material changes to our significant accounting policies from those described in our 10-K.</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9"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 xml:space="preserve">We adopted Accounting Standards Update ("ASU") No. 2019-12 - </w:t>
      </w:r>
      <w:r>
        <w:rPr>
          <w:rFonts w:ascii="Arial" w:cs="Arial" w:eastAsia="Arial" w:hAnsi="Arial"/>
          <w:sz w:val="18"/>
          <w:szCs w:val="18"/>
          <w:i w:val="1"/>
          <w:iCs w:val="1"/>
          <w:color w:val="auto"/>
        </w:rPr>
        <w:t>Income Taxes (Topic 740)</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Accounting for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w:t>
      </w:r>
      <w:r>
        <w:rPr>
          <w:rFonts w:ascii="Arial" w:cs="Arial" w:eastAsia="Arial" w:hAnsi="Arial"/>
          <w:sz w:val="18"/>
          <w:szCs w:val="18"/>
          <w:color w:val="auto"/>
        </w:rPr>
        <w:t>effective January 1, 2021. The adoption of this guidance did not have a material impact on our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This ASU eliminated previously allowed exceptions and clarified existing guidance in the accounting for income taxes, including in the areas of franchise taxes, the tax basis of goodwill and interim period effects of changes in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revenue: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6"/>
                <w:szCs w:val="16"/>
                <w:b w:val="1"/>
                <w:bCs w:val="1"/>
                <w:color w:val="auto"/>
              </w:rPr>
              <w:t>Three Months Ended March 31,</w:t>
            </w: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13,419</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123,189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102,648</w:t>
            </w:r>
          </w:p>
        </w:tc>
      </w:tr>
      <w:tr>
        <w:trPr>
          <w:trHeight w:val="21"/>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products and services to our distributors, which in turn sell to resellers, which then sell to end-users. We derived 92% and 91% of revenue through our channel network in the three months ended March 31, 2021 and 2020, respectively. One of our distributors accounted for 41% and 43% of revenue in the three months ended March 31, 2021 and 2020, respectively. That same distributor accounted for 41% of accounts receivable at March 31, 2021 and December 31, 2020.</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7"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the three months ended March 31, 2021 and 2020, we recognized revenue of $114.9 million and $95.3 million, respectively, that was included in the deferred revenue balance at the beginning of each of the respective periods.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47" w:lineRule="exact"/>
        <w:rPr>
          <w:sz w:val="20"/>
          <w:szCs w:val="20"/>
          <w:color w:val="auto"/>
        </w:rPr>
      </w:pPr>
    </w:p>
    <w:p>
      <w:pPr>
        <w:ind w:right="580" w:firstLine="324"/>
        <w:spacing w:after="0" w:line="256" w:lineRule="auto"/>
        <w:rPr>
          <w:sz w:val="20"/>
          <w:szCs w:val="20"/>
          <w:color w:val="auto"/>
        </w:rPr>
      </w:pPr>
      <w:r>
        <w:rPr>
          <w:rFonts w:ascii="Arial" w:cs="Arial" w:eastAsia="Arial" w:hAnsi="Arial"/>
          <w:sz w:val="18"/>
          <w:szCs w:val="18"/>
          <w:color w:val="auto"/>
        </w:rPr>
        <w:t>At March 31, 2021, the future estimated revenue related to unsatisfied performance obligations was $ 441.1 million, of which approximately 75% is expected to be recognized as revenue over the succeeding twelve months, and the remainder is expected to be recognized over the four years thereafter.</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activity of deferred incremental costs of obtaining a contract: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6"/>
                <w:szCs w:val="16"/>
                <w:b w:val="1"/>
                <w:bCs w:val="1"/>
                <w:color w:val="auto"/>
              </w:rPr>
              <w:t>Three Months Ended March 31,</w:t>
            </w: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72,265</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Capitalization of contract acquisition costs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6,121</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contract acquisition costs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(7,644)</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77,300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70,742</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and Cash Equivalents and Short-Term Investments</w:t>
      </w:r>
    </w:p>
    <w:p>
      <w:pPr>
        <w:spacing w:after="0" w:line="247"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The following tables summarize the amortized cost, unrealized gain and loss and estimated fair value of cash equivalents and short-term investments: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6"/>
                <w:szCs w:val="16"/>
                <w:b w:val="1"/>
                <w:bCs w:val="1"/>
                <w:color w:val="auto"/>
              </w:rPr>
              <w:t>March 31, 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5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Gain</w:t>
            </w:r>
          </w:p>
        </w:tc>
        <w:tc>
          <w:tcPr>
            <w:tcW w:w="15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Loss</w:t>
            </w:r>
          </w:p>
        </w:tc>
        <w:tc>
          <w:tcPr>
            <w:tcW w:w="140" w:type="dxa"/>
            <w:vAlign w:val="bottom"/>
          </w:tcPr>
          <w:p>
            <w:pPr>
              <w:spacing w:after="0"/>
              <w:rPr>
                <w:sz w:val="13"/>
                <w:szCs w:val="13"/>
                <w:color w:val="auto"/>
              </w:rPr>
            </w:pPr>
          </w:p>
        </w:tc>
        <w:tc>
          <w:tcPr>
            <w:tcW w:w="1300" w:type="dxa"/>
            <w:vAlign w:val="bottom"/>
          </w:tcPr>
          <w:p>
            <w:pPr>
              <w:jc w:val="center"/>
              <w:ind w:right="52"/>
              <w:spacing w:after="0" w:line="158" w:lineRule="exact"/>
              <w:rPr>
                <w:sz w:val="20"/>
                <w:szCs w:val="20"/>
                <w:color w:val="auto"/>
              </w:rPr>
            </w:pPr>
            <w:r>
              <w:rPr>
                <w:rFonts w:ascii="Arial" w:cs="Arial" w:eastAsia="Arial" w:hAnsi="Arial"/>
                <w:sz w:val="16"/>
                <w:szCs w:val="16"/>
                <w:b w:val="1"/>
                <w:bCs w:val="1"/>
                <w:color w:val="auto"/>
              </w:rPr>
              <w:t>Estimated Fair</w:t>
            </w:r>
          </w:p>
        </w:tc>
        <w:tc>
          <w:tcPr>
            <w:tcW w:w="0" w:type="dxa"/>
            <w:vAlign w:val="bottom"/>
          </w:tcPr>
          <w:p>
            <w:pPr>
              <w:spacing w:after="0"/>
              <w:rPr>
                <w:sz w:val="1"/>
                <w:szCs w:val="1"/>
                <w:color w:val="auto"/>
              </w:rPr>
            </w:pPr>
          </w:p>
        </w:tc>
      </w:tr>
      <w:tr>
        <w:trPr>
          <w:trHeight w:val="215"/>
        </w:trPr>
        <w:tc>
          <w:tcPr>
            <w:tcW w:w="5240" w:type="dxa"/>
            <w:vAlign w:val="bottom"/>
            <w:vMerge w:val="continue"/>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32"/>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1"/>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65,968</w:t>
            </w:r>
          </w:p>
        </w:tc>
        <w:tc>
          <w:tcPr>
            <w:tcW w:w="0" w:type="dxa"/>
            <w:vAlign w:val="bottom"/>
          </w:tcPr>
          <w:p>
            <w:pPr>
              <w:spacing w:after="0"/>
              <w:rPr>
                <w:sz w:val="1"/>
                <w:szCs w:val="1"/>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8"/>
                <w:szCs w:val="18"/>
                <w:color w:val="auto"/>
              </w:rPr>
              <w:t>Total cash equivalents</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65,968</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2"/>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65,968</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5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69,833</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2"/>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69,833</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Supranational bonds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U.S. Treasury and agency obligations</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37,602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37,611</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short-term investments</w:t>
            </w:r>
          </w:p>
        </w:tc>
        <w:tc>
          <w:tcPr>
            <w:tcW w:w="4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111,945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5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6"/>
                <w:szCs w:val="16"/>
                <w:b w:val="1"/>
                <w:bCs w:val="1"/>
                <w:color w:val="auto"/>
              </w:rPr>
              <w:t>December 31, 2020</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5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Gain</w:t>
            </w:r>
          </w:p>
        </w:tc>
        <w:tc>
          <w:tcPr>
            <w:tcW w:w="15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Loss</w:t>
            </w:r>
          </w:p>
        </w:tc>
        <w:tc>
          <w:tcPr>
            <w:tcW w:w="140" w:type="dxa"/>
            <w:vAlign w:val="bottom"/>
          </w:tcPr>
          <w:p>
            <w:pPr>
              <w:spacing w:after="0"/>
              <w:rPr>
                <w:sz w:val="13"/>
                <w:szCs w:val="13"/>
                <w:color w:val="auto"/>
              </w:rPr>
            </w:pPr>
          </w:p>
        </w:tc>
        <w:tc>
          <w:tcPr>
            <w:tcW w:w="1300" w:type="dxa"/>
            <w:vAlign w:val="bottom"/>
          </w:tcPr>
          <w:p>
            <w:pPr>
              <w:jc w:val="center"/>
              <w:ind w:right="52"/>
              <w:spacing w:after="0" w:line="158" w:lineRule="exact"/>
              <w:rPr>
                <w:sz w:val="20"/>
                <w:szCs w:val="20"/>
                <w:color w:val="auto"/>
              </w:rPr>
            </w:pPr>
            <w:r>
              <w:rPr>
                <w:rFonts w:ascii="Arial" w:cs="Arial" w:eastAsia="Arial" w:hAnsi="Arial"/>
                <w:sz w:val="16"/>
                <w:szCs w:val="16"/>
                <w:b w:val="1"/>
                <w:bCs w:val="1"/>
                <w:color w:val="auto"/>
              </w:rPr>
              <w:t>Estimated Fair</w:t>
            </w:r>
          </w:p>
        </w:tc>
        <w:tc>
          <w:tcPr>
            <w:tcW w:w="0" w:type="dxa"/>
            <w:vAlign w:val="bottom"/>
          </w:tcPr>
          <w:p>
            <w:pPr>
              <w:spacing w:after="0"/>
              <w:rPr>
                <w:sz w:val="1"/>
                <w:szCs w:val="1"/>
                <w:color w:val="auto"/>
              </w:rPr>
            </w:pPr>
          </w:p>
        </w:tc>
      </w:tr>
      <w:tr>
        <w:trPr>
          <w:trHeight w:val="215"/>
        </w:trPr>
        <w:tc>
          <w:tcPr>
            <w:tcW w:w="5240" w:type="dxa"/>
            <w:vAlign w:val="bottom"/>
            <w:vMerge w:val="continue"/>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32"/>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1"/>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44,153</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paper</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cash equivalents</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71,425</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2"/>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71,425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and agency obligations</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37,693</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short-term investments</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113,613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2021, all of our short-term investments had maturities within the next twelve months.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47"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We measure certain financial instruments at fair value using a fair value hierarchy. In the hierarchy, assets are classified based on the lowest level inputs used in valuation into the following categories:</w:t>
      </w:r>
    </w:p>
    <w:p>
      <w:pPr>
        <w:spacing w:after="0" w:line="7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63" w:lineRule="exact"/>
        <w:rPr>
          <w:rFonts w:ascii="Arial" w:cs="Arial" w:eastAsia="Arial" w:hAnsi="Arial"/>
          <w:sz w:val="18"/>
          <w:szCs w:val="18"/>
          <w:color w:val="auto"/>
        </w:rPr>
      </w:pPr>
    </w:p>
    <w:p>
      <w:pPr>
        <w:ind w:left="660" w:right="460" w:hanging="328"/>
        <w:spacing w:after="0" w:line="28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including quoted market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and liabilities in inactive markets, or inputs that are corroborated by observable market data;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assets that are measured at fair value on a recurring basis: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6"/>
                <w:szCs w:val="16"/>
                <w:b w:val="1"/>
                <w:bCs w:val="1"/>
                <w:color w:val="auto"/>
              </w:rPr>
              <w:t>March 31, 2021</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872"/>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65,968</w:t>
            </w:r>
          </w:p>
        </w:tc>
      </w:tr>
      <w:tr>
        <w:trPr>
          <w:trHeight w:val="243"/>
        </w:trPr>
        <w:tc>
          <w:tcPr>
            <w:tcW w:w="52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65,968</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69,833</w:t>
            </w:r>
          </w:p>
        </w:tc>
        <w:tc>
          <w:tcPr>
            <w:tcW w:w="100" w:type="dxa"/>
            <w:vAlign w:val="bottom"/>
          </w:tcPr>
          <w:p>
            <w:pPr>
              <w:spacing w:after="0"/>
              <w:rPr>
                <w:sz w:val="19"/>
                <w:szCs w:val="19"/>
                <w:color w:val="auto"/>
              </w:rPr>
            </w:pP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69,833</w:t>
            </w:r>
          </w:p>
        </w:tc>
      </w:tr>
      <w:tr>
        <w:trPr>
          <w:trHeight w:val="229"/>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Supranational bonds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w:t>
            </w:r>
          </w:p>
        </w:tc>
      </w:tr>
      <w:tr>
        <w:trPr>
          <w:trHeight w:val="229"/>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U.S. Treasury and agency obligations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37,611</w:t>
            </w:r>
          </w:p>
        </w:tc>
      </w:tr>
      <w:tr>
        <w:trPr>
          <w:trHeight w:val="243"/>
        </w:trPr>
        <w:tc>
          <w:tcPr>
            <w:tcW w:w="5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111,945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111,945</w:t>
            </w:r>
          </w:p>
        </w:tc>
      </w:tr>
      <w:tr>
        <w:trPr>
          <w:trHeight w:val="20"/>
        </w:trPr>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08"/>
        </w:trPr>
        <w:tc>
          <w:tcPr>
            <w:tcW w:w="5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6"/>
                <w:szCs w:val="16"/>
                <w:b w:val="1"/>
                <w:bCs w:val="1"/>
                <w:color w:val="auto"/>
              </w:rPr>
              <w:t>December 31, 2020</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44,153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44,153</w:t>
            </w:r>
          </w:p>
        </w:tc>
      </w:tr>
      <w:tr>
        <w:trPr>
          <w:trHeight w:val="229"/>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23"/>
        </w:trPr>
        <w:tc>
          <w:tcPr>
            <w:tcW w:w="52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44,153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48,653</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71,425</w:t>
            </w: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4,505</w:t>
            </w:r>
          </w:p>
        </w:tc>
      </w:tr>
      <w:tr>
        <w:trPr>
          <w:trHeight w:val="229"/>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and agency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37,693</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37,693</w:t>
            </w:r>
          </w:p>
        </w:tc>
      </w:tr>
      <w:tr>
        <w:trPr>
          <w:trHeight w:val="223"/>
        </w:trPr>
        <w:tc>
          <w:tcPr>
            <w:tcW w:w="52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113,623</w:t>
            </w:r>
          </w:p>
        </w:tc>
        <w:tc>
          <w:tcPr>
            <w:tcW w:w="100" w:type="dxa"/>
            <w:vAlign w:val="bottom"/>
          </w:tcPr>
          <w:p>
            <w:pPr>
              <w:spacing w:after="0"/>
              <w:rPr>
                <w:sz w:val="19"/>
                <w:szCs w:val="19"/>
                <w:color w:val="auto"/>
              </w:rPr>
            </w:pP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113,623</w:t>
            </w:r>
          </w:p>
        </w:tc>
      </w:tr>
      <w:tr>
        <w:trPr>
          <w:trHeight w:val="20"/>
        </w:trPr>
        <w:tc>
          <w:tcPr>
            <w:tcW w:w="5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liabilities measured and recorded at fair value at March 31, 2021 or December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6"/>
                <w:szCs w:val="16"/>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Pr>
          <w:p>
            <w:pPr>
              <w:spacing w:after="0"/>
              <w:rPr>
                <w:sz w:val="16"/>
                <w:szCs w:val="16"/>
                <w:color w:val="auto"/>
              </w:rPr>
            </w:pPr>
          </w:p>
        </w:tc>
        <w:tc>
          <w:tcPr>
            <w:tcW w:w="1280" w:type="dxa"/>
            <w:vAlign w:val="bottom"/>
          </w:tcPr>
          <w:p>
            <w:pPr>
              <w:jc w:val="right"/>
              <w:ind w:right="11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8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4"/>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6,011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26,210</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Right-of-use assets under finance leases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Depreciation and amortization related to property and equipment was $2.2 million and $2.0 million in the three 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Acquired Intangible Assets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2021 and December 31, 2020, our goodwill balance was $54.4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intangible assets subject to amortization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 2020</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460" w:type="dxa"/>
            <w:vAlign w:val="bottom"/>
            <w:gridSpan w:val="3"/>
          </w:tcPr>
          <w:p>
            <w:pPr>
              <w:ind w:left="80"/>
              <w:spacing w:after="0" w:line="158" w:lineRule="exact"/>
              <w:rPr>
                <w:sz w:val="20"/>
                <w:szCs w:val="20"/>
                <w:color w:val="auto"/>
              </w:rPr>
            </w:pPr>
            <w:r>
              <w:rPr>
                <w:rFonts w:ascii="Arial" w:cs="Arial" w:eastAsia="Arial" w:hAnsi="Arial"/>
                <w:sz w:val="16"/>
                <w:szCs w:val="16"/>
                <w:b w:val="1"/>
                <w:bCs w:val="1"/>
                <w:color w:val="auto"/>
              </w:rPr>
              <w:t>Gross Carrying</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3"/>
                <w:szCs w:val="13"/>
                <w:color w:val="auto"/>
              </w:rPr>
            </w:pPr>
          </w:p>
        </w:tc>
        <w:tc>
          <w:tcPr>
            <w:tcW w:w="1200" w:type="dxa"/>
            <w:vAlign w:val="bottom"/>
          </w:tcPr>
          <w:p>
            <w:pPr>
              <w:jc w:val="right"/>
              <w:ind w:right="114"/>
              <w:spacing w:after="0" w:line="158" w:lineRule="exact"/>
              <w:rPr>
                <w:sz w:val="20"/>
                <w:szCs w:val="20"/>
                <w:color w:val="auto"/>
              </w:rPr>
            </w:pPr>
            <w:r>
              <w:rPr>
                <w:rFonts w:ascii="Arial" w:cs="Arial" w:eastAsia="Arial" w:hAnsi="Arial"/>
                <w:sz w:val="16"/>
                <w:szCs w:val="16"/>
                <w:b w:val="1"/>
                <w:bCs w:val="1"/>
                <w:color w:val="auto"/>
              </w:rPr>
              <w:t>Net Carrying</w:t>
            </w:r>
          </w:p>
        </w:tc>
        <w:tc>
          <w:tcPr>
            <w:tcW w:w="100" w:type="dxa"/>
            <w:vAlign w:val="bottom"/>
          </w:tcPr>
          <w:p>
            <w:pPr>
              <w:spacing w:after="0"/>
              <w:rPr>
                <w:sz w:val="13"/>
                <w:szCs w:val="13"/>
                <w:color w:val="auto"/>
              </w:rPr>
            </w:pPr>
          </w:p>
        </w:tc>
        <w:tc>
          <w:tcPr>
            <w:tcW w:w="1360" w:type="dxa"/>
            <w:vAlign w:val="bottom"/>
            <w:gridSpan w:val="2"/>
          </w:tcPr>
          <w:p>
            <w:pPr>
              <w:jc w:val="right"/>
              <w:ind w:right="12"/>
              <w:spacing w:after="0" w:line="158" w:lineRule="exact"/>
              <w:rPr>
                <w:sz w:val="20"/>
                <w:szCs w:val="20"/>
                <w:color w:val="auto"/>
              </w:rPr>
            </w:pPr>
            <w:r>
              <w:rPr>
                <w:rFonts w:ascii="Arial" w:cs="Arial" w:eastAsia="Arial" w:hAnsi="Arial"/>
                <w:sz w:val="16"/>
                <w:szCs w:val="16"/>
                <w:b w:val="1"/>
                <w:bCs w:val="1"/>
                <w:color w:val="auto"/>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9"/>
              </w:rPr>
              <w:t>Accumulated</w:t>
            </w:r>
          </w:p>
        </w:tc>
        <w:tc>
          <w:tcPr>
            <w:tcW w:w="160" w:type="dxa"/>
            <w:vAlign w:val="bottom"/>
          </w:tcPr>
          <w:p>
            <w:pPr>
              <w:spacing w:after="0"/>
              <w:rPr>
                <w:sz w:val="13"/>
                <w:szCs w:val="13"/>
                <w:color w:val="auto"/>
              </w:rPr>
            </w:pPr>
          </w:p>
        </w:tc>
        <w:tc>
          <w:tcPr>
            <w:tcW w:w="1200" w:type="dxa"/>
            <w:vAlign w:val="bottom"/>
          </w:tcPr>
          <w:p>
            <w:pPr>
              <w:jc w:val="right"/>
              <w:ind w:right="94"/>
              <w:spacing w:after="0" w:line="158" w:lineRule="exact"/>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215"/>
        </w:trPr>
        <w:tc>
          <w:tcPr>
            <w:tcW w:w="258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24"/>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13,101</w:t>
            </w:r>
          </w:p>
        </w:tc>
        <w:tc>
          <w:tcPr>
            <w:tcW w:w="0" w:type="dxa"/>
            <w:vAlign w:val="bottom"/>
          </w:tcPr>
          <w:p>
            <w:pPr>
              <w:spacing w:after="0"/>
              <w:rPr>
                <w:sz w:val="1"/>
                <w:szCs w:val="1"/>
                <w:color w:val="auto"/>
              </w:rPr>
            </w:pPr>
          </w:p>
        </w:tc>
      </w:tr>
      <w:tr>
        <w:trPr>
          <w:trHeight w:val="229"/>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of acquired intangible assets was $0.6 million in each of the three months ended March 31, 2021 and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2021, estimated future amortization of acquired intangible assets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1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3"/>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8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9140" w:type="dxa"/>
            <w:vAlign w:val="bottom"/>
          </w:tcPr>
          <w:p>
            <w:pPr>
              <w:ind w:left="20"/>
              <w:spacing w:after="0" w:line="230" w:lineRule="exact"/>
              <w:rPr>
                <w:sz w:val="20"/>
                <w:szCs w:val="20"/>
                <w:color w:val="auto"/>
              </w:rPr>
            </w:pPr>
            <w:r>
              <w:rPr>
                <w:rFonts w:ascii="Arial" w:cs="Arial" w:eastAsia="Arial" w:hAnsi="Arial"/>
                <w:sz w:val="18"/>
                <w:szCs w:val="18"/>
                <w:color w:val="auto"/>
              </w:rPr>
              <w:t>2021</w:t>
            </w:r>
            <w:r>
              <w:rPr>
                <w:rFonts w:ascii="Arial" w:cs="Arial" w:eastAsia="Arial" w:hAnsi="Arial"/>
                <w:sz w:val="23"/>
                <w:szCs w:val="23"/>
                <w:color w:val="auto"/>
                <w:vertAlign w:val="superscript"/>
              </w:rPr>
              <w:t>(1)</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1,727</w:t>
            </w:r>
          </w:p>
        </w:tc>
      </w:tr>
      <w:tr>
        <w:trPr>
          <w:trHeight w:val="229"/>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r>
      <w:tr>
        <w:trPr>
          <w:trHeight w:val="230"/>
        </w:trPr>
        <w:tc>
          <w:tcPr>
            <w:tcW w:w="9140" w:type="dxa"/>
            <w:vAlign w:val="bottom"/>
          </w:tcPr>
          <w:p>
            <w:pPr>
              <w:ind w:left="20"/>
              <w:spacing w:after="0"/>
              <w:rPr>
                <w:sz w:val="20"/>
                <w:szCs w:val="20"/>
                <w:color w:val="auto"/>
              </w:rPr>
            </w:pPr>
            <w:r>
              <w:rPr>
                <w:rFonts w:ascii="Arial" w:cs="Arial" w:eastAsia="Arial" w:hAnsi="Arial"/>
                <w:sz w:val="18"/>
                <w:szCs w:val="18"/>
                <w:color w:val="auto"/>
              </w:rPr>
              <w:t>2023</w:t>
            </w:r>
          </w:p>
        </w:tc>
        <w:tc>
          <w:tcPr>
            <w:tcW w:w="8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2,214</w:t>
            </w:r>
          </w:p>
        </w:tc>
      </w:tr>
      <w:tr>
        <w:trPr>
          <w:trHeight w:val="229"/>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r>
      <w:tr>
        <w:trPr>
          <w:trHeight w:val="230"/>
        </w:trPr>
        <w:tc>
          <w:tcPr>
            <w:tcW w:w="9140" w:type="dxa"/>
            <w:vAlign w:val="bottom"/>
          </w:tcPr>
          <w:p>
            <w:pPr>
              <w:ind w:left="20"/>
              <w:spacing w:after="0"/>
              <w:rPr>
                <w:sz w:val="20"/>
                <w:szCs w:val="20"/>
                <w:color w:val="auto"/>
              </w:rPr>
            </w:pPr>
            <w:r>
              <w:rPr>
                <w:rFonts w:ascii="Arial" w:cs="Arial" w:eastAsia="Arial" w:hAnsi="Arial"/>
                <w:sz w:val="18"/>
                <w:szCs w:val="18"/>
                <w:color w:val="auto"/>
              </w:rPr>
              <w:t>2025</w:t>
            </w:r>
          </w:p>
        </w:tc>
        <w:tc>
          <w:tcPr>
            <w:tcW w:w="8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2,214</w:t>
            </w:r>
          </w:p>
        </w:tc>
      </w:tr>
      <w:tr>
        <w:trPr>
          <w:trHeight w:val="229"/>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w:t>
            </w:r>
          </w:p>
        </w:tc>
      </w:tr>
      <w:tr>
        <w:trPr>
          <w:trHeight w:val="223"/>
        </w:trPr>
        <w:tc>
          <w:tcPr>
            <w:tcW w:w="9140" w:type="dxa"/>
            <w:vAlign w:val="bottom"/>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12,614</w:t>
            </w:r>
          </w:p>
        </w:tc>
      </w:tr>
      <w:tr>
        <w:trPr>
          <w:trHeight w:val="20"/>
        </w:trPr>
        <w:tc>
          <w:tcPr>
            <w:tcW w:w="9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the nine months ending December 31,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47"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We have operating leases for office facilities and finance leases for computer and office equipment. The components of lease expense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6"/>
                <w:szCs w:val="16"/>
                <w:b w:val="1"/>
                <w:bCs w:val="1"/>
                <w:color w:val="auto"/>
              </w:rPr>
              <w:t>Three Months Ended March 31,</w:t>
            </w: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Amortization of ROU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on lease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finance lease cost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for short-term leases in the three months ended March 31, 2021 and 2020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March 31, 2021</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82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440" w:type="dxa"/>
            <w:vAlign w:val="bottom"/>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7"/>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20"/>
              <w:spacing w:after="0"/>
              <w:rPr>
                <w:sz w:val="20"/>
                <w:szCs w:val="20"/>
                <w:color w:val="auto"/>
              </w:rPr>
            </w:pPr>
            <w:r>
              <w:rPr>
                <w:rFonts w:ascii="Arial" w:cs="Arial" w:eastAsia="Arial" w:hAnsi="Arial"/>
                <w:sz w:val="18"/>
                <w:szCs w:val="18"/>
                <w:color w:val="auto"/>
              </w:rPr>
              <w:t>Weighted average remaining lease term</w:t>
            </w:r>
          </w:p>
        </w:tc>
        <w:tc>
          <w:tcPr>
            <w:tcW w:w="15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10.0 years</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10.0 years</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discount rate</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months ended March 31, 2021 and 2020, we did not obtain any right of use assets in exchange for lease liabilities.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operating lease liabilities at March 31, 2021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9800" w:type="dxa"/>
            <w:vAlign w:val="bottom"/>
          </w:tcPr>
          <w:p>
            <w:pPr>
              <w:ind w:left="20"/>
              <w:spacing w:after="0" w:line="230" w:lineRule="exact"/>
              <w:rPr>
                <w:sz w:val="20"/>
                <w:szCs w:val="20"/>
                <w:color w:val="auto"/>
              </w:rPr>
            </w:pPr>
            <w:r>
              <w:rPr>
                <w:rFonts w:ascii="Arial" w:cs="Arial" w:eastAsia="Arial" w:hAnsi="Arial"/>
                <w:sz w:val="18"/>
                <w:szCs w:val="18"/>
                <w:color w:val="auto"/>
              </w:rPr>
              <w:t>2021</w:t>
            </w:r>
            <w:r>
              <w:rPr>
                <w:rFonts w:ascii="Arial" w:cs="Arial" w:eastAsia="Arial" w:hAnsi="Arial"/>
                <w:sz w:val="23"/>
                <w:szCs w:val="23"/>
                <w:color w:val="auto"/>
                <w:vertAlign w:val="superscript"/>
              </w:rPr>
              <w:t>(1)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2,397</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7,676</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7,394</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44,490</w:t>
            </w:r>
          </w:p>
        </w:tc>
      </w:tr>
      <w:tr>
        <w:trPr>
          <w:trHeight w:val="223"/>
        </w:trPr>
        <w:tc>
          <w:tcPr>
            <w:tcW w:w="9800" w:type="dxa"/>
            <w:vAlign w:val="bottom"/>
          </w:tcPr>
          <w:p>
            <w:pPr>
              <w:ind w:left="220"/>
              <w:spacing w:after="0"/>
              <w:rPr>
                <w:sz w:val="20"/>
                <w:szCs w:val="20"/>
                <w:color w:val="auto"/>
              </w:rPr>
            </w:pPr>
            <w:r>
              <w:rPr>
                <w:rFonts w:ascii="Arial" w:cs="Arial" w:eastAsia="Arial" w:hAnsi="Arial"/>
                <w:sz w:val="18"/>
                <w:szCs w:val="18"/>
                <w:color w:val="auto"/>
              </w:rPr>
              <w:t>Total lease payments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77,794</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(20,295)</w:t>
            </w:r>
          </w:p>
        </w:tc>
      </w:tr>
      <w:tr>
        <w:trPr>
          <w:trHeight w:val="223"/>
        </w:trPr>
        <w:tc>
          <w:tcPr>
            <w:tcW w:w="9800" w:type="dxa"/>
            <w:vAlign w:val="bottom"/>
          </w:tcPr>
          <w:p>
            <w:pPr>
              <w:ind w:left="2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57,499</w:t>
            </w:r>
          </w:p>
        </w:tc>
      </w:tr>
      <w:tr>
        <w:trPr>
          <w:trHeight w:val="20"/>
        </w:trPr>
        <w:tc>
          <w:tcPr>
            <w:tcW w:w="9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80" w:hanging="372"/>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nine months ending December 31,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47" w:lineRule="exact"/>
        <w:rPr>
          <w:sz w:val="20"/>
          <w:szCs w:val="20"/>
          <w:color w:val="auto"/>
        </w:rPr>
      </w:pPr>
    </w:p>
    <w:p>
      <w:pPr>
        <w:ind w:right="180" w:firstLine="324"/>
        <w:spacing w:after="0" w:line="251" w:lineRule="auto"/>
        <w:rPr>
          <w:sz w:val="20"/>
          <w:szCs w:val="20"/>
          <w:color w:val="auto"/>
        </w:rPr>
      </w:pPr>
      <w:r>
        <w:rPr>
          <w:rFonts w:ascii="Arial" w:cs="Arial" w:eastAsia="Arial" w:hAnsi="Arial"/>
          <w:sz w:val="18"/>
          <w:szCs w:val="18"/>
          <w:color w:val="auto"/>
        </w:rPr>
        <w:t>In July 2020, we entered into a $45.0 million senior secured credit facility (“2020 Credit Facility”) with Silicon Valley Bank in connection with the expiration of our $25.0 million revolving credit facility. The 2020 Credit Facility bears interest at either LIBOR plus 2%, with a 1% LIBOR floor, or the base rate plus 1%, and terminates on July 24, 2022. A commitment fee of 0.35% per annum is payable quarterly in arrears based on the unused portion. The obligations under the 2020 Credit Facility are secured by a lien on our tangible and intangible property except intellectual property and certain subsidiaries and by a pledge of all of the equity interests of our material direct and indirect domestic subsidiaries and 65% of each class of capital stock of any material first-tier foreign subsidiaries, subject to limited exceptions. The 2020 Credit Facility includes a $45.0 million uncommitted expansion, as well as a $10.0 million sublimit for the issuance of letters of credit and a swingline sub-facility of up to $10.0 million, and has a financial covenant requiring a minimum consolidated quick ratio of at least 1.5:1.0 on the last day of each quarter.</w:t>
      </w:r>
    </w:p>
    <w:p>
      <w:pPr>
        <w:spacing w:after="0" w:line="212" w:lineRule="exact"/>
        <w:rPr>
          <w:sz w:val="20"/>
          <w:szCs w:val="20"/>
          <w:color w:val="auto"/>
        </w:rPr>
      </w:pPr>
    </w:p>
    <w:p>
      <w:pPr>
        <w:ind w:right="20" w:firstLine="324"/>
        <w:spacing w:after="0" w:line="291" w:lineRule="auto"/>
        <w:rPr>
          <w:sz w:val="20"/>
          <w:szCs w:val="20"/>
          <w:color w:val="auto"/>
        </w:rPr>
      </w:pPr>
      <w:r>
        <w:rPr>
          <w:rFonts w:ascii="Arial" w:cs="Arial" w:eastAsia="Arial" w:hAnsi="Arial"/>
          <w:sz w:val="17"/>
          <w:szCs w:val="17"/>
          <w:color w:val="auto"/>
        </w:rPr>
        <w:t>During the three months ended March 31, 2021, there were no amounts outstanding under the 2020 Credit Facility. At March 31, 2021, we were in compliance with the financial covenant and our borrowing capacity was reduced by $5.5 million related to standby letters of credit.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47"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Under the evergreen provision in our 2018 Equity Incentive Plan ("2018 Plan"), in January 2021 we reserved an additional 5,185,762 shares of our common stock for issuance. At March 31, 2021, there were 20,955,023 shares available for grant under the 2018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included in the consolidated statements of operations was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6"/>
                <w:szCs w:val="16"/>
                <w:b w:val="1"/>
                <w:bCs w:val="1"/>
                <w:color w:val="auto"/>
              </w:rPr>
              <w:t>Three Months Ended March 31,</w:t>
            </w: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4,496</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4,844</w:t>
            </w:r>
          </w:p>
        </w:tc>
      </w:tr>
      <w:tr>
        <w:trPr>
          <w:trHeight w:val="24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At March 31, 2021, the unrecognized stock-based compensation expense related to unvested restricted stock units ("RSUs") was $186.1 million, which is expected to be recognized over an estimated remaining weighted average period of 3.2 years.</w:t>
      </w:r>
    </w:p>
    <w:p>
      <w:pPr>
        <w:spacing w:after="0" w:line="198"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At March 31, 2021, the unrecognized stock-based compensation expense related to outstanding stock options was $8.1 million, which is expected to be recognized over an estimated remaining weighted average period of 1.1 years.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and RSUs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restricted stock and RSU activity is presented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00" w:type="dxa"/>
            <w:vAlign w:val="bottom"/>
          </w:tcPr>
          <w:p>
            <w:pPr>
              <w:spacing w:after="0"/>
              <w:rPr>
                <w:sz w:val="18"/>
                <w:szCs w:val="18"/>
                <w:color w:val="auto"/>
              </w:rPr>
            </w:pPr>
          </w:p>
        </w:tc>
        <w:tc>
          <w:tcPr>
            <w:tcW w:w="3100" w:type="dxa"/>
            <w:vAlign w:val="bottom"/>
            <w:gridSpan w:val="7"/>
          </w:tcPr>
          <w:p>
            <w:pPr>
              <w:ind w:left="840"/>
              <w:spacing w:after="0"/>
              <w:rPr>
                <w:sz w:val="20"/>
                <w:szCs w:val="20"/>
                <w:color w:val="auto"/>
              </w:rPr>
            </w:pPr>
            <w:r>
              <w:rPr>
                <w:rFonts w:ascii="Arial" w:cs="Arial" w:eastAsia="Arial" w:hAnsi="Arial"/>
                <w:sz w:val="16"/>
                <w:szCs w:val="16"/>
                <w:b w:val="1"/>
                <w:bCs w:val="1"/>
                <w:color w:val="auto"/>
              </w:rPr>
              <w:t>Restricted Stock</w:t>
            </w:r>
          </w:p>
        </w:tc>
        <w:tc>
          <w:tcPr>
            <w:tcW w:w="2940" w:type="dxa"/>
            <w:vAlign w:val="bottom"/>
            <w:gridSpan w:val="4"/>
          </w:tcPr>
          <w:p>
            <w:pPr>
              <w:jc w:val="right"/>
              <w:ind w:right="1174"/>
              <w:spacing w:after="0"/>
              <w:rPr>
                <w:sz w:val="20"/>
                <w:szCs w:val="20"/>
                <w:color w:val="auto"/>
              </w:rPr>
            </w:pPr>
            <w:r>
              <w:rPr>
                <w:rFonts w:ascii="Arial" w:cs="Arial" w:eastAsia="Arial" w:hAnsi="Arial"/>
                <w:sz w:val="16"/>
                <w:szCs w:val="16"/>
                <w:b w:val="1"/>
                <w:bCs w:val="1"/>
                <w:color w:val="auto"/>
              </w:rPr>
              <w:t>RSUs</w:t>
            </w:r>
          </w:p>
        </w:tc>
        <w:tc>
          <w:tcPr>
            <w:tcW w:w="0" w:type="dxa"/>
            <w:vAlign w:val="bottom"/>
          </w:tcPr>
          <w:p>
            <w:pPr>
              <w:spacing w:after="0"/>
              <w:rPr>
                <w:sz w:val="1"/>
                <w:szCs w:val="1"/>
                <w:color w:val="auto"/>
              </w:rPr>
            </w:pPr>
          </w:p>
        </w:tc>
      </w:tr>
      <w:tr>
        <w:trPr>
          <w:trHeight w:val="158"/>
        </w:trPr>
        <w:tc>
          <w:tcPr>
            <w:tcW w:w="520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99"/>
              </w:rPr>
              <w:t>Weighted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54"/>
              <w:spacing w:after="0" w:line="158" w:lineRule="exact"/>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right="280"/>
              <w:spacing w:after="0" w:line="162" w:lineRule="exact"/>
              <w:rPr>
                <w:sz w:val="20"/>
                <w:szCs w:val="20"/>
                <w:color w:val="auto"/>
              </w:rPr>
            </w:pPr>
            <w:r>
              <w:rPr>
                <w:rFonts w:ascii="Arial" w:cs="Arial" w:eastAsia="Arial" w:hAnsi="Arial"/>
                <w:sz w:val="16"/>
                <w:szCs w:val="16"/>
                <w:b w:val="1"/>
                <w:bCs w:val="1"/>
                <w:color w:val="auto"/>
              </w:rPr>
              <w:t>Average</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54"/>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5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for per share data)</w:t>
            </w:r>
          </w:p>
        </w:tc>
        <w:tc>
          <w:tcPr>
            <w:tcW w:w="1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right="260"/>
              <w:spacing w:after="0" w:line="162" w:lineRule="exact"/>
              <w:rPr>
                <w:sz w:val="20"/>
                <w:szCs w:val="20"/>
                <w:color w:val="auto"/>
              </w:rPr>
            </w:pPr>
            <w:r>
              <w:rPr>
                <w:rFonts w:ascii="Arial" w:cs="Arial" w:eastAsia="Arial" w:hAnsi="Arial"/>
                <w:sz w:val="16"/>
                <w:szCs w:val="16"/>
                <w:b w:val="1"/>
                <w:bCs w:val="1"/>
                <w:color w:val="auto"/>
              </w:rPr>
              <w:t>Grant Date Fair</w:t>
            </w: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54"/>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CCEEFF"/>
            </w:tcBorders>
            <w:vMerge w:val="continue"/>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Shares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8"/>
              </w:rPr>
              <w:t>Value</w:t>
            </w:r>
          </w:p>
        </w:tc>
        <w:tc>
          <w:tcPr>
            <w:tcW w:w="140" w:type="dxa"/>
            <w:vAlign w:val="bottom"/>
            <w:tcBorders>
              <w:bottom w:val="single" w:sz="8" w:color="CCEEFF"/>
            </w:tcBorders>
            <w:gridSpan w:val="2"/>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Shares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Unvested balance at December 31, 2020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gridSpan w:val="4"/>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Unvested balance at March 31,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b w:val="1"/>
                <w:bCs w:val="1"/>
                <w:i w:val="1"/>
                <w:iCs w:val="1"/>
                <w:color w:val="auto"/>
              </w:rPr>
              <w:t>Stock Options</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2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0" w:type="dxa"/>
            <w:vAlign w:val="bottom"/>
          </w:tcPr>
          <w:p>
            <w:pPr>
              <w:ind w:left="340"/>
              <w:spacing w:after="0"/>
              <w:rPr>
                <w:sz w:val="20"/>
                <w:szCs w:val="20"/>
                <w:color w:val="auto"/>
              </w:rPr>
            </w:pPr>
            <w:r>
              <w:rPr>
                <w:rFonts w:ascii="Arial" w:cs="Arial" w:eastAsia="Arial" w:hAnsi="Arial"/>
                <w:sz w:val="18"/>
                <w:szCs w:val="18"/>
                <w:color w:val="auto"/>
              </w:rPr>
              <w:t>A summary of our stock option activity is presented below:</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vMerge w:val="restart"/>
          </w:tcPr>
          <w:p>
            <w:pPr>
              <w:jc w:val="center"/>
              <w:ind w:right="280"/>
              <w:spacing w:after="0"/>
              <w:rPr>
                <w:sz w:val="20"/>
                <w:szCs w:val="20"/>
                <w:color w:val="auto"/>
              </w:rPr>
            </w:pPr>
            <w:r>
              <w:rPr>
                <w:rFonts w:ascii="Arial" w:cs="Arial" w:eastAsia="Arial" w:hAnsi="Arial"/>
                <w:sz w:val="16"/>
                <w:szCs w:val="16"/>
                <w:b w:val="1"/>
                <w:bCs w:val="1"/>
                <w:color w:val="auto"/>
                <w:w w:val="99"/>
              </w:rPr>
              <w:t>Weighted</w:t>
            </w: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Average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center"/>
              <w:ind w:right="54"/>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for exercise prices and years)</w:t>
            </w:r>
          </w:p>
        </w:tc>
        <w:tc>
          <w:tcPr>
            <w:tcW w:w="1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right="280"/>
              <w:spacing w:after="0" w:line="162" w:lineRule="exact"/>
              <w:rPr>
                <w:sz w:val="20"/>
                <w:szCs w:val="20"/>
                <w:color w:val="auto"/>
              </w:rPr>
            </w:pPr>
            <w:r>
              <w:rPr>
                <w:rFonts w:ascii="Arial" w:cs="Arial" w:eastAsia="Arial" w:hAnsi="Arial"/>
                <w:sz w:val="16"/>
                <w:szCs w:val="16"/>
                <w:b w:val="1"/>
                <w:bCs w:val="1"/>
                <w:color w:val="auto"/>
              </w:rPr>
              <w:t>Average</w:t>
            </w: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Contractual Term</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200" w:type="dxa"/>
            <w:vAlign w:val="bottom"/>
            <w:tcBorders>
              <w:bottom w:val="single" w:sz="8" w:color="CCEEFF"/>
            </w:tcBorders>
            <w:vMerge w:val="continue"/>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Shares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rPr>
              <w:t>Exercise Price</w:t>
            </w:r>
          </w:p>
        </w:tc>
        <w:tc>
          <w:tcPr>
            <w:tcW w:w="14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December 31, 2020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412,547</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23,631</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Forfeited/canceled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14.74</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at March 31,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242,384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192,978</w:t>
            </w:r>
          </w:p>
        </w:tc>
        <w:tc>
          <w:tcPr>
            <w:tcW w:w="0" w:type="dxa"/>
            <w:vAlign w:val="bottom"/>
          </w:tcPr>
          <w:p>
            <w:pPr>
              <w:spacing w:after="0" w:line="20" w:lineRule="exact"/>
              <w:rPr>
                <w:sz w:val="1"/>
                <w:szCs w:val="1"/>
                <w:color w:val="auto"/>
              </w:rPr>
            </w:pPr>
          </w:p>
        </w:tc>
      </w:tr>
      <w:tr>
        <w:trPr>
          <w:trHeight w:val="204"/>
        </w:trPr>
        <w:tc>
          <w:tcPr>
            <w:tcW w:w="5200" w:type="dxa"/>
            <w:vAlign w:val="bottom"/>
          </w:tcPr>
          <w:p>
            <w:pPr>
              <w:ind w:left="180"/>
              <w:spacing w:after="0" w:line="203" w:lineRule="exact"/>
              <w:rPr>
                <w:sz w:val="20"/>
                <w:szCs w:val="20"/>
                <w:color w:val="auto"/>
              </w:rPr>
            </w:pPr>
            <w:r>
              <w:rPr>
                <w:rFonts w:ascii="Arial" w:cs="Arial" w:eastAsia="Arial" w:hAnsi="Arial"/>
                <w:sz w:val="18"/>
                <w:szCs w:val="18"/>
                <w:color w:val="auto"/>
              </w:rPr>
              <w:t>Exercisable at March 31, 2021</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6,545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6.70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jc w:val="center"/>
              <w:spacing w:after="0" w:line="203" w:lineRule="exact"/>
              <w:rPr>
                <w:sz w:val="20"/>
                <w:szCs w:val="20"/>
                <w:color w:val="auto"/>
              </w:rPr>
            </w:pPr>
            <w:r>
              <w:rPr>
                <w:rFonts w:ascii="Arial" w:cs="Arial" w:eastAsia="Arial" w:hAnsi="Arial"/>
                <w:sz w:val="18"/>
                <w:szCs w:val="18"/>
                <w:color w:val="auto"/>
              </w:rPr>
              <w:t>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2021, there were 8.8 million stock options that were vested and expected to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247"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Under the evergreen provision in our 2018 Employee Stock Purchase Plan ("2018 ESPP"), in January 2021 we reserved an additional 1,555,728 shares of our common stock for issuance. At March 31, 2021, there were 6,587,717 shares reserved for issuance under the 2018 ESPP.</w:t>
      </w:r>
    </w:p>
    <w:p>
      <w:pPr>
        <w:spacing w:after="0" w:line="202"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In the three months ended March 31, 2021, employees purchased 399,187 shares of our common stock at a weighted average price of $20.16 per share, resulting in $8.0 million of cash proceeds.</w:t>
      </w:r>
    </w:p>
    <w:p>
      <w:pPr>
        <w:spacing w:after="0" w:line="198"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At March 31, 2021, there was $1.3 million of employee contributions to the 2018 ESPP included in accrued compensation. At March 31, 2021, the unrecognized stock-based compensation expense related to our 2018 ESPP was $4.3 million, which is expected to be recognized over an estimated weighted average period of 0.7 years.</w:t>
      </w:r>
    </w:p>
    <w:p>
      <w:pPr>
        <w:spacing w:after="0" w:line="202" w:lineRule="exact"/>
        <w:rPr>
          <w:sz w:val="20"/>
          <w:szCs w:val="20"/>
          <w:color w:val="auto"/>
        </w:rPr>
      </w:pPr>
    </w:p>
    <w:p>
      <w:pPr>
        <w:ind w:right="520" w:firstLine="324"/>
        <w:spacing w:after="0" w:line="261" w:lineRule="auto"/>
        <w:rPr>
          <w:sz w:val="20"/>
          <w:szCs w:val="20"/>
          <w:color w:val="auto"/>
        </w:rPr>
      </w:pPr>
      <w:r>
        <w:rPr>
          <w:rFonts w:ascii="Arial" w:cs="Arial" w:eastAsia="Arial" w:hAnsi="Arial"/>
          <w:sz w:val="18"/>
          <w:szCs w:val="18"/>
          <w:color w:val="auto"/>
        </w:rPr>
        <w:t>The fair value of the 2018 ESPP purchase rights was estimated on the offering or modification dates using a Black-Scholes option-pricing model and the following assumptions: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980" w:type="dxa"/>
            <w:vAlign w:val="bottom"/>
            <w:tcBorders>
              <w:bottom w:val="single" w:sz="8" w:color="auto"/>
            </w:tcBorders>
          </w:tcPr>
          <w:p>
            <w:pPr>
              <w:spacing w:after="0"/>
              <w:rPr>
                <w:sz w:val="18"/>
                <w:szCs w:val="18"/>
                <w:color w:val="auto"/>
              </w:rPr>
            </w:pPr>
          </w:p>
        </w:tc>
      </w:tr>
      <w:tr>
        <w:trPr>
          <w:trHeight w:val="212"/>
        </w:trPr>
        <w:tc>
          <w:tcPr>
            <w:tcW w:w="676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gridSpan w:val="2"/>
          </w:tcPr>
          <w:p>
            <w:pPr>
              <w:jc w:val="right"/>
              <w:ind w:right="8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2020</w:t>
            </w:r>
          </w:p>
        </w:tc>
      </w:tr>
      <w:tr>
        <w:trPr>
          <w:trHeight w:val="224"/>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jc w:val="right"/>
              <w:spacing w:after="0"/>
              <w:rPr>
                <w:sz w:val="20"/>
                <w:szCs w:val="20"/>
                <w:color w:val="auto"/>
              </w:rPr>
            </w:pPr>
            <w:r>
              <w:rPr>
                <w:rFonts w:ascii="Arial" w:cs="Arial" w:eastAsia="Arial" w:hAnsi="Arial"/>
                <w:sz w:val="18"/>
                <w:szCs w:val="18"/>
                <w:color w:val="auto"/>
              </w:rPr>
              <w:t>52.0%</w:t>
            </w: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 59.4%</w:t>
            </w:r>
          </w:p>
        </w:tc>
        <w:tc>
          <w:tcPr>
            <w:tcW w:w="980" w:type="dxa"/>
            <w:vAlign w:val="bottom"/>
          </w:tcPr>
          <w:p>
            <w:pPr>
              <w:jc w:val="right"/>
              <w:spacing w:after="0"/>
              <w:rPr>
                <w:sz w:val="20"/>
                <w:szCs w:val="20"/>
                <w:color w:val="auto"/>
              </w:rPr>
            </w:pPr>
            <w:r>
              <w:rPr>
                <w:rFonts w:ascii="Arial" w:cs="Arial" w:eastAsia="Arial" w:hAnsi="Arial"/>
                <w:sz w:val="18"/>
                <w:szCs w:val="18"/>
                <w:color w:val="auto"/>
              </w:rPr>
              <w:t>41.6%</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20"/>
              <w:spacing w:after="0"/>
              <w:rPr>
                <w:sz w:val="20"/>
                <w:szCs w:val="20"/>
                <w:color w:val="auto"/>
              </w:rPr>
            </w:pPr>
            <w:r>
              <w:rPr>
                <w:rFonts w:ascii="Arial" w:cs="Arial" w:eastAsia="Arial" w:hAnsi="Arial"/>
                <w:sz w:val="18"/>
                <w:szCs w:val="18"/>
                <w:color w:val="auto"/>
              </w:rPr>
              <w:t>47.9%</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18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0.9%</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98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spacing w:after="0"/>
              <w:rPr>
                <w:sz w:val="19"/>
                <w:szCs w:val="19"/>
                <w:color w:val="auto"/>
              </w:rPr>
            </w:pPr>
          </w:p>
        </w:tc>
      </w:tr>
    </w:tbl>
    <w:p>
      <w:pPr>
        <w:spacing w:after="0" w:line="296"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As we now have sufficient history as a public company, in the three months ended March 31, 2021 we began using the volatility of our common stock to calculate expected volatility. Previously, we used the volatility of the common stock of similar peer companies.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6"/>
                <w:szCs w:val="16"/>
                <w:b w:val="1"/>
                <w:bCs w:val="1"/>
                <w:color w:val="auto"/>
              </w:rPr>
              <w:t>Three Months Ended March 31,</w:t>
            </w: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used to compute net loss per share</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98,855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60" w:type="dxa"/>
            <w:vAlign w:val="bottom"/>
          </w:tcPr>
          <w:p>
            <w:pPr>
              <w:ind w:left="20"/>
              <w:spacing w:after="0" w:line="203" w:lineRule="exact"/>
              <w:rPr>
                <w:sz w:val="20"/>
                <w:szCs w:val="20"/>
                <w:color w:val="auto"/>
              </w:rPr>
            </w:pPr>
            <w:r>
              <w:rPr>
                <w:rFonts w:ascii="Arial" w:cs="Arial" w:eastAsia="Arial" w:hAnsi="Arial"/>
                <w:sz w:val="18"/>
                <w:szCs w:val="18"/>
                <w:color w:val="auto"/>
              </w:rPr>
              <w:t>Net loss per share, basic and diluted</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(0.23)</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The following potentially dilutive securities have been excluded from the diluted per share calculations because they would have been antidilutive: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296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6"/>
                <w:szCs w:val="16"/>
                <w:b w:val="1"/>
                <w:bCs w:val="1"/>
                <w:color w:val="auto"/>
              </w:rPr>
              <w:t>Three Months Ended March 31,</w:t>
            </w:r>
          </w:p>
        </w:tc>
      </w:tr>
      <w:tr>
        <w:trPr>
          <w:trHeight w:val="21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4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12,114</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RSUs</w:t>
            </w:r>
          </w:p>
        </w:tc>
        <w:tc>
          <w:tcPr>
            <w:tcW w:w="1420" w:type="dxa"/>
            <w:vAlign w:val="bottom"/>
          </w:tcPr>
          <w:p>
            <w:pPr>
              <w:jc w:val="right"/>
              <w:spacing w:after="0"/>
              <w:rPr>
                <w:sz w:val="20"/>
                <w:szCs w:val="20"/>
                <w:color w:val="auto"/>
              </w:rPr>
            </w:pPr>
            <w:r>
              <w:rPr>
                <w:rFonts w:ascii="Arial" w:cs="Arial" w:eastAsia="Arial" w:hAnsi="Arial"/>
                <w:sz w:val="18"/>
                <w:szCs w:val="18"/>
                <w:color w:val="auto"/>
              </w:rPr>
              <w:t>5,716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5,450</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to be issued under the 2018 ESPP</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48"/>
        </w:trPr>
        <w:tc>
          <w:tcPr>
            <w:tcW w:w="82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47" w:lineRule="exact"/>
        <w:rPr>
          <w:sz w:val="20"/>
          <w:szCs w:val="20"/>
          <w:color w:val="auto"/>
        </w:rPr>
      </w:pPr>
    </w:p>
    <w:p>
      <w:pPr>
        <w:jc w:val="both"/>
        <w:ind w:right="560" w:firstLine="324"/>
        <w:spacing w:after="0" w:line="253" w:lineRule="auto"/>
        <w:rPr>
          <w:sz w:val="20"/>
          <w:szCs w:val="20"/>
          <w:color w:val="auto"/>
        </w:rPr>
      </w:pPr>
      <w:r>
        <w:rPr>
          <w:rFonts w:ascii="Arial" w:cs="Arial" w:eastAsia="Arial" w:hAnsi="Arial"/>
          <w:sz w:val="18"/>
          <w:szCs w:val="18"/>
          <w:color w:val="auto"/>
        </w:rPr>
        <w:t>The provision for income taxes included income taxes in certain foreign jurisdictions in which we conduct business and the related withholding taxes on sales with customers. The provision for the three months ended March 31, 2021 was impacted by discrete items, including $2.8 million of current expense from the restructuring of our research and development operations in Israel partially offset by $2.6 million of discrete benefits, primarily related to a Supreme Court decision in India on the taxability of software license payments to nonresidents and the associated withholding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Geographic Information</w:t>
      </w:r>
    </w:p>
    <w:p>
      <w:pPr>
        <w:spacing w:after="0" w:line="247"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We operate as one operating segment. Our Chief Executive Officer, who is our chief operating decision maker, reviews financial information on a consolidated basis for purposes of making operating decisions, allocating resources, and evaluating financial performance.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by region, based on the address of the end user as specified in our subscription, license or service agreements,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6"/>
                <w:szCs w:val="16"/>
                <w:b w:val="1"/>
                <w:bCs w:val="1"/>
                <w:color w:val="auto"/>
              </w:rPr>
              <w:t>Three Months Ended March 31,</w:t>
            </w: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Americas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69,314</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23,550</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9,784</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123,189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102,648</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Customers located in the United States accounted for 59% and 62% of revenue in the three months ended March 31, 2021 and 2020, respectively. No other country accounted for 10% or more of revenue in the periods presented.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property and equipment, net by geographic area is summarized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6"/>
                <w:szCs w:val="16"/>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Pr>
          <w:p>
            <w:pPr>
              <w:spacing w:after="0"/>
              <w:rPr>
                <w:sz w:val="16"/>
                <w:szCs w:val="16"/>
                <w:color w:val="auto"/>
              </w:rPr>
            </w:pPr>
          </w:p>
        </w:tc>
        <w:tc>
          <w:tcPr>
            <w:tcW w:w="1280" w:type="dxa"/>
            <w:vAlign w:val="bottom"/>
          </w:tcPr>
          <w:p>
            <w:pPr>
              <w:jc w:val="right"/>
              <w:ind w:right="11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8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4"/>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April 2021, we acquired Alsid SAS ("Alsid"), a leader in active directory security. Active directory is the basis for managing user permissions across on-premises and hybrid cloud deployments and is foundational to the security of cloud workloads, security remote work, and adopting zero trust architectures. We acquired Alsid for a total purchase price of $98 million in cash, subject to customary purchase price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(1) our consolidated financial statements and related notes included elsewhere in this Quarterly Report on Form 10-Q, or this Form 10-Q, and (2) our consolidated financial statements, related notes and management's discussion and analysis of financial condition and results of operations in our Annual Report on Form 10-K for the year ended December 31, 2020, or the 10-K, filed with the Securities and Exchange Commission on February 23, 2021. This Form 10-Q contains forward-looking statements within the meaning of Section 27A of the Securities Act of 1933, as amended, or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II, Item 1A of this Form 10-Q and in our other filings with the SEC. Such risks and uncertainties may be amplified by the COVID-19 pandemic and its potential impact on our business and the global economy.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740" w:firstLine="324"/>
        <w:spacing w:after="0" w:line="261" w:lineRule="auto"/>
        <w:rPr>
          <w:sz w:val="20"/>
          <w:szCs w:val="20"/>
          <w:color w:val="auto"/>
        </w:rPr>
      </w:pPr>
      <w:r>
        <w:rPr>
          <w:rFonts w:ascii="Arial" w:cs="Arial" w:eastAsia="Arial" w:hAnsi="Arial"/>
          <w:sz w:val="18"/>
          <w:szCs w:val="18"/>
          <w:color w:val="auto"/>
        </w:rPr>
        <w:t>We are a leading provider of Cyber Exposure solutions. Cyber Exposure is a discipline for managing, measuring and comparing cybersecurity risk in the digital era.</w:t>
      </w:r>
    </w:p>
    <w:p>
      <w:pPr>
        <w:spacing w:after="0" w:line="19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enterprise platform offerings include Tenable.io, which is our cloud-delivered software as a service, or SaaS, offering and Tenable.sc, which is our on-premises offering, both of which provide organizations with a risk-based view of traditional and modern attack surfaces. These applications are designed with views, workflows and dashboards to deliver a complete and continuous view of all assets, both known and previously unknown, and any associated vulnerabilities, internal and regulatory compliance violations, misconfigurations and other cybersecurity issues, prioritize these issues for remediation based on risk assessment and predictive analytics, and provide insightful remediation guidance.</w:t>
      </w:r>
    </w:p>
    <w:p>
      <w:pPr>
        <w:spacing w:after="0" w:line="20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Our enterprise platform offerings also include Tenable.ot, which is our on-premises solution that provides threat detection and mitigation, asset tracking, vulnerability management, and configuration control capabilities to protect operational technology, or OT, environments, including industrial networks. Tenable.ot is sold as a stand-alone solution and integrates with Tenable.io and Tenable.sc.</w:t>
      </w:r>
    </w:p>
    <w:p>
      <w:pPr>
        <w:spacing w:after="0" w:line="20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Our enterprise platform offerings are primarily sold on a subscription basis with a one-year term. Our subscription terms are generally not longer than three years. These offerings are typically prepaid in advance. To a lesser extent, we recognize revenue ratably from perpetual licenses and from the related ongoing maintenance.</w:t>
      </w:r>
    </w:p>
    <w:p>
      <w:pPr>
        <w:spacing w:after="0" w:line="20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enterprise platform offerings to our distributors, which in turn sell to our resellers, which then sell to end users, which we call customers.</w:t>
      </w:r>
    </w:p>
    <w:p>
      <w:pPr>
        <w:spacing w:after="0" w:line="20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Many of our enterprise platform customers initially use either our free or paid version of Nessus, one of the most widely deployed vulnerability assessment solutions in the cybersecurity industry. Nessus, which is the technology that underpins our enterprise platform offerings, is designed to quickly and accurately identify security vulnerabilities, configuration issues and malware. Our free version of Nessus, Nessus Essentials, allows for vulnerability assessment over a limited number of IP addresses. We believe many of our Nessus customers begin with Nessus Essentials and subsequently upgrade to Nessus Professional, the paid version of Nessus; however, we expect a significant number of users to continue to use Nessus Essentials.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There have been more than 2.5 million cumulative unique downloads, which refers to an individual email address utilized to register for the use of Nessus Essentials. We believe that the cumulative number of unique downloads of the free version of Nessus is representative of our brand recognition among cybersecurity professionals and that continued growth in this number suggests broader awareness among potential customers. While we believe that the cumulative number of unique downloads may provide an indication of the growth and scale of our thought leadership and brand awareness, we do not expect this metric to necessarily correlate to future revenue growth opportunities, and we do not consider this metric a measure of our operating performance.</w:t>
      </w:r>
    </w:p>
    <w:p>
      <w:pPr>
        <w:spacing w:after="0" w:line="20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Revenue in the three months ended March 31, 2021 and 2020 was $ 123.2 million and $102.6 million, respectively, representing year-over-year growth of 20%. Our recurring revenue, which includes revenue from subscription arrangements for software and cloud-based solutions and maintenance associated with perpetual licenses, represented 94%, and 93% of revenue in the three months ended March 31, 2021 and 2020, respectively. Our net loss in the three months ended March 31, 2021 and 2020 was $7.7 million and $ 23.0 million, respectively, as we continue to invest in our business and market opportunity. Our cash flows from operating activities were $38.6 million and $4.5 million in the three months ended March 31, 2021 and 2020, respectively.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 Update</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continue to monitor the impact of the COVID-19 pandemic on our customers, partners, employees and service providers. While in the near term we may experience reductions in our billing and revenue growth rates, we are proactively managing our expenditures, including reductions of non-critical and discretionary expenses such as travel, meeting and facility usage costs, while preserving strategic investments in sales capacity and research and development. This has and may continue to result in improved leverage related to gross margins as well as sales and marketing, research and development, and general and administrative expenses as a percent of revenue. The full extent to which the COVID-19 pandemic will impact our business and operations will depend on future developments that are highly uncertain. We expect to incur additional costs when we resume business-related travel and employees return to our office locations, the timing and extent of which remains unknown. For additional information on the potential effects of the COVID-19 pandemic on our business, financial condition and results of operations, see the "Liquidity and Capital Resources" section below and “Risk Factors” in Part II, Item 1A of this Form 10-Q.</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are our key financial results: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6"/>
                <w:szCs w:val="16"/>
                <w:b w:val="1"/>
                <w:bCs w:val="1"/>
                <w:color w:val="auto"/>
              </w:rPr>
              <w:t>Three Months Ended March 31,</w:t>
            </w: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102,648</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(21,672)</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(22,977)</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30"/>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(614)</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Leadership</w:t>
      </w:r>
    </w:p>
    <w:p>
      <w:pPr>
        <w:spacing w:after="0" w:line="2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enterprise platform offerings provide visibility into the broadest range of traditional and modern IT assets across cloud and on-premises environments. We are intensely focused on continued innovation and ongoing development of our enterprise platform offerings that empower organizations to understand and reduce their cyber exposure. Additionally, we continue to expand the capabilities of our Nessus products, specifically as they relate to the ability to scan for and detect the rapidly expanding volume of vulnerabilities.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We intend to continue to invest in our engineering capabilities and marketing activities to maintain our position in the highly-competitive market for cybersecurity solutions. Our results of operations may fluctuate as we make these investments to drive increased customer adoption and usage.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Enterprise Platform Customer Acquisition</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and that our ability to continue to grow the number of enterprise platform customers will increase future opportunities for renewals and follow-on sales. We believe that we have significant room to increase our market share.</w:t>
      </w:r>
    </w:p>
    <w:p>
      <w:pPr>
        <w:spacing w:after="0" w:line="202"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expect to grow our enterprise platform customers by continuing to expand our sales organization and leveraging our channel partner network, which we believe will allow us to identify new enterprise customers, enter new markets, including internationally, as well as to convert more of our existing Nessus Professional customers to enterprise platform customers.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invest in our partner network and sales and marketing capability in order to grow domestically and internationally.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Retaining and Expanding Revenue from Existing Customers</w:t>
      </w:r>
    </w:p>
    <w:p>
      <w:pPr>
        <w:spacing w:after="0" w:line="247"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enterprise platform offerings utilize IT asset-based or IP address-based pricing models. Once enterprise customers have licensed our platform offerings, they typically seek broader coverage over their traditional IT assets, including networking infrastructure, desktops and on-premises servers. As customers launch new applications or migrate existing applications to the cloud and deploy web applications, containers, IoT and OT, they often increase the scope of their subscriptions and/or add additional perpetual licenses to our enterprise platforms.</w:t>
      </w:r>
    </w:p>
    <w:p>
      <w:pPr>
        <w:spacing w:after="0" w:line="20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are also focused on upselling customers from Nessus Professional to our enterprise platform offerings. Nessus Professional customers are typically organizations or independent security consultants that use Nessus Professional for a single vulnerability assessment at a point in time. We seek to convert these customers to our enterprise platform offerings, which provide continuous visibility and insights into their attack surface, as their needs develop.</w:t>
      </w:r>
    </w:p>
    <w:p>
      <w:pPr>
        <w:spacing w:after="0" w:line="2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Further, we plan to expand existing platform capabilities and launch new products, which we believe will drive new product purchases and follow-on purchases over time, thereby contributing to customer renewals. We believe that there is a significant opportunity to drive additional sales to existing customers, and we expect to invest in sales and marketing and customer success personnel and activities to achieve additional revenue growth from existing customers. However, our ability to increase sales to existing customers will depend on a number of factors, including satisfaction or dissatisfaction with our products and services, competition, pricing, current economic conditions or overall changes in our and our clients' spending levels.</w:t>
      </w:r>
    </w:p>
    <w:p>
      <w:pPr>
        <w:spacing w:after="0" w:line="208"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color w:val="auto"/>
        </w:rPr>
        <w:t>We evaluate our ability to expand sales with existing customers by assessing our dollar-based net expansion rate on a last twelve months, or LTM, basis. We have historically calculated our dollar-based net expansion rate as follows:</w:t>
      </w:r>
    </w:p>
    <w:p>
      <w:pPr>
        <w:spacing w:after="0" w:line="198" w:lineRule="exact"/>
        <w:rPr>
          <w:sz w:val="20"/>
          <w:szCs w:val="20"/>
          <w:color w:val="auto"/>
        </w:rPr>
      </w:pPr>
    </w:p>
    <w:p>
      <w:pPr>
        <w:ind w:left="660" w:right="120" w:hanging="247"/>
        <w:spacing w:after="0" w:line="25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Denominator: To calculate our dollar-based net expansion rate as of the end of a reporting period, we first determine the annual recurring revenue, or ARR, from all active subscriptions and maintenance from perpetual licenses as of the last day of the same reporting period in the prior year. This represents recurring payments that we expect to receive in the next 12-month period from the cohort of customers that existed on the last day of the same reporting period in the prior year.</w:t>
      </w:r>
    </w:p>
    <w:p>
      <w:pPr>
        <w:spacing w:after="0" w:line="203" w:lineRule="exact"/>
        <w:rPr>
          <w:rFonts w:ascii="Arial" w:cs="Arial" w:eastAsia="Arial" w:hAnsi="Arial"/>
          <w:sz w:val="18"/>
          <w:szCs w:val="18"/>
          <w:color w:val="auto"/>
        </w:rPr>
      </w:pPr>
    </w:p>
    <w:p>
      <w:pPr>
        <w:ind w:left="660" w:right="140" w:hanging="247"/>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Numerator: We measure the ARR for that same cohort of customers representing all subscriptions and maintenance from perpetual licenses based on customer orders as of the end of the reporting period.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calculate dollar-based net expansion rate by dividing the numerator by the denominator.</w:t>
      </w:r>
    </w:p>
    <w:p>
      <w:pPr>
        <w:spacing w:after="0" w:line="225"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Our dollar-based net expansion rate for the three-months ended March 31, 2021 exceeded 110% on an LTM basis, which was impacted by a more moderate pace of IT asset and IP address expansion in the current economic</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environment, and declined from the comparable prior year period. Our dollar-based net expansion rate may decline further or fluctuate from quarter to quarter if our existing customers choose to reduce or delay technology spending in response to economic conditions resulting from the COVID-19 pandemic, or as a result of a number of other factors, including our existing customers' satisfaction with our solutions, the pricing of our solutions and the ability of competing solutions and the pricing thereof.</w:t>
      </w:r>
    </w:p>
    <w:p>
      <w:pPr>
        <w:spacing w:after="0" w:line="2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recently utilized an alternative dollar-based net expansion rate to assess our ability to expand sales with existing customers and evaluate the performance of our sales team. This alternative dollar-based net expansion rate is based on the methodology described above, but excludes the annual contract value of prior period multiyear sales from ARR in the numerator and the denominator of the calculation. We believe this methodology more closely aligns with the renewal and expansion goals established for our sales team, because it measures net expansion by customers with contracts up for renewal during the period. Applying this methodology would have increased the dollar-based net expansion rate by three to five percentage points for the three months ended March 31, 2020, June 30, 2020, September 30, 2020, December 31, 2020 and March 31, 2021.</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in Business Growth</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Since our founding, we have invested significantly in growing our business. We intend to continue to invest in sales and marketing to grow our sales team, expand brand and Cyber Exposure awareness and optimize our channel partner network. We also intend to continue to invest in our research and development team to further our technological leadership position in Cyber Exposure and enhance the functionality of our solutions. Any investments we make in our sales and marketing and research and development teams will occur in advance of experiencing the benefits from such investments, so it may be difficult for us to determine if we are efficiently allocating resources in those areas. We may also explore acquisitions of businesses, technology and/or development personnel that will expand and enhance the functionality of our platform offerings. These investment activities could increase our net losses over the short term if our revenue growth does not increase at higher rates. However, we expect that these investments will ultimately benefit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24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certain operating metrics and non-GAAP financial measures, as described below, to understand and evaluate our core operating and financial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GAAP.</w:t>
      </w:r>
    </w:p>
    <w:p>
      <w:pPr>
        <w:spacing w:after="0" w:line="205"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believe that these operating metrics and non-GAAP financial measures provide useful information about our operating and financial performance, enhance the overall understanding of our past performance and future prospects and allow for greater transparency with respect to important metrics used by management for financial and operational decision-making. We present these operating metrics and non-GAAP financial measures to assist investors in seeing our operating and financial performance using a management view and because we believe that these measures provide an additional tool for investors to use in comparing our core operating and financial performance over multiple periods with other companies in our industry.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Calculated Current Billings</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use the non-GAAP measure of calculated current billings, which we believe is a key metric to measure our periodic performance. Given that most of our customers pay in advance, we typically recognize a majority of the related revenue ratably over time. We use calculated current billings to measure and monitor our ability to provide our business with the working capital generated by upfront payments from our customers.</w:t>
      </w:r>
    </w:p>
    <w:p>
      <w:pPr>
        <w:spacing w:after="0" w:line="204"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Calculated current billings consists of revenue recognized in a period plus the change in current deferred revenue in the corresponding period. We believe that calculated current billings, which excludes deferred revenue for periods beyond twelve months in a customer’s contractual term, more closely correlates with annual contract value. Variability in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billings, depending on the timing of large multi-year contracts and the preference for annual billing versus multi-year upfront billing, may distort growth in one period over another.</w:t>
      </w:r>
    </w:p>
    <w:p>
      <w:pPr>
        <w:spacing w:after="0" w:line="198"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While we believe that calculated current billings provides valuable insight into the cash that will be generated from sales of our subscriptions, this metric may vary from period-to-period for a number of reasons, and therefore has a number of limitations as a quarter-to-quarter or year-over-year comparative measure. Calculated current billings in any one period may be impacted by the overall timing of sales, including early renewals, as well as the timing and amount of multi-year prepaid contracts, which could favorably or unfavorably impact year-over-year comparisons. For example, an increasing number of large sales transactions, for which the timing has and will continue to vary, may occur in quarters subsequent to or in advance of those that we anticipate. Our calculation of calculated current billings may be different from other companies that report similar financial measures. Because of these and other limitations, you should consider calculated current billings along with revenue and our other GAAP financial results.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revenue, the most directly comparable financial measure calculated in accordance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 to calculated current billings: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6"/>
                <w:szCs w:val="16"/>
                <w:b w:val="1"/>
                <w:bCs w:val="1"/>
                <w:color w:val="auto"/>
              </w:rPr>
              <w:t>Three Months Ended March 31,</w:t>
            </w: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rPr>
              <w:t>123,189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102,648</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Add: Deferred revenue (current), end of period</w:t>
            </w:r>
          </w:p>
        </w:tc>
        <w:tc>
          <w:tcPr>
            <w:tcW w:w="200" w:type="dxa"/>
            <w:vAlign w:val="bottom"/>
          </w:tcPr>
          <w:p>
            <w:pPr>
              <w:spacing w:after="0"/>
              <w:rPr>
                <w:sz w:val="19"/>
                <w:szCs w:val="19"/>
                <w:color w:val="auto"/>
              </w:rPr>
            </w:pPr>
          </w:p>
        </w:tc>
        <w:tc>
          <w:tcPr>
            <w:tcW w:w="1220" w:type="dxa"/>
            <w:vAlign w:val="bottom"/>
          </w:tcPr>
          <w:p>
            <w:pPr>
              <w:jc w:val="center"/>
              <w:ind w:left="353"/>
              <w:spacing w:after="0"/>
              <w:rPr>
                <w:sz w:val="20"/>
                <w:szCs w:val="20"/>
                <w:color w:val="auto"/>
              </w:rPr>
            </w:pPr>
            <w:r>
              <w:rPr>
                <w:rFonts w:ascii="Arial" w:cs="Arial" w:eastAsia="Arial" w:hAnsi="Arial"/>
                <w:sz w:val="18"/>
                <w:szCs w:val="18"/>
                <w:color w:val="auto"/>
              </w:rPr>
              <w:t>325,113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270,916</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Deferred revenue (current),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333"/>
              <w:spacing w:after="0"/>
              <w:rPr>
                <w:sz w:val="20"/>
                <w:szCs w:val="20"/>
                <w:color w:val="auto"/>
              </w:rPr>
            </w:pPr>
            <w:r>
              <w:rPr>
                <w:rFonts w:ascii="Arial" w:cs="Arial" w:eastAsia="Arial" w:hAnsi="Arial"/>
                <w:sz w:val="18"/>
                <w:szCs w:val="18"/>
                <w:color w:val="auto"/>
                <w:w w:val="98"/>
              </w:rPr>
              <w:t>(328,819)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(274,348)</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Calculated current billings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rPr>
              <w:t>119,483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99,216</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47"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We use the non-GAAP measure of free cash flow, which we define as GAAP net cash flows from operating activities reduced by purchases of property and equipment. We believe free cash flow is an important liquidity measure of the cash (if any) that is available, after purchases of property and equipment, for investment in our business and to make acquisitions. We believe that free cash flow is useful to investors as a liquidity measure because it measures our ability to generate or use cash.</w:t>
      </w:r>
    </w:p>
    <w:p>
      <w:pPr>
        <w:spacing w:after="0" w:line="20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use of free cash flow has limitations as an analytical tool and you should not consider it in isolation or as a substitute for an analysis of our results under GAAP. First, free cash flow is not a substitute for net cash flows from operating activities. Second, other companies may calculate free cash flow or similarly titled non-GAAP financial measures differently or may use other measures to evaluate their performance, all of which could reduce the usefulness of free cash flow as a tool for comparison. Additionally, the utility of free cash flow is further limited as it does not reflect our future contractual commitments and does not represent the total increase or decrease in our cash balance for a given period. Because of these and other limitations, you should consider free cash flow along with net cash provided by operating activities and our other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The following table presents a reconciliation of net cash provided by operating activities, the most directly comparable financial measure calculated in accordance with GAAP, to free cash flow: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7"/>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20"/>
              <w:spacing w:after="0" w:line="223" w:lineRule="exact"/>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2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260" w:type="dxa"/>
            <w:vAlign w:val="bottom"/>
          </w:tcPr>
          <w:p>
            <w:pPr>
              <w:spacing w:after="0"/>
              <w:rPr>
                <w:sz w:val="20"/>
                <w:szCs w:val="20"/>
                <w:color w:val="auto"/>
              </w:rPr>
            </w:pPr>
            <w:r>
              <w:rPr>
                <w:rFonts w:ascii="Arial" w:cs="Arial" w:eastAsia="Arial" w:hAnsi="Arial"/>
                <w:sz w:val="16"/>
                <w:szCs w:val="16"/>
                <w:color w:val="auto"/>
              </w:rPr>
              <w:t>(1)  Free cash flow for the periods presented was impacted by:</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7"/>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 activity</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Acquisition-related expenses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payment on intra-entity asset transfer</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260" w:type="dxa"/>
            <w:vAlign w:val="bottom"/>
          </w:tcPr>
          <w:p>
            <w:pPr>
              <w:ind w:left="20"/>
              <w:spacing w:after="0"/>
              <w:rPr>
                <w:sz w:val="20"/>
                <w:szCs w:val="20"/>
                <w:color w:val="auto"/>
              </w:rPr>
            </w:pPr>
            <w:r>
              <w:rPr>
                <w:rFonts w:ascii="Arial" w:cs="Arial" w:eastAsia="Arial" w:hAnsi="Arial"/>
                <w:sz w:val="16"/>
                <w:szCs w:val="16"/>
                <w:color w:val="auto"/>
              </w:rPr>
              <w:t>Capital expenditures related to new headquarters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540" w:firstLine="648"/>
        <w:spacing w:after="0" w:line="260" w:lineRule="auto"/>
        <w:rPr>
          <w:sz w:val="20"/>
          <w:szCs w:val="20"/>
          <w:color w:val="auto"/>
        </w:rPr>
      </w:pPr>
      <w:r>
        <w:rPr>
          <w:rFonts w:ascii="Arial" w:cs="Arial" w:eastAsia="Arial" w:hAnsi="Arial"/>
          <w:sz w:val="16"/>
          <w:szCs w:val="16"/>
          <w:color w:val="auto"/>
        </w:rPr>
        <w:t>Free cash flow for the three months ended March 31, 2021 was benefited by approximately $5 million as a result of the accelerated timing of payments for insurance and professional fees in the three months ended December 31,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Enterprise Platform Customers</w:t>
      </w:r>
    </w:p>
    <w:p>
      <w:pPr>
        <w:spacing w:after="0" w:line="247"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The following tables summarize key components of our customer base: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r>
      <w:tr>
        <w:trPr>
          <w:trHeight w:val="212"/>
        </w:trPr>
        <w:tc>
          <w:tcPr>
            <w:tcW w:w="69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Change (%)</w:t>
            </w:r>
          </w:p>
        </w:tc>
      </w:tr>
      <w:tr>
        <w:trPr>
          <w:trHeight w:val="224"/>
        </w:trPr>
        <w:tc>
          <w:tcPr>
            <w:tcW w:w="69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Number of new enterprise platform customers added in period</w:t>
            </w:r>
            <w:r>
              <w:rPr>
                <w:rFonts w:ascii="Arial" w:cs="Arial" w:eastAsia="Arial" w:hAnsi="Arial"/>
                <w:sz w:val="23"/>
                <w:szCs w:val="23"/>
                <w:color w:val="auto"/>
                <w:vertAlign w:val="superscript"/>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920" w:type="dxa"/>
            <w:vAlign w:val="bottom"/>
            <w:gridSpan w:val="3"/>
            <w:shd w:val="clear" w:color="auto" w:fill="CCEEFF"/>
          </w:tcPr>
          <w:p>
            <w:pPr>
              <w:jc w:val="right"/>
              <w:ind w:right="439"/>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4%</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right="360" w:firstLine="8"/>
        <w:spacing w:after="0" w:line="253" w:lineRule="auto"/>
        <w:tabs>
          <w:tab w:leader="none" w:pos="378"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define an enterprise platform customer as a customer that has licensed Tenable.io, Tenable.sc or Tenable.ot for an annual amount of $5,000 or greater. New enterprise platform customers represent new customer logos during the periods presented and do not include customer conversions from Nessus Professional to enterprise platforms.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At March 31,</w:t>
            </w:r>
          </w:p>
        </w:tc>
        <w:tc>
          <w:tcPr>
            <w:tcW w:w="1360" w:type="dxa"/>
            <w:vAlign w:val="bottom"/>
            <w:tcBorders>
              <w:bottom w:val="single" w:sz="8" w:color="auto"/>
            </w:tcBorders>
          </w:tcPr>
          <w:p>
            <w:pPr>
              <w:spacing w:after="0"/>
              <w:rPr>
                <w:sz w:val="18"/>
                <w:szCs w:val="18"/>
                <w:color w:val="auto"/>
              </w:rPr>
            </w:pPr>
          </w:p>
        </w:tc>
      </w:tr>
      <w:tr>
        <w:trPr>
          <w:trHeight w:val="212"/>
        </w:trPr>
        <w:tc>
          <w:tcPr>
            <w:tcW w:w="69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Change (%)</w:t>
            </w:r>
          </w:p>
        </w:tc>
      </w:tr>
      <w:tr>
        <w:trPr>
          <w:trHeight w:val="169"/>
        </w:trPr>
        <w:tc>
          <w:tcPr>
            <w:tcW w:w="69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Number of customers with $100,000 and greater in annual contract value at end of</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17"/>
        </w:trPr>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period</w:t>
            </w:r>
          </w:p>
        </w:tc>
        <w:tc>
          <w:tcPr>
            <w:tcW w:w="136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30%</w:t>
            </w:r>
          </w:p>
        </w:tc>
      </w:tr>
    </w:tbl>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Income (Loss) from Operations and Non-GAAP Operating Margin</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use non-GAAP income (loss) from operations along with non-GAAP operating margin as key indicators of our financial performance. We define these non-GAAP financial measures as their respective GAAP measures, excluding the effects of stock-based compensation, acquisition-related expenses and amortization of acquired intangible assets. Acquisition-related expenses include transaction expenses and costs related to the transfer of acquired intellectual property.</w:t>
      </w:r>
    </w:p>
    <w:p>
      <w:pPr>
        <w:spacing w:after="0" w:line="20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believe that these non-GAAP financial measures provide useful information about our core operating results over multiple periods. There are a number of limitations related to the use of the non-GAAP financial measures as compared to GAAP loss from operations and operating margin, including that non-GAAP income (loss) from operations and non-GAAP operating margin exclude stock-based compensation expense, which has been, and will continue to be, a significant recurring expense in our business and an important part of our compensation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following table presents a reconciliation of loss from operations, the most directly comparable financial measure calculated in accordance with GAAP, to non-GAAP income (loss) from operations, and operating margin, the most directly comparable financial measure calculated in accordance with GAAP, to non-GAAP operating margin: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6"/>
                <w:szCs w:val="16"/>
                <w:b w:val="1"/>
                <w:bCs w:val="1"/>
                <w:color w:val="auto"/>
              </w:rPr>
              <w:t>Three Months Ended March 31,</w:t>
            </w:r>
          </w:p>
        </w:tc>
      </w:tr>
      <w:tr>
        <w:trPr>
          <w:trHeight w:val="21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(5,802)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(21,672)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16,952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13,035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339</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579</w:t>
            </w:r>
          </w:p>
        </w:tc>
      </w:tr>
      <w:tr>
        <w:trPr>
          <w:trHeight w:val="248"/>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Non-GAAP income (loss) from operations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13,887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(7,719)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Non-GAAP operating margin</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Net Income (Loss) and Non-GAAP Earnings (Loss) Per Share</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use non-GAAP net income (loss), which excludes the effect of stock-based compensation, acquisition-related expenses, amortization of acquired intangible assets, as well as the related tax impact, and the tax impact of intra-entity asset transfers resulting from the internal restructuring of legal entities, to calculate non-GAAP earnings (loss) per share. We believe that these non-GAAP measures provide important information to management and investors because they facilitate comparisons of our core operating results over multiple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The following table presents a reconciliation of net loss and net loss per share, the most comparable financial measures calculated in accordance with GAAP, to non-GAAP net income (loss) and non-GAAP earnings (loss) per share: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6"/>
                <w:szCs w:val="16"/>
                <w:b w:val="1"/>
                <w:bCs w:val="1"/>
                <w:color w:val="auto"/>
              </w:rPr>
              <w:t>Three Months Ended March 31,</w:t>
            </w: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for per share amounts)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13,035</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8260" w:type="dxa"/>
            <w:vAlign w:val="bottom"/>
          </w:tcPr>
          <w:p>
            <w:pPr>
              <w:ind w:left="20"/>
              <w:spacing w:after="0" w:line="230" w:lineRule="exact"/>
              <w:rPr>
                <w:sz w:val="20"/>
                <w:szCs w:val="20"/>
                <w:color w:val="auto"/>
              </w:rPr>
            </w:pPr>
            <w:r>
              <w:rPr>
                <w:rFonts w:ascii="Arial" w:cs="Arial" w:eastAsia="Arial" w:hAnsi="Arial"/>
                <w:sz w:val="18"/>
                <w:szCs w:val="18"/>
                <w:color w:val="auto"/>
              </w:rPr>
              <w:t>Acquisition-related expenses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29"/>
        </w:trPr>
        <w:tc>
          <w:tcPr>
            <w:tcW w:w="82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Tax impact of intra-entity asset transfer</w:t>
            </w:r>
            <w:r>
              <w:rPr>
                <w:rFonts w:ascii="Arial" w:cs="Arial" w:eastAsia="Arial" w:hAnsi="Arial"/>
                <w:sz w:val="23"/>
                <w:szCs w:val="23"/>
                <w:color w:val="auto"/>
                <w:vertAlign w:val="superscript"/>
              </w:rPr>
              <w:t>(3)</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Non-GAAP net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Pr>
          <w:p>
            <w:pPr>
              <w:ind w:left="20"/>
              <w:spacing w:after="0" w:line="230" w:lineRule="exact"/>
              <w:rPr>
                <w:sz w:val="20"/>
                <w:szCs w:val="20"/>
                <w:color w:val="auto"/>
              </w:rPr>
            </w:pPr>
            <w:r>
              <w:rPr>
                <w:rFonts w:ascii="Arial" w:cs="Arial" w:eastAsia="Arial" w:hAnsi="Arial"/>
                <w:sz w:val="18"/>
                <w:szCs w:val="18"/>
                <w:color w:val="auto"/>
              </w:rPr>
              <w:t>Acquisition-related expenses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8260" w:type="dxa"/>
            <w:vAlign w:val="bottom"/>
          </w:tcPr>
          <w:p>
            <w:pPr>
              <w:ind w:left="20"/>
              <w:spacing w:after="0" w:line="230" w:lineRule="exact"/>
              <w:rPr>
                <w:sz w:val="20"/>
                <w:szCs w:val="20"/>
                <w:color w:val="auto"/>
              </w:rPr>
            </w:pPr>
            <w:r>
              <w:rPr>
                <w:rFonts w:ascii="Arial" w:cs="Arial" w:eastAsia="Arial" w:hAnsi="Arial"/>
                <w:sz w:val="18"/>
                <w:szCs w:val="18"/>
                <w:color w:val="auto"/>
              </w:rPr>
              <w:t>Tax impact of intra-entity asset transfer</w:t>
            </w:r>
            <w:r>
              <w:rPr>
                <w:rFonts w:ascii="Arial" w:cs="Arial" w:eastAsia="Arial" w:hAnsi="Arial"/>
                <w:sz w:val="23"/>
                <w:szCs w:val="23"/>
                <w:color w:val="auto"/>
                <w:vertAlign w:val="superscript"/>
              </w:rPr>
              <w:t>(3)</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Adjustment to diluted earnings per share</w:t>
            </w:r>
            <w:r>
              <w:rPr>
                <w:rFonts w:ascii="Arial" w:cs="Arial" w:eastAsia="Arial" w:hAnsi="Arial"/>
                <w:sz w:val="23"/>
                <w:szCs w:val="23"/>
                <w:color w:val="auto"/>
                <w:vertAlign w:val="superscript"/>
              </w:rPr>
              <w:t>(4)</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Non-GAAP earnings (loss) per share,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Weighted-average shares used to compute GAAP net loss per share, diluted</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104,531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98,855</w:t>
            </w:r>
          </w:p>
        </w:tc>
      </w:tr>
      <w:tr>
        <w:trPr>
          <w:trHeight w:val="270"/>
        </w:trPr>
        <w:tc>
          <w:tcPr>
            <w:tcW w:w="8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301"/>
        </w:trPr>
        <w:tc>
          <w:tcPr>
            <w:tcW w:w="8260" w:type="dxa"/>
            <w:vAlign w:val="bottom"/>
          </w:tcPr>
          <w:p>
            <w:pPr>
              <w:ind w:left="20"/>
              <w:spacing w:after="0"/>
              <w:rPr>
                <w:sz w:val="20"/>
                <w:szCs w:val="20"/>
                <w:color w:val="auto"/>
              </w:rPr>
            </w:pPr>
            <w:r>
              <w:rPr>
                <w:rFonts w:ascii="Arial" w:cs="Arial" w:eastAsia="Arial" w:hAnsi="Arial"/>
                <w:sz w:val="18"/>
                <w:szCs w:val="18"/>
                <w:color w:val="auto"/>
              </w:rPr>
              <w:t>Weighted-average shares used to compute non-GAAP earnings (loss) per share, diluted</w:t>
            </w:r>
            <w:r>
              <w:rPr>
                <w:rFonts w:ascii="Arial" w:cs="Arial" w:eastAsia="Arial" w:hAnsi="Arial"/>
                <w:sz w:val="23"/>
                <w:szCs w:val="23"/>
                <w:color w:val="auto"/>
                <w:vertAlign w:val="superscript"/>
              </w:rPr>
              <w:t>(5)</w:t>
            </w: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113,934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98,855</w:t>
            </w:r>
          </w:p>
        </w:tc>
      </w:tr>
      <w:tr>
        <w:trPr>
          <w:trHeight w:val="136"/>
        </w:trPr>
        <w:tc>
          <w:tcPr>
            <w:tcW w:w="8260" w:type="dxa"/>
            <w:vAlign w:val="bottom"/>
          </w:tcPr>
          <w:p>
            <w:pPr>
              <w:spacing w:after="0"/>
              <w:rPr>
                <w:sz w:val="20"/>
                <w:szCs w:val="20"/>
                <w:color w:val="auto"/>
              </w:rPr>
            </w:pPr>
            <w:r>
              <w:rPr>
                <w:rFonts w:ascii="Arial" w:cs="Arial" w:eastAsia="Arial" w:hAnsi="Arial"/>
                <w:sz w:val="11"/>
                <w:szCs w:val="11"/>
                <w:color w:val="auto"/>
              </w:rPr>
              <w:t>________________</w:t>
            </w: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r>
    </w:tbl>
    <w:p>
      <w:pPr>
        <w:spacing w:after="0" w:line="51"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tax impact of stock-based compensation is based on the tax treatment for the applicable tax jurisdictions.</w:t>
      </w:r>
    </w:p>
    <w:p>
      <w:pPr>
        <w:spacing w:after="0" w:line="59" w:lineRule="exact"/>
        <w:rPr>
          <w:rFonts w:ascii="Arial" w:cs="Arial" w:eastAsia="Arial" w:hAnsi="Arial"/>
          <w:sz w:val="16"/>
          <w:szCs w:val="16"/>
          <w:color w:val="auto"/>
        </w:rPr>
      </w:pPr>
    </w:p>
    <w:p>
      <w:pPr>
        <w:ind w:left="380" w:hanging="372"/>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tax impacts of acquisition-related expenses and amortization of acquired intangible assets are not material.</w:t>
      </w:r>
    </w:p>
    <w:p>
      <w:pPr>
        <w:spacing w:after="0" w:line="59" w:lineRule="exact"/>
        <w:rPr>
          <w:rFonts w:ascii="Arial" w:cs="Arial" w:eastAsia="Arial" w:hAnsi="Arial"/>
          <w:sz w:val="16"/>
          <w:szCs w:val="16"/>
          <w:color w:val="auto"/>
        </w:rPr>
      </w:pPr>
    </w:p>
    <w:p>
      <w:pPr>
        <w:ind w:right="680" w:firstLine="8"/>
        <w:spacing w:after="0" w:line="260" w:lineRule="auto"/>
        <w:tabs>
          <w:tab w:leader="none" w:pos="37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tax impact of the intra-entity asset transfer is related to the internal restructuring of Indegy, resulting in a current tax payment based on the applicable Israeli tax rate.</w:t>
      </w:r>
    </w:p>
    <w:p>
      <w:pPr>
        <w:spacing w:after="0" w:line="33" w:lineRule="exact"/>
        <w:rPr>
          <w:rFonts w:ascii="Arial" w:cs="Arial" w:eastAsia="Arial" w:hAnsi="Arial"/>
          <w:sz w:val="16"/>
          <w:szCs w:val="16"/>
          <w:color w:val="auto"/>
        </w:rPr>
      </w:pPr>
    </w:p>
    <w:p>
      <w:pPr>
        <w:ind w:right="240" w:firstLine="8"/>
        <w:spacing w:after="0" w:line="260" w:lineRule="auto"/>
        <w:tabs>
          <w:tab w:leader="none" w:pos="369"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adjustment may be necessary to reconcile GAAP net loss per share, which excludes potentially dilutive shares, to non-GAAP earnings per share, which includes potentially dilutive shares.</w:t>
      </w:r>
    </w:p>
    <w:p>
      <w:pPr>
        <w:spacing w:after="0" w:line="33" w:lineRule="exact"/>
        <w:rPr>
          <w:rFonts w:ascii="Arial" w:cs="Arial" w:eastAsia="Arial" w:hAnsi="Arial"/>
          <w:sz w:val="16"/>
          <w:szCs w:val="16"/>
          <w:color w:val="auto"/>
        </w:rPr>
      </w:pPr>
    </w:p>
    <w:p>
      <w:pPr>
        <w:ind w:right="220" w:firstLine="8"/>
        <w:spacing w:after="0" w:line="260" w:lineRule="auto"/>
        <w:tabs>
          <w:tab w:leader="none" w:pos="378"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periods in which there is a non-GAAP net loss, basic and diluted weighted average shares outstanding are the same, as potentially dilutive shares would be antidilutive.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w:t>
      </w:r>
    </w:p>
    <w:p>
      <w:pPr>
        <w:spacing w:after="0" w:line="19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Our subscription arrangements generally have annual or multi-year contractual terms to use our software or cloud-based solutions, including ongoing software updates during the contractual period. Revenue is recognized ratably over the subscription term given the critical utility provided by the ongoing updates that are released throughout the contract period.</w:t>
      </w:r>
    </w:p>
    <w:p>
      <w:pPr>
        <w:spacing w:after="0" w:line="202"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Our perpetual licenses are generally sold with one or more years of maintenance, which includes ongoing software updates. Given the critical utility provided by the ongoing software updates and updated ability to identify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our technology and other factors. This estimate may change over time.</w:t>
      </w:r>
    </w:p>
    <w:p>
      <w:pPr>
        <w:spacing w:after="0" w:line="211" w:lineRule="exact"/>
        <w:rPr>
          <w:sz w:val="20"/>
          <w:szCs w:val="20"/>
          <w:color w:val="auto"/>
        </w:rPr>
      </w:pPr>
    </w:p>
    <w:p>
      <w:pPr>
        <w:ind w:right="580"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202" w:lineRule="exact"/>
        <w:rPr>
          <w:sz w:val="20"/>
          <w:szCs w:val="20"/>
          <w:color w:val="auto"/>
        </w:rPr>
      </w:pPr>
    </w:p>
    <w:p>
      <w:pPr>
        <w:ind w:right="240" w:firstLine="324"/>
        <w:spacing w:after="0" w:line="252" w:lineRule="auto"/>
        <w:rPr>
          <w:sz w:val="20"/>
          <w:szCs w:val="20"/>
          <w:color w:val="auto"/>
        </w:rPr>
      </w:pPr>
      <w:r>
        <w:rPr>
          <w:rFonts w:ascii="Arial" w:cs="Arial" w:eastAsia="Arial" w:hAnsi="Arial"/>
          <w:sz w:val="18"/>
          <w:szCs w:val="18"/>
          <w:color w:val="auto"/>
        </w:rPr>
        <w:t>We have historically experienced, and expect in the future to experience, seasonality in entering into agreements with customers. We typically enter into a significantly higher percentage of agreements with new customers, as well as renewal agreements with existing customers, in the third and fourth quarters of the year. The increase in customer agreements in the third quarter is primarily attributable to U.S. government and related agencies, and the increase in the fourth quarter is primarily attributable to large enterprise account buying patterns typical in the software industry. The ratable nature of our subscription revenue makes this seasonality less apparent in our overall financial results.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4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Cost of revenue includes personnel costs related to our technical support group that provides assistance to customers, including salaries, benefits, bonuses, payroll taxes, stock-based compensation and any severance. Cost of revenue also includes cloud infrastructure costs, the costs related to professional services and training, depreciation, amortization of acquired and developed technology and allocated overhead costs, which consist of information technology and facilities.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continue to invest additional resources in our cloud-based platform and customer support team as we grow our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level and timing of investment in these areas could affect our cost of revenue in the future.</w:t>
      </w:r>
    </w:p>
    <w:p>
      <w:pPr>
        <w:spacing w:after="0" w:line="225" w:lineRule="exact"/>
        <w:rPr>
          <w:sz w:val="20"/>
          <w:szCs w:val="20"/>
          <w:color w:val="auto"/>
        </w:rPr>
      </w:pPr>
    </w:p>
    <w:p>
      <w:pPr>
        <w:jc w:val="both"/>
        <w:ind w:right="60" w:firstLine="324"/>
        <w:spacing w:after="0" w:line="254" w:lineRule="auto"/>
        <w:rPr>
          <w:sz w:val="20"/>
          <w:szCs w:val="20"/>
          <w:color w:val="auto"/>
        </w:rPr>
      </w:pPr>
      <w:r>
        <w:rPr>
          <w:rFonts w:ascii="Arial" w:cs="Arial" w:eastAsia="Arial" w:hAnsi="Arial"/>
          <w:sz w:val="18"/>
          <w:szCs w:val="18"/>
          <w:color w:val="auto"/>
        </w:rPr>
        <w:t>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costs associated with operating our cloud-based platform, the extent to which we expand our customer support team and the extent to which we can increase the efficiency of our technology and infrastructure through technological improvements.</w:t>
      </w:r>
    </w:p>
    <w:p>
      <w:pPr>
        <w:spacing w:after="0" w:line="204"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We expect our gross profit to increase in absolute dollars but our gross margin to decrease over time, as we expect revenue from our cloud-based subscriptions to increase as a percentage of revenue. However, our gross margin could fluctuate from period to period depending on the interplay of all of these factors, particularly as it relates to cloud infrastructure costs.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operating expenses and consist of salaries,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bonuses, payroll taxes, stock-based compensation and any severance. Operating expenses also include depreciation and amortization as well as allocated overhead costs, including IT and facilities costs.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43" w:lineRule="exact"/>
        <w:rPr>
          <w:sz w:val="20"/>
          <w:szCs w:val="20"/>
          <w:color w:val="auto"/>
        </w:rPr>
      </w:pPr>
    </w:p>
    <w:p>
      <w:pPr>
        <w:ind w:right="60" w:firstLine="324"/>
        <w:spacing w:after="0" w:line="250" w:lineRule="auto"/>
        <w:rPr>
          <w:sz w:val="20"/>
          <w:szCs w:val="20"/>
          <w:color w:val="auto"/>
        </w:rPr>
      </w:pPr>
      <w:r>
        <w:rPr>
          <w:rFonts w:ascii="Arial" w:cs="Arial" w:eastAsia="Arial" w:hAnsi="Arial"/>
          <w:sz w:val="18"/>
          <w:szCs w:val="18"/>
          <w:color w:val="auto"/>
        </w:rPr>
        <w:t>Sales and marketing expense consists of personnel costs, sales commissions, marketing programs, travel and entertainment, expenses for conferences and events and allocated overhead costs. We capitalize sales commissions, including related fringe benefit costs, and recognize the expense over an estimated period of benefit, which ranges between three and four years for subscription arrangements</w:t>
      </w:r>
    </w:p>
    <w:p>
      <w:pPr>
        <w:spacing w:after="0" w:line="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and five years for perpetual license arrangements. Sales commissions on contract renewals are capitalized and amortized ratably over the contract term, with the exception of contracts with renewal periods that are one year or less, in which case the incremental costs are expensed as incurred. Sales commissions on professional services arrangements are expensed as incurred as the contractual periods of these arrangements are generally less than one year.</w:t>
      </w:r>
    </w:p>
    <w:p>
      <w:pPr>
        <w:spacing w:after="0" w:line="20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intend to continue to make investments in our sales and marketing teams to grow revenue, further penetrate the market and expand our global customer base. We expect our sales and marketing expense to increase in absolute dollars annually and to be our largest operating expense category for the foreseeable future. However, as our revenue increases, we expect our sales and marketing expense to decrease as a percentage of our revenue over the long term. Our sales and marketing expense may fluctuate from period to period due to the timing and extent of these expenses, including sales commissions, which may fluctuate depending on the mix of sales and related expense recognition.</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43" w:lineRule="exact"/>
        <w:rPr>
          <w:sz w:val="20"/>
          <w:szCs w:val="20"/>
          <w:color w:val="auto"/>
        </w:rPr>
      </w:pPr>
    </w:p>
    <w:p>
      <w:pPr>
        <w:ind w:right="480" w:firstLine="324"/>
        <w:spacing w:after="0" w:line="254" w:lineRule="auto"/>
        <w:rPr>
          <w:sz w:val="20"/>
          <w:szCs w:val="20"/>
          <w:color w:val="auto"/>
        </w:rPr>
      </w:pPr>
      <w:r>
        <w:rPr>
          <w:rFonts w:ascii="Arial" w:cs="Arial" w:eastAsia="Arial" w:hAnsi="Arial"/>
          <w:sz w:val="18"/>
          <w:szCs w:val="18"/>
          <w:color w:val="auto"/>
        </w:rPr>
        <w:t>Research and development expense consists of personnel costs, software used to develop our products, travel and entertainment, consulting and professional fees for third-party development resources as well as allocated overhead. Our research and development expense supports our efforts to continue to add capabilities to our existing products and enable the continued detection of new network vulnerabilities.</w:t>
      </w:r>
    </w:p>
    <w:p>
      <w:pPr>
        <w:spacing w:after="0" w:line="20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expect our research and development expense to continue to increase annually in absolute dollars for the foreseeable future as we continue to invest in research and development efforts to enhance the functionality of our cloud-based platform. However, we expect our research and development expense to decrease as a percentage of our revenue over the long term, although our research and development expense may fluctuate from period to period due to the timing and extent of these expenses.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4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General and administrative expense consists of personnel costs for our executive, finance, legal, human resources and administrative departments. Additional expenses include travel and entertainment, professional fees, insurance, allocated overhead and acquisition-related costs.</w:t>
      </w:r>
    </w:p>
    <w:p>
      <w:pPr>
        <w:spacing w:after="0" w:line="20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expect our general and administrative expense to continue to increase annually in absolute dollars for the foreseeable future due to additional costs associated with accounting, compliance, insurance and investor relations as a public company. However, we expect our general and administrative expense to decrease as a percentage of our revenue over the long term, although our general and administrative expense may fluctuate from period to period due to the timing and extent of these expenses.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247"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Interest (expense) income, net consists primarily of interest income earned on cash and cash equivalents and short-term investments and interest expense in connection with our credit facility, including unused commitment fees and letter of credit fees.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 net consists primarily of foreign currency remeasurement and transaction gains and losses.</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Provision for income taxes consists of income taxes in certain foreign jurisdictions in which we conduct business and the related withholding taxes on sales with customers. We have recorded deferred tax assets for which a full valuation allowance has been provided, including net operating loss carryforwards and tax credits. We expect to maintain this full valuation allowance for the foreseeable future as it is more likely than not that some or all of those deferred tax assets may not be realized based on our history of losses.</w:t>
      </w:r>
    </w:p>
    <w:p>
      <w:pPr>
        <w:spacing w:after="0" w:line="204"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The provision for the three months ended March 31, 2021 was impacted by discrete items, including expense from the restructuring of our research and development operations in Israel and benefits, primarily related to a Supreme Court decision in India on the taxability of software license payments to nonresidents and the associated withholding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consolidated results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102,648</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83,947</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59,855</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26,831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105,619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(21,672)</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Interest (expense) income,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(21,898)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(22,977)</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8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60" w:type="dxa"/>
            <w:vAlign w:val="bottom"/>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2021 and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increase in revenue: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Pr>
          <w:p>
            <w:pPr>
              <w:spacing w:after="0"/>
              <w:rPr>
                <w:sz w:val="18"/>
                <w:szCs w:val="18"/>
                <w:color w:val="auto"/>
              </w:rPr>
            </w:pPr>
          </w:p>
        </w:tc>
        <w:tc>
          <w:tcPr>
            <w:tcW w:w="1660" w:type="dxa"/>
            <w:vAlign w:val="bottom"/>
            <w:gridSpan w:val="3"/>
          </w:tcPr>
          <w:p>
            <w:pPr>
              <w:ind w:left="900"/>
              <w:spacing w:after="0"/>
              <w:rPr>
                <w:sz w:val="20"/>
                <w:szCs w:val="20"/>
                <w:color w:val="auto"/>
              </w:rPr>
            </w:pPr>
            <w:r>
              <w:rPr>
                <w:rFonts w:ascii="Arial" w:cs="Arial" w:eastAsia="Arial" w:hAnsi="Arial"/>
                <w:sz w:val="16"/>
                <w:szCs w:val="16"/>
                <w:b w:val="1"/>
                <w:bCs w:val="1"/>
                <w:color w:val="auto"/>
              </w:rPr>
              <w:t>Change</w:t>
            </w:r>
          </w:p>
        </w:tc>
        <w:tc>
          <w:tcPr>
            <w:tcW w:w="1080" w:type="dxa"/>
            <w:vAlign w:val="bottom"/>
          </w:tcPr>
          <w:p>
            <w:pPr>
              <w:spacing w:after="0"/>
              <w:rPr>
                <w:sz w:val="18"/>
                <w:szCs w:val="18"/>
                <w:color w:val="auto"/>
              </w:rPr>
            </w:pPr>
          </w:p>
        </w:tc>
      </w:tr>
      <w:tr>
        <w:trPr>
          <w:trHeight w:val="215"/>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w:t>
            </w:r>
          </w:p>
        </w:tc>
      </w:tr>
      <w:tr>
        <w:trPr>
          <w:trHeight w:val="224"/>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3"/>
        </w:trPr>
        <w:tc>
          <w:tcPr>
            <w:tcW w:w="5060" w:type="dxa"/>
            <w:vAlign w:val="bottom"/>
          </w:tcPr>
          <w:p>
            <w:pPr>
              <w:ind w:left="2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123,189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102,648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1"/>
        </w:trPr>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 revenue increased $9.6 million, or 15%. International revenue increased $10.9 million, or 28%.</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Pr>
          <w:p>
            <w:pPr>
              <w:spacing w:after="0"/>
              <w:rPr>
                <w:sz w:val="18"/>
                <w:szCs w:val="18"/>
                <w:color w:val="auto"/>
              </w:rPr>
            </w:pPr>
          </w:p>
        </w:tc>
        <w:tc>
          <w:tcPr>
            <w:tcW w:w="1600" w:type="dxa"/>
            <w:vAlign w:val="bottom"/>
            <w:gridSpan w:val="3"/>
          </w:tcPr>
          <w:p>
            <w:pPr>
              <w:ind w:left="86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8"/>
                <w:szCs w:val="18"/>
                <w:color w:val="auto"/>
              </w:rPr>
            </w:pP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w:t>
            </w: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22,073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18,701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101,116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83,947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17,169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$3.4 million was primarily due to:</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$2.3 million increase in third-party cloud infrastructure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$1.0 million increase in personnel costs primarily due to support for cloud-based products;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$0.2 million increase in professional fees;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$0.2 million decrease in travel and meeting costs.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820" w:type="dxa"/>
            <w:vAlign w:val="bottom"/>
          </w:tcPr>
          <w:p>
            <w:pPr>
              <w:spacing w:after="0"/>
              <w:rPr>
                <w:sz w:val="18"/>
                <w:szCs w:val="18"/>
                <w:color w:val="auto"/>
              </w:rPr>
            </w:pPr>
          </w:p>
        </w:tc>
        <w:tc>
          <w:tcPr>
            <w:tcW w:w="1200" w:type="dxa"/>
            <w:vAlign w:val="bottom"/>
            <w:gridSpan w:val="3"/>
          </w:tcPr>
          <w:p>
            <w:pPr>
              <w:ind w:left="440"/>
              <w:spacing w:after="0"/>
              <w:rPr>
                <w:sz w:val="20"/>
                <w:szCs w:val="20"/>
                <w:color w:val="auto"/>
              </w:rPr>
            </w:pPr>
            <w:r>
              <w:rPr>
                <w:rFonts w:ascii="Arial" w:cs="Arial" w:eastAsia="Arial" w:hAnsi="Arial"/>
                <w:sz w:val="16"/>
                <w:szCs w:val="16"/>
                <w:b w:val="1"/>
                <w:bCs w:val="1"/>
                <w:color w:val="auto"/>
              </w:rPr>
              <w:t>Change</w:t>
            </w:r>
          </w:p>
        </w:tc>
        <w:tc>
          <w:tcPr>
            <w:tcW w:w="1080" w:type="dxa"/>
            <w:vAlign w:val="bottom"/>
          </w:tcPr>
          <w:p>
            <w:pPr>
              <w:spacing w:after="0"/>
              <w:rPr>
                <w:sz w:val="18"/>
                <w:szCs w:val="18"/>
                <w:color w:val="auto"/>
              </w:rPr>
            </w:pPr>
          </w:p>
        </w:tc>
      </w:tr>
      <w:tr>
        <w:trPr>
          <w:trHeight w:val="215"/>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6"/>
                <w:szCs w:val="16"/>
                <w:b w:val="1"/>
                <w:bCs w:val="1"/>
                <w:color w:val="auto"/>
              </w:rPr>
              <w:t>(%)</w:t>
            </w:r>
          </w:p>
        </w:tc>
      </w:tr>
      <w:tr>
        <w:trPr>
          <w:trHeight w:val="224"/>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sales and marketing expense of $1.2 million was primarily due to:</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$3.5 million decrease in selling expenses, including a $3.9 million decrease in travel and meeting costs;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$0.3 million decrease in allocated overhead costs;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$1.4 million increase in sales commissions, due to increased sales and the amortization of deferred commissions;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$0.7 million increase in personnel costs; and</w:t>
      </w:r>
    </w:p>
    <w:p>
      <w:pPr>
        <w:spacing w:after="0" w:line="63"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$0.2 million increase in expenses for demand generation programs, including advertising, sponsorships and brand awareness efforts.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1040" w:type="dxa"/>
            <w:vAlign w:val="bottom"/>
          </w:tcPr>
          <w:p>
            <w:pPr>
              <w:spacing w:after="0"/>
              <w:rPr>
                <w:sz w:val="18"/>
                <w:szCs w:val="18"/>
                <w:color w:val="auto"/>
              </w:rPr>
            </w:pPr>
          </w:p>
        </w:tc>
        <w:tc>
          <w:tcPr>
            <w:tcW w:w="980" w:type="dxa"/>
            <w:vAlign w:val="bottom"/>
            <w:gridSpan w:val="3"/>
          </w:tcPr>
          <w:p>
            <w:pPr>
              <w:ind w:left="220"/>
              <w:spacing w:after="0"/>
              <w:rPr>
                <w:sz w:val="20"/>
                <w:szCs w:val="20"/>
                <w:color w:val="auto"/>
              </w:rPr>
            </w:pPr>
            <w:r>
              <w:rPr>
                <w:rFonts w:ascii="Arial" w:cs="Arial" w:eastAsia="Arial" w:hAnsi="Arial"/>
                <w:sz w:val="16"/>
                <w:szCs w:val="16"/>
                <w:b w:val="1"/>
                <w:bCs w:val="1"/>
                <w:color w:val="auto"/>
              </w:rPr>
              <w:t>Change</w:t>
            </w:r>
          </w:p>
        </w:tc>
        <w:tc>
          <w:tcPr>
            <w:tcW w:w="1080" w:type="dxa"/>
            <w:vAlign w:val="bottom"/>
          </w:tcPr>
          <w:p>
            <w:pPr>
              <w:spacing w:after="0"/>
              <w:rPr>
                <w:sz w:val="18"/>
                <w:szCs w:val="18"/>
                <w:color w:val="auto"/>
              </w:rPr>
            </w:pPr>
          </w:p>
        </w:tc>
      </w:tr>
      <w:tr>
        <w:trPr>
          <w:trHeight w:val="21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6"/>
                <w:szCs w:val="16"/>
                <w:b w:val="1"/>
                <w:bCs w:val="1"/>
                <w:color w:val="auto"/>
              </w:rPr>
              <w:t>(%)</w:t>
            </w:r>
          </w:p>
        </w:tc>
      </w:tr>
      <w:tr>
        <w:trPr>
          <w:trHeight w:val="22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Research and development expense remained flat, primarily due to:</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$1.3 million increase in personnel costs, primarily due to an increase in stock-based compensation;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$0.4 million increase in third-party cloud infrastructure costs;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$1.2 million decrease in travel and meeting costs;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$0.4 million decrease in allocated overhead costs, primarily facilities costs.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860" w:type="dxa"/>
            <w:vAlign w:val="bottom"/>
          </w:tcPr>
          <w:p>
            <w:pPr>
              <w:spacing w:after="0"/>
              <w:rPr>
                <w:sz w:val="18"/>
                <w:szCs w:val="18"/>
                <w:color w:val="auto"/>
              </w:rPr>
            </w:pPr>
          </w:p>
        </w:tc>
        <w:tc>
          <w:tcPr>
            <w:tcW w:w="1160" w:type="dxa"/>
            <w:vAlign w:val="bottom"/>
            <w:gridSpan w:val="3"/>
          </w:tcPr>
          <w:p>
            <w:pPr>
              <w:ind w:left="400"/>
              <w:spacing w:after="0"/>
              <w:rPr>
                <w:sz w:val="20"/>
                <w:szCs w:val="20"/>
                <w:color w:val="auto"/>
              </w:rPr>
            </w:pPr>
            <w:r>
              <w:rPr>
                <w:rFonts w:ascii="Arial" w:cs="Arial" w:eastAsia="Arial" w:hAnsi="Arial"/>
                <w:sz w:val="16"/>
                <w:szCs w:val="16"/>
                <w:b w:val="1"/>
                <w:bCs w:val="1"/>
                <w:color w:val="auto"/>
              </w:rPr>
              <w:t>Change</w:t>
            </w:r>
          </w:p>
        </w:tc>
        <w:tc>
          <w:tcPr>
            <w:tcW w:w="1080" w:type="dxa"/>
            <w:vAlign w:val="bottom"/>
          </w:tcPr>
          <w:p>
            <w:pPr>
              <w:spacing w:after="0"/>
              <w:rPr>
                <w:sz w:val="18"/>
                <w:szCs w:val="18"/>
                <w:color w:val="auto"/>
              </w:rPr>
            </w:pPr>
          </w:p>
        </w:tc>
      </w:tr>
      <w:tr>
        <w:trPr>
          <w:trHeight w:val="215"/>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6"/>
                <w:szCs w:val="16"/>
                <w:b w:val="1"/>
                <w:bCs w:val="1"/>
                <w:color w:val="auto"/>
              </w:rPr>
              <w:t>(%)</w:t>
            </w:r>
          </w:p>
        </w:tc>
      </w:tr>
      <w:tr>
        <w:trPr>
          <w:trHeight w:val="224"/>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$2.5 million was primarily due to:</w:t>
      </w:r>
    </w:p>
    <w:p>
      <w:pPr>
        <w:spacing w:after="0" w:line="6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$1.8 million increase in acquisition-related expenses;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$1.4 million increase in personnel costs, including a $0.7 million increase in stock-based compensation;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$0.5 million decrease in professional fees;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$0.3 million decrease in travel and meeting costs;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$0.2 million decrease in allocated overhead costs, primarily facilities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At March 31, 2021, we had $228.4 million of cash and cash equivalents, which consisted of bank deposits and money market funds, and $111.9 million of short-term investments, which consisted of commercial paper, U.S. Treasury and agency obligations and supranational bonds.</w:t>
      </w:r>
    </w:p>
    <w:p>
      <w:pPr>
        <w:spacing w:after="0" w:line="20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Since our inception and prior to our IPO, we financed our operations through cash provided by operations, including payments received from customers using our software products and services, and we did not raise any primary institutional capital. The proceeds of our Series A and Series B redeemable convertible preferred stock financings were used to repurchase shares of capital stock from former stockholders. We have generated significant operating losses as reflected by our accumulated deficit of $615.6 million at March 31, 2021.</w:t>
      </w:r>
    </w:p>
    <w:p>
      <w:pPr>
        <w:spacing w:after="0" w:line="204"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typically invoice our customers annually in advance and, to a lesser extent, multi-year in advance. Therefore, a substantial source of our cash is from such prepayments, which are included on our consolidated balance sheets as deferred revenue. Deferred revenue consists primarily of the unearned portion of billed fees for our subscriptions and perpetual licenses, which is subsequently recognized as revenue in accordance with our revenue recognition policy. At March 31, 2021, we had deferred revenue of $ 428.9 million, of which $325.1 million was recorded as a current liability and is expected to be recognized as revenue in the next 12 months, provided all other revenue recognition criteria are met.</w:t>
      </w:r>
    </w:p>
    <w:p>
      <w:pPr>
        <w:spacing w:after="0" w:line="208"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principal uses of cash in recent periods have been funding our operations, expansion of our sales and marketing and research and development activities, investments in infrastructure, including the build-out of our new headquarters, and acquiring complementary businesses and technology. We expect to continue incurring operating losses in the near term. Even though we generated positive cash flows from operations and free cash flow in the three months ended March 31, 2021, we may not be able to sustain these cash flows in the near term. We believe that our existing cash and cash equivalents and short-term investments will be sufficient to fund our operating and capital needs for at least the next 12 months. 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the expansion of sales, marketing and international operating activities, the timing of our introduction of new product capabilities and enhancements of our platform and the continuing market acceptance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60" w:firstLine="324"/>
        <w:spacing w:after="0" w:line="252" w:lineRule="auto"/>
        <w:rPr>
          <w:sz w:val="20"/>
          <w:szCs w:val="20"/>
          <w:color w:val="auto"/>
        </w:rPr>
      </w:pPr>
      <w:r>
        <w:rPr>
          <w:rFonts w:ascii="Arial" w:cs="Arial" w:eastAsia="Arial" w:hAnsi="Arial"/>
          <w:sz w:val="18"/>
          <w:szCs w:val="18"/>
          <w:color w:val="auto"/>
        </w:rPr>
        <w:t>In April 2021, we acquired Alsid SAS, a leader in active directory security, for a total purchase price of $98 million in cash, subject to customary purchase price adjustments. We may in the future enter into arrangements to acquire or invest in other complementary businesses, services and technologies, including intellectual property rights. We may be required to seek equity or debt financing.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20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full extent to which the ongoing COVID-19 pandemic impacts our business and operations will depend on future developments that are highly uncertain and cannot be predicted with confidence, such as the duration of the outbreak, the duration and effect of business disruptions, the effectiveness and widespread adoption of a vaccine, both domestically and globally, and the duration and ultimate effectiveness of the travel restrictions, quarantines, social distancing requirements and business closures in the United States and other countries to contain and treat the disease. We also do not yet know the full extent of potential impacts on our business and operations, or those of our partners and customers, or the global economy as a whole. Accordingly, the current results and financial conditions discussed herein may not be indicative of our future operating results and trends. See the section titled “Risk Factors” in Part II, Item 1A of this Form 10-Q.</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July 2020, we entered into a $45.0 million senior secured facility, or the 2020 Credit Facility, with Silicon Valley Bank in connection with the expiration of our $ 25.0 million revolving credit facility. The 2020 Credit Facility bears interest at either LIBOR plus 2%, with a 1% LIBOR floor, or the base rate plus 1%, and terminates on July 24, 2022. A commitment fee of 0.35% per annum is payable quarterly in arrears based on the unused portion. The obligations under the 2020 Credit Facility are secured by a lien on our tangible and intangible property except intellectual property and certain subsidiaries and by a pledge of all of the equity interests of our material direct and indirect domestic subsidiaries and 65% of each class of capital stock of any material first-tier foreign subsidiaries, subject to limited exceptions. The 2020 Credit Facility includes a $45.0 million uncommitted expansion, as well as a $10.0 million sublimit for the issuance of letters of credit and a swingline subfacility of up to $10.0 million, and has a financial covenant requiring a minimum consolidated quick ratio of at least 1.5:1.0 on the last day of any quarter.</w:t>
      </w:r>
    </w:p>
    <w:p>
      <w:pPr>
        <w:spacing w:after="0" w:line="21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During the three months ended March 31, 2021, there were no amounts outstanding under our 2020 Credit Facility. At March 31, 2021, we were in compliance with the financial covenant and our borrowing capacity was reduced by $5.5 million related to standby letters of credit. We do not currently intend to draw on the 2020 Credit Facility.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6"/>
                <w:szCs w:val="16"/>
                <w:b w:val="1"/>
                <w:bCs w:val="1"/>
                <w:color w:val="auto"/>
              </w:rPr>
              <w:t>Three Months Ended March 31,</w:t>
            </w:r>
          </w:p>
        </w:tc>
      </w:tr>
      <w:tr>
        <w:trPr>
          <w:trHeight w:val="215"/>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24"/>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18,730</w:t>
            </w:r>
          </w:p>
        </w:tc>
      </w:tr>
      <w:tr>
        <w:trPr>
          <w:trHeight w:val="230"/>
        </w:trPr>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11,281</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33,406</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43"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In the three months ended March 31, 2021, net cash provided by operating activities was $38.6 million, which primarily consisted of our $7.7 million loss, adjusted for stock-based compensation expense of $ 17.0 million and depreciation and amortization of $2.8 million, as well as a net cash inflow of $26.3 million from changes in operating assets and liabilities. The net inflow from changes in operating assets and liabilities was primarily related to a $32.5 million decrease in accounts receivable due to collections from customers and a $5.7 million decrease in prepaid expenses. This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inflow was partially offset by a $8.7 million decrease in accrued compensation, including $5.0 million related to employee stock purchase plan activity, and a $5.6 million decrease in deferred revenue.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three months ended March 31, 2020, net cash provided by operating activities was $4.5 million, which primarily consisted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$23.0 million loss, adjusted for stock-based compensation expense of $13.0 million and depreciation and amortization of $2.7 million, as 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 net cash inflow of $11.2 million from changes in operating assets and liabilities. The net inflow from changes in operating assets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liabilities was primarily due to a $20.8 million decrease in accounts receivable due to collections from customers, partially offset by a $13.3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decrease in accrued compensation, including $3.7 million related to employee stock purchase plan activity and quarterly bonuses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commissions earned in the fourth quarter of 2019 that were paid in the first quarter of 2020.</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4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Net cash provided by investing activities decreased by $18.2 million, primarily due to a $17.7 million decrease in sales and maturities, net of purchases, of short-term investments in commercial paper, U.S. Treasury and agency obligations, corporate bonds and supranational bonds, and a $0.4 million increase in purchases of property and equipment.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43"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Net cash provided by financing activities increased by $0.8 million, primarily due to a $0.7 million increase in proceeds from stock issued in connection with the employee stock purchase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2021, there were no material changes in our contractual obligations and commitments from those disclosed in our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At March 31, 2021,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financial statements are prepared in accordance with U.S.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material changes to our critical accounting policies and estimates as described in our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1 to our consolidated financial statements for more information regarding recently issued accounting pronouncements.</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We are exposed to market risks in the ordinary course of our business, including interest rate, foreign currency exchange and inflation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47"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At March 31, 2021, we had $228.4 million of cash and cash equivalents, which consisted of cash deposits and money market funds. We also had $111.9 million of short-term investments, which consisted of commercial paper, U.S. treasury and agency securities and supranational bonds. Our investments are carried at their fair market values with cumulative unrealized gains or losses recorded as a component of accumulated other comprehensive income within stockholders' equity.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w:t>
      </w:r>
    </w:p>
    <w:p>
      <w:pPr>
        <w:spacing w:after="0" w:line="20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have not had any borrowings under our $45.0 million 2020 Credit Facility since it was established in July 2020. Any borrowings under the 2020 Credit Facility would bear interest at a variable rate. We do not have any other long-term debt or financial liabilities with floating interest rates that would subject us to interest rate fluctuations.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Substantially all of our sales contracts are denominated in U.S. dollars, with a limited number of contracts denominated in foreign currencies, including foreign denominated leases. A portion of our operating expenses are incurred outside the United States, denominated in foreign currencies and subject to fluctuations due to changes in foreign currency exchange rates, particularly changes in the Euro, British Pound, Australian dollar and Israeli New Shekel. Additionally, fluctuations in foreign currency exchange rates may cause us to recognize remeasurement and transaction gains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247"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208" w:lineRule="exact"/>
        <w:rPr>
          <w:sz w:val="20"/>
          <w:szCs w:val="20"/>
          <w:color w:val="auto"/>
        </w:rPr>
      </w:pPr>
    </w:p>
    <w:p>
      <w:pPr>
        <w:ind w:right="100" w:firstLine="324"/>
        <w:spacing w:after="0" w:line="250"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10-Q. Based on such evaluation, our Chief Executive Officer and Chief Financial Officer have concluded that as</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of March 31, 2021, our disclosure controls and procedures were effective to provide reasonable assurance that the information required to be disclosed by us in this Form 10-Q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i w:val="1"/>
          <w:iCs w:val="1"/>
          <w:color w:val="auto"/>
        </w:rPr>
        <w:t>Our operations and financial results are subject to significant risks and uncertainties including those described below. You should carefully consider the risks and uncertainties described below, in addition to other information contained in this Quarterly Report on Form 10-Q,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Selected Risks Affecting Our Business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risks are more fully described in this “Risk Factors” section, including the following:</w:t>
      </w:r>
    </w:p>
    <w:p>
      <w:pPr>
        <w:spacing w:after="0" w:line="117" w:lineRule="exact"/>
        <w:rPr>
          <w:sz w:val="20"/>
          <w:szCs w:val="20"/>
          <w:color w:val="auto"/>
        </w:rPr>
      </w:pPr>
    </w:p>
    <w:p>
      <w:pPr>
        <w:ind w:left="660" w:right="34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operations and financial performance may be materially adversely affected by the ongoing and evolving COVID-19 pandemic.</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history of losses and may not achieve or maintain profitability in the future.</w:t>
      </w:r>
    </w:p>
    <w:p>
      <w:pPr>
        <w:spacing w:after="0" w:line="63"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face intense competition. If we do not continue to innovate and offer solutions that address the dynamic cybersecurity landscape, we may not remain competitive.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 in the future.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scale our business quickly enough to meet our customers’ growing needs.</w:t>
      </w:r>
    </w:p>
    <w:p>
      <w:pPr>
        <w:spacing w:after="0" w:line="63" w:lineRule="exact"/>
        <w:rPr>
          <w:rFonts w:ascii="Arial" w:cs="Arial" w:eastAsia="Arial" w:hAnsi="Arial"/>
          <w:sz w:val="18"/>
          <w:szCs w:val="18"/>
          <w:color w:val="auto"/>
        </w:rPr>
      </w:pPr>
    </w:p>
    <w:p>
      <w:pPr>
        <w:ind w:left="660" w:right="160" w:hanging="328"/>
        <w:spacing w:after="0" w:line="25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brand, reputation and ability to attract, retain and serve our customers are dependent in part upon the reliable and accurate performance of our solutions, infrastructure and third-party suppliers. If we experience performance problems, or if our solutions fail to detect vulnerabilities or incorrectly detect vulnerabilities, or if they contain undetected errors or defects, our brand and reputation could be harmed.</w:t>
      </w:r>
    </w:p>
    <w:p>
      <w:pPr>
        <w:spacing w:after="0" w:line="41"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quarterly results of operations are likely to fluctuate significantly due to a wide range of factors, which makes our future results difficult to predict.</w:t>
      </w:r>
    </w:p>
    <w:p>
      <w:pPr>
        <w:spacing w:after="0" w:line="35" w:lineRule="exact"/>
        <w:rPr>
          <w:rFonts w:ascii="Arial" w:cs="Arial" w:eastAsia="Arial" w:hAnsi="Arial"/>
          <w:sz w:val="18"/>
          <w:szCs w:val="18"/>
          <w:color w:val="auto"/>
        </w:rPr>
      </w:pPr>
    </w:p>
    <w:p>
      <w:pPr>
        <w:jc w:val="both"/>
        <w:ind w:left="660" w:right="260" w:hanging="328"/>
        <w:spacing w:after="0" w:line="25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rely on third parties to maintain and operate certain elements of our network infrastructure.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rely on our third-party channel partner network of distributors and resellers to generate a substantial amount of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b w:val="1"/>
          <w:bCs w:val="1"/>
          <w:i w:val="1"/>
          <w:iCs w:val="1"/>
          <w:color w:val="auto"/>
        </w:rPr>
        <w:t>Our business, operations and financial performance may be materially adversely affected by the ongoing and evolving COVID-19 pandemic.</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business, operations and financial performance could be adversely affected by the effects of the ongoing and evolving COVID-19 pandemic, and such effects could be material; however, as of March 31, 2021, we have not seen a significant adverse impact to our financial position, results of operations, cash flows and liquidity as a result of the COVID-19 pandemic. The COVID-19 pandemic has resulted in travel and other restrictions in order to reduce the spread of the disease, including state and local orders across the United States and in countries in which we operate that, among other things, direct individuals to follow social distancing guidelines and or to shelter at their places of residence, direct businesses and governmental agencies to cease non-essential operations at physical locations, prohibit certain non-essential gatherings and events and order cessation of non-essential travel. In response to public health directives and orders, we have implemented work-from-home policies for our global workforce and continue to enforce them with limited exceptions, including at our headquarters in Columbia, Maryland.</w:t>
      </w:r>
    </w:p>
    <w:p>
      <w:pPr>
        <w:spacing w:after="0" w:line="21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Remote work policies, quarantines, shelter-in-place and similar government orders, shutdowns or other restrictions on the conduct of business operations related to the COVID-19 pandemic may adversely affect our business and our ability to generate sales of, and revenues from, our platform offerings. For example, substantially all of our field sales and other professional services are being conducted remotely, and while we do not yet know if such remote operations will affect our ability to attract, retain or upsell customers, we anticipate that our revenue growth could be adversely impacted by the COVID-19 pandemic and weak global economic conditions.</w:t>
      </w:r>
    </w:p>
    <w:p>
      <w:pPr>
        <w:spacing w:after="0" w:line="20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also do not yet know the full effects of the ongoing COVID-19 pandemic on our partners, customers and service providers. Health concerns and political or governmental developments in response to COVID-19 could create or contribute to economic, social or labor instability or prolonged contractions in the industries in which our customers or partners operate. As a result, existing and potential customers have and may continue to choose to reduce or delay technology spending in response to the COVID-19 pandemic, or may attempt to renegotiate contracts and obtain concessions, which could materially and negatively impact our operating results, financial condition and prospects. Because our platform offerings are primarily sold on a subscription basis, any such adverse effects may not be fully reflected in our operating results until future periods, and such effects may be offset by temporary decreases in our expenses related to restrictions on the conduct of our business. We may incur additional costs when we resume business-related travel and return to the office, the timing and extent of which remains unknown.</w:t>
      </w:r>
    </w:p>
    <w:p>
      <w:pPr>
        <w:spacing w:after="0" w:line="21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COVID-19 pandemic continues to rapidly evolve. The full extent to which the COVID-19 pandemic impacts our business and operations will depend on future developments that are highly uncertain and cannot be predicted with confidence at the time of this Form 10-Q, such as the duration of the outbreak, the duration and effect of business disruptions, the effectiveness and widespread adoption of a vaccine, both domestically and globally, and the duration and ultimate effectiveness of the travel restrictions, quarantines, social distancing requirements and business closures in the United States and other countries to contain and treat the disease. Accordingly, we do not yet know the full extent of potential impacts on our business and operations, or those of our partners and customers, or the global economy as a whole. Weak global economic conditions also may exacerbate the ongoing impact of the pandemic.</w:t>
      </w:r>
    </w:p>
    <w:p>
      <w:pPr>
        <w:spacing w:after="0" w:line="207"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a history of losses and may not achieve or maintain profitability in the future.</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have historically incurred net losses, including net losses of $7.7 million and $23.0 million in the three months ended March 31, 2021 and 2020, respectively. As of March 31, 2021, we had an accumulated deficit of $615.6 million. Because the market for our offerings is highly competitive and rapidly evolving and these solutions have not yet reached widespread adoption, it is difficult for us to predict our future results of operations. Further, we do not yet know the full effects of the COVID-19 pandemic, which increases the difficulty in predicting future results of operations.</w:t>
      </w:r>
    </w:p>
    <w:p>
      <w:pPr>
        <w:spacing w:after="0" w:line="97"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color w:val="auto"/>
        </w:rPr>
        <w:t>While we have experienced significant revenue growth in recent periods, we are not certain whether or when we will obtain a high enough volume of sales of our offerings to sustain or increase our growth or achieve or maintain profitability</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 the future. We also expect our costs to increase in future periods, which could negatively affect our future operating results if our revenue does not increase at a greater rate. In particular, we expect to continue to expend substantial financial and other resources on:</w:t>
      </w:r>
    </w:p>
    <w:p>
      <w:pPr>
        <w:spacing w:after="0" w:line="9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cloud infrastructure and computing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research and development related to our offerings, including investments in our research and development team;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and marketing, including a significant expansion of our sales organization, both domestically and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international expansion of our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and administrative expense, including legal and accounting expenses related to being a public company.</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These investments may not result in increased revenue or growth in our business. If we are unable to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achieve or maintain profitability in the future.</w:t>
      </w:r>
    </w:p>
    <w:p>
      <w:pPr>
        <w:spacing w:after="0" w:line="183" w:lineRule="exact"/>
        <w:rPr>
          <w:sz w:val="20"/>
          <w:szCs w:val="20"/>
          <w:color w:val="auto"/>
        </w:rPr>
      </w:pPr>
    </w:p>
    <w:p>
      <w:pPr>
        <w:ind w:right="440" w:firstLine="324"/>
        <w:spacing w:after="0" w:line="287" w:lineRule="auto"/>
        <w:rPr>
          <w:sz w:val="20"/>
          <w:szCs w:val="20"/>
          <w:color w:val="auto"/>
        </w:rPr>
      </w:pPr>
      <w:r>
        <w:rPr>
          <w:rFonts w:ascii="Arial" w:cs="Arial" w:eastAsia="Arial" w:hAnsi="Arial"/>
          <w:sz w:val="18"/>
          <w:szCs w:val="18"/>
          <w:b w:val="1"/>
          <w:bCs w:val="1"/>
          <w:i w:val="1"/>
          <w:iCs w:val="1"/>
          <w:color w:val="auto"/>
        </w:rPr>
        <w:t>We face intense competition. If we do not continue to innovate and offer solutions that address the dynamic cybersecurity landscape, we may not remain competitive.</w:t>
      </w:r>
    </w:p>
    <w:p>
      <w:pPr>
        <w:spacing w:after="0" w:line="175" w:lineRule="exact"/>
        <w:rPr>
          <w:sz w:val="20"/>
          <w:szCs w:val="20"/>
          <w:color w:val="auto"/>
        </w:rPr>
      </w:pPr>
    </w:p>
    <w:p>
      <w:pPr>
        <w:ind w:right="320" w:firstLine="324"/>
        <w:spacing w:after="0" w:line="252" w:lineRule="auto"/>
        <w:rPr>
          <w:sz w:val="20"/>
          <w:szCs w:val="20"/>
          <w:color w:val="auto"/>
        </w:rPr>
      </w:pPr>
      <w:r>
        <w:rPr>
          <w:rFonts w:ascii="Arial" w:cs="Arial" w:eastAsia="Arial" w:hAnsi="Arial"/>
          <w:sz w:val="18"/>
          <w:szCs w:val="18"/>
          <w:color w:val="auto"/>
        </w:rPr>
        <w:t>The market for cybersecurity solutions is fragmented, intensely competitive and constantly evolving. We compete with a range of established and emerging cybersecurity software and services vendors, as well as homegrown solutions. Our competitors include: vulnerability management and assessment vendors, including Qualys and Rapid7; diversified security software and services vendors; endpoint security vendors with nascent vulnerability assessment capabilities, including Tanium and CrowdStrike; and providers of point solutions that compete with some of the features present in our solutions. We also compete against internally-developed efforts that often use open source solutions.</w:t>
      </w:r>
    </w:p>
    <w:p>
      <w:pPr>
        <w:spacing w:after="0" w:line="20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Some of our actual and potential competitors have significant advantages over us, such as longer operating histories, significantly greater financial, technical, marketing or other resources, stronger brand and business user recognition, larger intellectual property portfolios, government certifications and broader global distribution and presence. In addition, our industry is evolving rapidly and is becoming increasingly competitive. Companies that are larger and more established than us are focusing on cybersecurity and could directly compete with us. For example, in 2019 Microsoft introduced a vulnerability management offering as part of their existing endpoint security platform. Smaller companies could also launch new products and services that we do not offer and that could gain market acceptance quickly.</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addition, some of our larger competitors have substantially broader product offerings and can bundle competing products and services with other software offerings which customers may choose even if individual products have more limited functionality than our solutions. These competitors may also offer their products at a lower price, which could increase pricing pressure on our offerings and cause the average sales price for our offerings to decline. These larger competitors are also often better positioned to withstand any significant reduction in capital spending, and will therefore not be as susceptible to economic downturns. One component of our enterprise platform involves assessing cyber exposure in a public cloud environment. We are dependent upon the providers to allow our solutions to access their cloud offerings. If one or more cloud providers elected to offer exclusively their own cloud security product or otherwise eliminate the ability of our solutions to access their cloud on behalf of our customers, our business and financial results could be harmed.</w:t>
      </w:r>
    </w:p>
    <w:p>
      <w:pPr>
        <w:spacing w:after="0" w:line="20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Additionally, the cybersecurity market is characterized by very rapid technological advances, changes in customer requirements, frequent new product introductions and enhancements and evolving industry standards. Our success depends on continued innovation to provide features that make our solutions responsive to the cybersecurity landscape, including the shift to employees working from home during the COVID-19 pandemic. Developing new solutions and product enhancements is uncertain, expensive and time-consuming, and there is no assurance that such activities will result in significant cost savings, revenue or other expected benefits. If we spend significant time and effort on research and development and are unable to generate an adequate return on our investment, our business and results of operations may be materially and adversely affected. Further, we may not be able to successfully anticipate or adapt to changing technology or customer requirements or the dynamic threat landscape on a timely basis, or at all, which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impair our ability to execute on our business strategy. Our competitors may be able to respond more quickly and effectively than we can to new or changing opportunities, technologies, standards or customer requirements or new or evolving attacks by, or indicators of compromise that identify, cyber bad actors.</w:t>
      </w:r>
    </w:p>
    <w:p>
      <w:pPr>
        <w:spacing w:after="0" w:line="202"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Furthermore, our current and potential competitors may establish cooperative relationships among themselves or with third parties that may further enhance their resources and products and services offerings in the markets we address. In addition, current or potential competitors may be acquired by third parties with greater available resources, which may enable them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the three months ended March 31, 2020 to the three months ended March 31, 2021, our revenue grew from $102.6 million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$123.2 million, representing year over year growth of 20%. This growth was primarily from an increase in subscription revenue. Although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have experienced rapid growth historically and currently have high customer renewal rates, we may not continue to grow as rapidly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future due to a decline in our renewal rates, failure to attract new customers or other factors. Any success that we may experience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future will depend in large part on our ability to, among other things:</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and expand our customer base;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revenue from existing customers through increased or broader use of our offerings within their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improve the performance and capabilities of our offerings through research and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develop and expand our enterprise platform;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the rate at which customers purchase and renew subscriptions to our enterprise platform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successfully expand our business domestically and internationally;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compete with other companies.</w:t>
      </w:r>
    </w:p>
    <w:p>
      <w:pPr>
        <w:spacing w:after="0" w:line="225" w:lineRule="exact"/>
        <w:rPr>
          <w:sz w:val="20"/>
          <w:szCs w:val="20"/>
          <w:color w:val="auto"/>
        </w:rPr>
      </w:pPr>
    </w:p>
    <w:p>
      <w:pPr>
        <w:jc w:val="both"/>
        <w:ind w:right="400" w:firstLine="324"/>
        <w:spacing w:after="0" w:line="256" w:lineRule="auto"/>
        <w:rPr>
          <w:sz w:val="20"/>
          <w:szCs w:val="20"/>
          <w:color w:val="auto"/>
        </w:rPr>
      </w:pPr>
      <w:r>
        <w:rPr>
          <w:rFonts w:ascii="Arial" w:cs="Arial" w:eastAsia="Arial" w:hAnsi="Arial"/>
          <w:sz w:val="18"/>
          <w:szCs w:val="18"/>
          <w:color w:val="auto"/>
        </w:rPr>
        <w:t>If we are unable to maintain consistent revenue or revenue growth, including as a result of the COVID-19 pandemic, our stock price could be volatile, and it may be difficult to achieve and maintain profitability. You should not rely on our revenue for any prior quarterly or annual periods as any indication of our future revenue or revenue growth.</w:t>
      </w:r>
    </w:p>
    <w:p>
      <w:pPr>
        <w:spacing w:after="0" w:line="202"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We may be unable to rapidly and efficiently adjust our cost structure in response to significant revenue declines, which could adversely affect our operating results.</w:t>
      </w:r>
    </w:p>
    <w:p>
      <w:pPr>
        <w:spacing w:after="0" w:line="176"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b w:val="1"/>
          <w:bCs w:val="1"/>
          <w:i w:val="1"/>
          <w:iCs w:val="1"/>
          <w:color w:val="auto"/>
        </w:rPr>
        <w:t>We recognize substantially all of our revenue ratably over the term of our subscriptions and, to a lesser extent, perpetual licenses ratably over an expected period of benefit and, as a result, downturns in sales may not be immediately reflected in our operating results.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recognize substantially all of our revenue ratably over the terms of our subscriptions with customers, which generally occurs over a one-year period and, for our perpetual licenses, over a five-year expected period of benefit. As a result, a substantial portion of the revenue that we report in each period will be derived from the recognition of deferred revenue relating to agreements entered into during previous periods. Consequently, a decline in new sales or renewals in any one period, including as a result of the COVID-19 pandemic, may not be immediately reflected in our revenue results for that period. This decline, however, will negatively affect our revenue in future periods. Accordingly, the effect of significant downturns in sales and market acceptance of our solutions and potential changes in our rate of renewals may not be fully reflected in our results of operations until future periods. This also makes it difficult for us to rapidly increase our revenue growth through additional sales in any period, as revenue from new customers generally will be recognized over the term of the applicable agreement.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w:t>
      </w:r>
    </w:p>
    <w:p>
      <w:pPr>
        <w:spacing w:after="0" w:line="247"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As usage of our enterprise platform grows, and as customers expand in size or expand the number of IT assets or IP addresses under their subscriptions, we may need to devote additional resources to improving our technology</w:t>
      </w:r>
    </w:p>
    <w:p>
      <w:pPr>
        <w:sectPr>
          <w:pgSz w:w="11900" w:h="16838" w:orient="portrait"/>
          <w:cols w:equalWidth="0" w:num="1">
            <w:col w:w="11180"/>
          </w:cols>
          <w:pgMar w:left="320" w:top="1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architecture, integrating with third-party systems and maintaining infrastructure performance. In addition, we will need to appropriately scale our sales and marketing headcount, as well as grow our third-party channel partner network, to serve our growing customer base. If we are unable to scale our business appropriately, it could reduce the attractiveness of our solutions to customers, resulting in decreased sales to new customers, lower renewal rates by existing customers or the issuance of service credits or requested refunds, each of which could hurt our revenue growth and our reputation. Even if we are able to upgrade our systems and expand our personnel,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190" w:lineRule="exact"/>
        <w:rPr>
          <w:sz w:val="20"/>
          <w:szCs w:val="20"/>
          <w:color w:val="auto"/>
        </w:rPr>
      </w:pPr>
    </w:p>
    <w:p>
      <w:pPr>
        <w:ind w:right="540" w:firstLine="324"/>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interoperate with our customers’ network and security infrastructure, including remote devices, or with third-party products, websites or services, our results of operations may be harmed.</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enterprise platform offerings, Tenable.io, Tenable.sc and Tenable.ot, must interoperate with our customers’ existing network and security infrastructure, including remote devices. These complex systems are developed, delivered and maintained by the customer, their employees and a myriad of vendors and service providers. As a result, the components of our customers’ infrastructure, including remote devices, have different specifications, rapidly evolve, utilize multiple protocol standards, include multiple versions and generations of products and may be highly customized. We must be able to interoperate and provide our security offerings to customers with highly complex and customized networks, including remote devices, which requires careful planning and execution between our customers, our customer support teams and our channel partners. Further, when new or updated elements of our customers’ infrastructure, new usage trends, such as remote work during the COVID-19 pandemic, or new industry standards or protocols are introduced, we may have to update or enhance our cloud platform and our other solutions to allow us to continue to provide service to customers. Our competitors or other vendors may refuse to work with us to allow their products to interoperate with our solutions, which could make it difficult for our cloud platform to function properly in customer networks that include these third-party products.</w:t>
      </w:r>
    </w:p>
    <w:p>
      <w:pPr>
        <w:spacing w:after="0" w:line="211"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We may not deliver or maintain interoperability quickly or cost-effectively, or at all. These efforts require capital investment and engineering resources. If we fail to maintain compatibility of our cloud platform and our other solutions with our customers’ network and security infrastructures, including for remote devices, our customers may not be able to fully utilize our solutions, and we may, among other consequences, lose or fail to increase our market share and experience reduced demand for our services, which would materially harm our business, operating results and financial condition.</w:t>
      </w:r>
    </w:p>
    <w:p>
      <w:pPr>
        <w:spacing w:after="0" w:line="18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b w:val="1"/>
          <w:bCs w:val="1"/>
          <w:i w:val="1"/>
          <w:iCs w:val="1"/>
          <w:color w:val="auto"/>
        </w:rPr>
        <w:t>Our brand, reputation and ability to attract, retain and serve our customers are dependent in part upon the reliable and accurate performance of our solutions, infrastructure and third-party suppliers. If we experience performance problems, or if our solutions fail to detect vulnerabilities or incorrectly detect vulnerabilities, or if they contain undetected errors or defects, or if our third party service providers experience a security breach or unauthorized parties otherwise obtain access to our customers' data or systems, our brand and reputation could be harmed.</w:t>
      </w:r>
    </w:p>
    <w:p>
      <w:pPr>
        <w:spacing w:after="0" w:line="20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have experienced, and may in the future experience, disruptions, outages and other performance problems due to a variety of factors, including infrastructure changes, deliberate or unintentional human or software errors, capacity constraints and fraud or cybersecurity attacks. Any disruptions or other performance problems with our solutions could harm our reputation and business and may damage our customers’ businesses, including by interrupting their networking traffic or operational technology environments. Interruptions in our service delivery might reduce our revenue, cause us to issue credits to customers, subject us to potential liability and cause customers to not renew their purchases of our solutions.</w:t>
      </w:r>
    </w:p>
    <w:p>
      <w:pPr>
        <w:spacing w:after="0" w:line="208"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In addition, if our solutions fail to detect vulnerabilities in our customers’ cybersecurity infrastructure, including for remote devices, or if our solutions fail to identify new and increasingly complex methods of cyberattacks, our business and reputation may suffer. There is no guarantee that our solutions will detect all vulnerabilities, especially in light of the rapidly changing security landscape to which we must respond, including the increased remote work environment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COVID-19 pandemic. Additionally, our solutions may falsely detect vulnerabilities or threats that do not actually exist. For example, our solutions rely on information provided by an active community of users who contribute new exploits, attacks and vulnerabilities. If the information from these third parties is inaccurate, the potential for false indications of security vulnerabilities increases. These false positives, while typical in the industry, may impair the perceived reliability of our offerings and adversely impact market acceptance of our products and could result in negative publicity, loss of customers and sales and increased costs to remedy any problem.</w:t>
      </w:r>
    </w:p>
    <w:p>
      <w:pPr>
        <w:spacing w:after="0" w:line="205"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We have experienced errors or defects in the past in connection with the release of new solutions and product upgrades, and we expect that these errors or defects will be found from time to time in the future in new or enhanced solutions after commercial release. In addition, we use third parties to assist in the development of our products and these third parties could be a source of errors or defects. Defects may cause our solutions to be vulnerable to attacks, cause them to fail to detect vulnerabilities, or temporarily interrupt customers’ networking traffic or operational technology environments, any of which may damage our customers’ business and could hurt our reputation. If our solutions fail to detect vulnerabilities for any reason,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21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Computer malware, viruses, social engineering (phishing attacks), threats from insiders, and increasingly, threats from bad actors and advanced new attacks against information systems increase risk of cybersecurity incidents. These incidents can include, but are not limited to, gaining unauthorized access to digital systems for purposes of misappropriating assets or sensitive information, corrupting data or causing operational disruption. Because the techniques used to obtain unauthorized access, insert malicious code or other otherwise sabotage systems change frequently and may not immediately produce signs of intrusion, we may be unable to implement adequate preventative measures or timely discover these intrusions. An actual or perceived security breach or theft of the sensitive data of ours, one of our customers or partners, regardless of whether the breach is attributable to the failure of our solutions or employee error, could adversely affect the market’s perception of our brand and our offerings and subject us to legal claims.</w:t>
      </w:r>
    </w:p>
    <w:p>
      <w:pPr>
        <w:spacing w:after="0" w:line="183"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b w:val="1"/>
          <w:bCs w:val="1"/>
          <w:i w:val="1"/>
          <w:iCs w:val="1"/>
          <w:color w:val="auto"/>
        </w:rPr>
        <w:t>Our future quarterly results of operations are likely to fluctuate significantly due to a wide range of factors, which makes our future results difficult to predict.</w:t>
      </w:r>
    </w:p>
    <w:p>
      <w:pPr>
        <w:spacing w:after="0" w:line="175"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9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impact of the COVID-19 pandemic on our business and that of our partners and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demand for our enterprise platform;</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introduction of new products and product enhancements by existing competitors or new entrants into our market, and changes in pricing for solutions offered by us or our competitors;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rate of renewal of subscriptions, and extent of expansion of assets under such subscriptions, with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mix of customers licensing our products on a subscription basis as compared to a perpetual license;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large customers failing to renew their subscriptions;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timing and terms of our subscription agreements with new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interoperate our solutions with our customers’ network and security infrastructure, including remote devices;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growth of our business, in particular through our hiring of new employees and international expansion;</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network outages, security breaches, technical difficulties or interruptions with our solutions (including security breaches by our service providers or vendors);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growth rate of the markets in which we compete;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length of the license term, amount prepaid and other material terms of subscriptions to our solutions sold during a period;</w:t>
      </w:r>
    </w:p>
    <w:p>
      <w:pPr>
        <w:spacing w:after="0" w:line="9" w:lineRule="exact"/>
        <w:rPr>
          <w:rFonts w:ascii="Arial" w:cs="Arial" w:eastAsia="Arial" w:hAnsi="Arial"/>
          <w:sz w:val="18"/>
          <w:szCs w:val="18"/>
          <w:color w:val="auto"/>
        </w:rPr>
      </w:pPr>
    </w:p>
    <w:p>
      <w:pPr>
        <w:ind w:left="660" w:right="74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customers delaying purchasing decisions in anticipation of new developments or enhancements by us or our competitors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customers’ budgets;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 variations related to sales and marketing and other activities, such as expenses related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increase, retain and incentivize the channel partners that market and sell our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integrate our solutions with our ecosystem partners’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integrate any future acquisitions of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brand and reputation;</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our adoption of new or revised accounting pronouncements applicable to public companies and the impact on our results of operations;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such as third-party cloud infrastructure costs and facilities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hire, train and maintain our direct sales 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litigation and intellectual property infringement;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our effective tax rate;</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and political conditions, both domestically and internationally, as well as economic conditions specifically affecting industries in which our customers operate; and</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pandemics, war, incidents of terrorism or responses to these events.</w:t>
      </w:r>
    </w:p>
    <w:p>
      <w:pPr>
        <w:spacing w:after="0" w:line="225"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Any one of these or other factors discussed elsewhere in this Quarterly Report on Form 10-Q, or the cumulative effect of some of these factors, may result in fluctuations in our revenue and operating results, meaning that quarter-to-quarter comparisons of our revenue, results of operations and cash flows may not necessarily be indicative of our future performance and may cause us to miss our guidance and analyst expectations and may cause our stock price to decline.</w:t>
      </w:r>
    </w:p>
    <w:p>
      <w:pPr>
        <w:spacing w:after="0" w:line="204"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In addition, we have historically experienced seasonality in entering into agreements with customers. We typically enter into a significantly higher percentage of agreements with new customers, as well as renewal agreements with existing customers, in the third and fourth quarters. The increase in customer agreements in the third quarter is primarily attributable to U.S. government and related agencies, and the increase in the fourth quarter is primarily attributable to large enterprise account buying patterns typical in the software industry. We expect that seasonality will continue to affect our operating results in the future and may reduce our ability to predict cash flow and optimize the timing of our operating expenses.</w:t>
      </w:r>
    </w:p>
    <w:p>
      <w:pPr>
        <w:spacing w:after="0" w:line="186"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spacing w:after="0" w:line="198"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subscription offerings are term-based and a majority of our subscription contracts are for one year in duration. In order for us to maintain or improve our results of operations, it is important that a high percentage of our customers renew their subscriptions with us when the existing subscription term expires, and renew on the same or more favorable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if our existing customers choose to reduce or delay technology spending in response to economic conditions resulting from the ongoing COVID-19 pandemic, as well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in this Quarterly Report on Form 10-Q. Additionally, many of our customers, including certain top customers, have the right to terminate their agreements with us for convenience and for other reasons. We cannot assure you that customers will maintain their agreements with us, renew subscriptions or increase their usage of our software. If our customers do not maintain or renew their subscriptions or renew on less favorable terms, or if we are unable to expand our customers’ use of our software, our business, results of operations, and financial condition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maintain and enhance our brand.</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enterprise platform and attracting new customers.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customers necessary to realize a sufficient return on our brand-building efforts, or to achieve the widespread brand awareness that is critical for broad customer adoption of our solutions.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rely on third parties to maintain and operate certain elements of our network infrastructure.</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utilize data centers located in North America, Europe and Asia to operate and maintain certain elements of our own network infrastructure. Some elements of this complex system are operated by third parties that we do not control and that could require significant time to replace. We expect this dependence on third parties to continue. For example, Tenable.io is hosted on Amazon Web Services, or AWS, which provides us with computing and storage capacity. Interruptions in our systems or the third-party systems on which we rely, particularly AWS, whether due to system failures, computer viruses, physical or electronic break-ins or other factors, could affect the security or availability of our solutions, network infrastructure and website.</w:t>
      </w:r>
    </w:p>
    <w:p>
      <w:pPr>
        <w:spacing w:after="0" w:line="20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existing data center facilities and third-party hosting providers have no obligations to renew their agreements with us on commercially reasonable terms or at all, and certain of the agreements governing these relationships may be terminated by either party with notice or access to hosting services may be restricted by the provider at any time, with no or limited notice. For example, our agreement with AWS allows AWS to terminate the agreement with two years' written notice and allows AWS, under certain circumstances, to temporarily restrict access to hosting services provided by AWS without prior notice. Although we expect that we could receive similar services from other third parties, if any of our arrangements with third parties, including AWS, are terminated, we could experience interruptions on our platform and in our ability to make our platform available to customers, as well as downtime, delays and additional expenses in arranging alternative cloud infrastructure services.</w:t>
      </w:r>
    </w:p>
    <w:p>
      <w:pPr>
        <w:spacing w:after="0" w:line="20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It is possible that our customers and potential customers would hold us accountable for any breach of security affecting third parties’ infrastructure. We may incur significant liability from those customers and from third parties with respect to any such breach. Because our agreement with AWS limits their liability for damages, we may not be able to recover a material portion of our liabilities to our customers and third parties from AWS in the event of any breach affecting AWS systems.</w:t>
      </w:r>
    </w:p>
    <w:p>
      <w:pPr>
        <w:spacing w:after="0" w:line="182" w:lineRule="exact"/>
        <w:rPr>
          <w:sz w:val="20"/>
          <w:szCs w:val="20"/>
          <w:color w:val="auto"/>
        </w:rPr>
      </w:pPr>
    </w:p>
    <w:p>
      <w:pPr>
        <w:ind w:right="740" w:firstLine="324"/>
        <w:spacing w:after="0" w:line="287" w:lineRule="auto"/>
        <w:rPr>
          <w:sz w:val="20"/>
          <w:szCs w:val="20"/>
          <w:color w:val="auto"/>
        </w:rPr>
      </w:pPr>
      <w:r>
        <w:rPr>
          <w:rFonts w:ascii="Arial" w:cs="Arial" w:eastAsia="Arial" w:hAnsi="Arial"/>
          <w:sz w:val="18"/>
          <w:szCs w:val="18"/>
          <w:b w:val="1"/>
          <w:bCs w:val="1"/>
          <w:i w:val="1"/>
          <w:iCs w:val="1"/>
          <w:color w:val="auto"/>
        </w:rPr>
        <w:t>Organizations may be reluctant to purchase our enterprise platform offerings that are cloud-based due to the actual or perceived vulnerability of cloud solutions.</w:t>
      </w:r>
    </w:p>
    <w:p>
      <w:pPr>
        <w:spacing w:after="0" w:line="17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Some organizations, including those in the defense industry and highly regulated industries such as healthcare and financial services, have historically been reluctant to use cloud-based solutions for cybersecurity because they have concerns regarding the risks associated with the reliability or security of the technology delivery model associated with these solutions. If we or other software companies with cloud-based offerings experience security incidents, breaches of customer data, disruptions in service delivery or other problems, the market for cloud-based solutions as a whole may be negatively impacted, which in turn would negatively impact our revenue and our growth prospects.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sales cycle is long and unpredictable.</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timing of sales of our offerings is difficult to forecast because of the length and unpredictability of our sales cycle, particularly with large enterprises and with respect to certain of our solutions. We sell our solutions primarily to IT departments that are managing a growing set of user and compliance demands, which has increased the complexity of customer requirements to be met and confirmed during the sales cycle and prolonged our sales cycle. Our average sales cycle with an enterprise customer is approximately four months, and to the extent we continue to enter into larger deals, our average sales cycle is likely to increase. Further, the length of time that potential customers devote to their testing and evaluation, contract negotiation and budgeting processes varies significantly, depending on the size of the organization and nature of the product or service under consideration. The COVID-19 pandemic has also impacted the budgets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purchasing decisions and processes of certain of our customers and prospective customers, some of whom have added additional controls on expenditures and require additional internal approvals of expenditures, even if relatively small in dollar amount, all of which could lengthen our sales cycle. In addition, we might devote substantial time and effort to a particular unsuccessful sales effort, and as a result, we could lose other sales opportunities or incur expenses that are not offset by an increase in revenue, which could harm our business.</w:t>
      </w:r>
    </w:p>
    <w:p>
      <w:pPr>
        <w:spacing w:after="0" w:line="182"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b w:val="1"/>
          <w:bCs w:val="1"/>
          <w:i w:val="1"/>
          <w:iCs w:val="1"/>
          <w:color w:val="auto"/>
        </w:rPr>
        <w:t>Regulatory, legislative or self-regulatory standard developments regarding privacy and data security matters could adversely affect our ability to conduct our business.</w:t>
      </w:r>
    </w:p>
    <w:p>
      <w:pPr>
        <w:spacing w:after="0" w:line="175" w:lineRule="exact"/>
        <w:rPr>
          <w:sz w:val="20"/>
          <w:szCs w:val="20"/>
          <w:color w:val="auto"/>
        </w:rPr>
      </w:pPr>
    </w:p>
    <w:p>
      <w:pPr>
        <w:ind w:right="100" w:firstLine="324"/>
        <w:spacing w:after="0" w:line="267" w:lineRule="auto"/>
        <w:rPr>
          <w:sz w:val="20"/>
          <w:szCs w:val="20"/>
          <w:color w:val="auto"/>
        </w:rPr>
      </w:pPr>
      <w:r>
        <w:rPr>
          <w:rFonts w:ascii="Arial" w:cs="Arial" w:eastAsia="Arial" w:hAnsi="Arial"/>
          <w:sz w:val="17"/>
          <w:szCs w:val="17"/>
          <w:color w:val="auto"/>
        </w:rPr>
        <w:t>We, along with a significant number of our customers, are subject to laws, rules, regulations, and industry standards related to data privacy and cyber security, and restrictions or technological requirements regarding the collection, use, storage, protection, retention or transfer of data. For example, the General Data Protection Regulation, or GDPR, came into force in May 2018. The GDPR contains numerous requirements and changes from prior European Union, or EU, law, including more robust obligations on data processors and data controllers, greater rights for data subjects, and heavier documentation requirements for data protection compliance programs. Specifically, the GDPR introduced numerous privacy-related changes for companies operating in the EU, including greater control over personal data by data subjects, such as the “right to be forgotten", increased data portability for EU consumers, data breach notification requirements, and increased fines. In particular, under the GDPR, fines of up to €20 million or up to 4% of the annual global revenue of the noncompliant company, whichever is greater, could be imposed for violations of certain of the GDPR’s requirements. The GDPR requirements apply not only to third-party transactions, but also to transfers of information between us and our subsidiaries, including employee information. We have an internal data privacy function that oversees and supervises our compliance with European data protection regulations.</w:t>
      </w:r>
    </w:p>
    <w:p>
      <w:pPr>
        <w:spacing w:after="0" w:line="200"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 the United States and globally, governments and agencies have adopted, and could in the future adopt, modify, apply or enforce laws, policies, regulations, and standards covering data subject privacy, data security, technologies such as cookies that are used to collect, store and/or process data, marketing online, the use of data to inform marketing, the taxation of products and services, unfair and deceptive practices and the collection, including the collection of information, use, processing, transfer, storage and/or disclosure of data associated with unique individual internet users. We may be subject directly or via contract to such laws, policies, regulations, and standards. New regulation or legislative actions regarding data privacy and security, together with applicable industry standards, may increase the costs of doing business and could have a material adverse impact on our operations and cash flows.</w:t>
      </w:r>
    </w:p>
    <w:p>
      <w:pPr>
        <w:spacing w:after="0" w:line="20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While we have taken steps to mitigate the impact on us, such as implementing standard contractual clauses as appropriate and self-certifying under the EU-US Privacy Shield, or the Privacy Shield, the efficacy and longevity of these mechanisms remains uncertain. For example, the European Court of Justice recently invalidated the use of the Privacy Shield, which had enabled the transfer of personal data from the European Union to the United States for companies like us that were self-certified under the Privacy Shield. The ECJ also called into question the use of the standard contractual clauses. As we are no longer able to rely on the Privacy Shield, our costs could increase and our ability to efficiently process personal data from the European Union could be negatively impacted. In addition, there are various activities in the European Union that could lead to the invalidation of the standard contractual clauses as accepted mechanisms for transferring personal data of European Union data subjects across borders, which could require us to implement costly substitutions for the data transfers we undertake in order to perform our services, or prevent such transfers entirely. Further, local data protection authorities general may have different interpretations of the GDPR, leading to potential inconsistencies amongst various EU states.</w:t>
      </w:r>
    </w:p>
    <w:p>
      <w:pPr>
        <w:spacing w:after="0" w:line="21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Additionally, the exit by the United Kingdom from the EU, or Brexit, took effect in January 2020, which will lead to further legislative and regulatory changes. While the Data Protection Act of 2018, that “implements” and complements the GDPR achieved Royal Assent on May 23, 2018 and is now effective in the United Kingdom, it is still unclear whether transfer of data from the EEA to the United Kingdom will remain lawful in the long term under GDPR. With the expiration of the transition period on December 31, 2020, companies will have to comply with the GDPR and the GDPR as incorporated into United Kingdom national law, which has the ability to separately fine up to the greater of £17.5 million or 4% of global turnover. The relationship between the United Kingdom and the European Union in relation to certain aspects of data protection law remains unclear, for example around how data can lawfully be transferred between each jurisdiction, which exposes us to further compliance risk. We may incur liabilities, expenses, costs, and other operational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losses under GDPR and applicable EU Member States and the United Kingdom privacy laws in connection with any measures we take to comply with them.</w:t>
      </w:r>
    </w:p>
    <w:p>
      <w:pPr>
        <w:spacing w:after="0" w:line="19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Similarly, there are a number of federal and state level legislative proposals in the United States that could impose new obligations on us. For example, the California Consumer Privacy Act, or the CCPA, went into effect on January 1, 2020 and creates new individual privacy rights for consumers and places increased privacy and security obligations on entities handling the personal data of consumers or households. The CCPA requires covered businesses to provide new disclosures to California consumers, which could include our employees residing in California based on the broad definitions in the law, to provide such consumers new ways to opt out of certain sales of personal information and to allow for new causes of action for data breaches. In addition, some countries are considering or have passed legislation implementing more onerous data protection requirements or requiring local storage and processing of data or other requirements that could increase the cost and complexity of delivering our services.</w:t>
      </w:r>
    </w:p>
    <w:p>
      <w:pPr>
        <w:spacing w:after="0" w:line="20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Further, California voters approved a new privacy law, the California Privacy Rights Act, or CPRA, in November 2020. Effective on January 1, 2023, the CPRA will significantly modify the CCPA, including by expanding consumers’ rights with respect to certain sensitive personal information. The CPRA also creates a new state agency that will be vested with authority to implement and enforce the CCPA and the CPRA. New legislation proposed or enacted in various other states will continue to shape the data privacy environment nationally.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w:t>
      </w:r>
    </w:p>
    <w:p>
      <w:pPr>
        <w:spacing w:after="0" w:line="20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If we are investigated by an applicable data protection authority or are determined to have not complied with applicable laws, we may face fines and other penalties. Any such investigation or charges by applicable data protection authorities could have a negative effect on our existing business and on our ability to attract and retain new customers. Existing and proposed laws and regulations can be costly to comply with, could expose us to significant penalties for non-compliance, can delay or impede the development or adoption of our products and services, reduce the overall demand for our services, result in negative publicity, increase our operating costs, require significant management time and attention and subject us to claims or other remedies, including fines or demands that we modify or cease existing business practices.</w:t>
      </w:r>
    </w:p>
    <w:p>
      <w:pPr>
        <w:spacing w:after="0" w:line="185" w:lineRule="exact"/>
        <w:rPr>
          <w:sz w:val="20"/>
          <w:szCs w:val="20"/>
          <w:color w:val="auto"/>
        </w:rPr>
      </w:pPr>
    </w:p>
    <w:p>
      <w:pPr>
        <w:ind w:right="720" w:firstLine="324"/>
        <w:spacing w:after="0" w:line="287" w:lineRule="auto"/>
        <w:rPr>
          <w:sz w:val="20"/>
          <w:szCs w:val="20"/>
          <w:color w:val="auto"/>
        </w:rPr>
      </w:pPr>
      <w:r>
        <w:rPr>
          <w:rFonts w:ascii="Arial" w:cs="Arial" w:eastAsia="Arial" w:hAnsi="Arial"/>
          <w:sz w:val="18"/>
          <w:szCs w:val="18"/>
          <w:b w:val="1"/>
          <w:bCs w:val="1"/>
          <w:i w:val="1"/>
          <w:iCs w:val="1"/>
          <w:color w:val="auto"/>
        </w:rPr>
        <w:t>We rely on our third-party channel partner network of distributors and resellers to generate a substantial amount of our revenue.</w:t>
      </w:r>
    </w:p>
    <w:p>
      <w:pPr>
        <w:spacing w:after="0" w:line="17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Our success is dependent in part upon establishing and maintaining relationships with a variety of channel partners that we utilize to extend our geographic reach and market penetration. We use a two-tiered, indirect fulfillment model whereby we sell our products and services to our distributors, which in turn sell to our resellers, which then sell to our end users, which we call customers. We anticipate that we will continue to rely on this two-tiered sales model in order to help facilitate sales of our offerings as part of larger purchases in the United States and to grow our business internationally. In the three months ended March 31, 2021 and 2020, we derived 92% and 91%, respectively, of our revenue from subscriptions and perpetual licenses sold through channel partners, and the percentage of revenue derived from channel partners may continue to increase in future periods. Ingram Micro, Inc., a distributor, accounted for 41% and 43% of our revenue in the three months ended March 31, 2021 and 2020, respectively, and 41% of our accounts receivable as of March 31, 2021. Our agreements with our channel partners, including our agreement with Ingram Micro, are non-exclusive and do not prohibit them from working with our competitors or offering competing solutions, and some of our channel partners may have more established relationships with our competitors. Similarly, our channel partners have no obligations to renew their agreements with us on commercially reasonable terms or at all, and certain of the agreements governing these relationships may be terminated by either party at any time, with no or limited notice. For example, our agreement with Ingram Micro allows Ingram Micro to terminate the agreement in their discretion upon 30 days’ written notice to us. If our channel partners choose to place greater emphasis on products of their own or those offered by our competitors or a result of an acquisition, competitive factors or other reasons do not continue to market and sell our solutions in an effective manner or at all, our ability to grow our business and sell our solutions, particularly in key international markets, may be adversely affected. In addition, our failure to recruit additional channel partners, or any reduction or delay in their sales of our solutions and professional services, including as a result of the COVID-19 pandemic, or conflicts between channel sales and our direct sales and marketing activities may harm our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operations. Finally, even if we are successful, our relationships with channel partners may not result in greater customer usage of our solutions and professional services or increased revenue.</w:t>
      </w:r>
    </w:p>
    <w:p>
      <w:pPr>
        <w:spacing w:after="0" w:line="176"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b w:val="1"/>
          <w:bCs w:val="1"/>
          <w:i w:val="1"/>
          <w:iCs w:val="1"/>
          <w:color w:val="auto"/>
        </w:rPr>
        <w:t>A portion of our revenue is generated from subscriptions and perpetual licenses sold to domestic governmental entities, foreign governmental entities and other heavily regulated organizations, which are subject to a number of challenges and risks.</w:t>
      </w:r>
    </w:p>
    <w:p>
      <w:pPr>
        <w:spacing w:after="0" w:line="175" w:lineRule="exact"/>
        <w:rPr>
          <w:sz w:val="20"/>
          <w:szCs w:val="20"/>
          <w:color w:val="auto"/>
        </w:rPr>
      </w:pPr>
    </w:p>
    <w:p>
      <w:pPr>
        <w:ind w:right="220" w:firstLine="324"/>
        <w:spacing w:after="0" w:line="251" w:lineRule="auto"/>
        <w:rPr>
          <w:sz w:val="20"/>
          <w:szCs w:val="20"/>
          <w:color w:val="auto"/>
        </w:rPr>
      </w:pPr>
      <w:r>
        <w:rPr>
          <w:rFonts w:ascii="Arial" w:cs="Arial" w:eastAsia="Arial" w:hAnsi="Arial"/>
          <w:sz w:val="18"/>
          <w:szCs w:val="18"/>
          <w:color w:val="auto"/>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and funding authorizations, with funding reductions or delays adversely affecting public sector demand for our enterprise platform. In addition, governmental entities have the authority to terminate contracts at any time for the convenience of the government, which creates risk regarding revenue anticipated under our existing government contracts.</w:t>
      </w:r>
    </w:p>
    <w:p>
      <w:pPr>
        <w:spacing w:after="0" w:line="21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 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 our enterprise platform and to grow or maintain our customer base. In addition, engaging in sales activities to foreign governments introduces additional compliance risks, including risks specific to anti-bribery regulations, including the U.S. Foreign Corrupt Practices Act of 1977, as amended, or the FCPA, the U.K. Bribery Act 2010 and other similar statutory requirements prohibiting bribery and corruption in the jurisdictions in which we operate. Further, in some jurisdictions we may be required to obtain government certifications, which may be costly to maintain and, if we lost such certifications in the future or if such certification requirements changed, would restrict our ability to sell to government entities until we have attained such certifications.</w:t>
      </w:r>
    </w:p>
    <w:p>
      <w:pPr>
        <w:spacing w:after="0" w:line="207"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Some of our revenue is derived from contracts with U.S. government entities, as well as subcontracts with higher-tier contractors. As a result, we are subject to federal contracting regulations, including the Federal Acquisition Regulation, or the FAR. Under the FAR, certain types of contracts require pricing that is based on estimated direct and indirect costs, which are subject to change.</w:t>
      </w:r>
    </w:p>
    <w:p>
      <w:pPr>
        <w:spacing w:after="0" w:line="202"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w:t>
      </w:r>
    </w:p>
    <w:p>
      <w:pPr>
        <w:spacing w:after="0" w:line="208"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In the course of providing our solutions and professional services to governmental entities, our employees and those of our channel partners may be exposed to sensitive government information. Any failure by us or our channel partners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safeguard and maintain the confidentiality of such information could subject us to liability and reputational harm, which could materially and adversely affect our results of operations and financial performance.</w:t>
      </w:r>
    </w:p>
    <w:p>
      <w:pPr>
        <w:spacing w:after="0" w:line="176" w:lineRule="exact"/>
        <w:rPr>
          <w:sz w:val="20"/>
          <w:szCs w:val="20"/>
          <w:color w:val="auto"/>
        </w:rPr>
      </w:pPr>
    </w:p>
    <w:p>
      <w:pPr>
        <w:ind w:right="680" w:firstLine="324"/>
        <w:spacing w:after="0" w:line="287" w:lineRule="auto"/>
        <w:rPr>
          <w:sz w:val="20"/>
          <w:szCs w:val="20"/>
          <w:color w:val="auto"/>
        </w:rPr>
      </w:pPr>
      <w:r>
        <w:rPr>
          <w:rFonts w:ascii="Arial" w:cs="Arial" w:eastAsia="Arial" w:hAnsi="Arial"/>
          <w:sz w:val="18"/>
          <w:szCs w:val="18"/>
          <w:b w:val="1"/>
          <w:bCs w:val="1"/>
          <w:i w:val="1"/>
          <w:iCs w:val="1"/>
          <w:color w:val="auto"/>
        </w:rPr>
        <w:t>Our pricing model subjects us to various challenges that could make it difficult for us to derive expected value from our customers and we may need to reduce our prices or change our pricing model to remain competitive.</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Subscriptions and perpetual licenses to our enterprise platform are generally priced based on the number of IP addresses or total IT assets that can be monitored. We expect that we may need to change our pricing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 to large-size enterprises may demand substantial price discounts as part of the negotiation of sales contracts and, as the amount of IT assets or IP addresses within our customers' organization grows, we may face additional pressure from our customers regarding our pricing. As a result, we may be required or choose to reduce our prices or change our pricing model, which could adversely affect our business, revenue, operating margins and financial condition.</w:t>
      </w:r>
    </w:p>
    <w:p>
      <w:pPr>
        <w:spacing w:after="0" w:line="20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Further, our subscription agreements and perpetual licenses generally provide that we can audit our customers’ use of our offerings to ensure compliance with the terms of such agreement or license and monitor an increase in IT assets and IP addresses being monitored. However, a customer may resist or refuse to allow us to audit their usage, in which case we may have to pursue legal recourse to enforce our rights under the agreement or license, which would require us to spend money, distract management and potentially adversely affect our relationship with our customers and users.</w:t>
      </w:r>
    </w:p>
    <w:p>
      <w:pPr>
        <w:spacing w:after="0" w:line="183"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achieve sufficient market acceptance, our results of operations and competitive position will suffer.</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spend substantial amounts of time and money to research and develop and enhance our enterprise platform offerings to meet our customers’ rapidly evolving demands. In addition, we invest in efforts to continue to add capabilities to our existing products and enable the continued detection of new network vulnerabilities. We typically incur expenses and expend resources upfront to market, promote and sell our new and enhanced offerings. Therefore, when we develop and introduce new or enhanced offerings, they must achieve high levels of market acceptance in order to justify the amount of our investment in developing and bringing them to market. For example, if Tenable Lumin does not garner widespread market adoption and implementation, our operating results and competitive position could suffer.</w:t>
      </w:r>
    </w:p>
    <w:p>
      <w:pPr>
        <w:spacing w:after="0" w:line="208" w:lineRule="exact"/>
        <w:rPr>
          <w:sz w:val="20"/>
          <w:szCs w:val="20"/>
          <w:color w:val="auto"/>
        </w:rPr>
      </w:pPr>
    </w:p>
    <w:p>
      <w:pPr>
        <w:jc w:val="both"/>
        <w:ind w:right="140" w:firstLine="324"/>
        <w:spacing w:after="0" w:line="291" w:lineRule="auto"/>
        <w:rPr>
          <w:sz w:val="20"/>
          <w:szCs w:val="20"/>
          <w:color w:val="auto"/>
        </w:rPr>
      </w:pPr>
      <w:r>
        <w:rPr>
          <w:rFonts w:ascii="Arial" w:cs="Arial" w:eastAsia="Arial" w:hAnsi="Arial"/>
          <w:sz w:val="17"/>
          <w:szCs w:val="17"/>
          <w:color w:val="auto"/>
        </w:rPr>
        <w:t>Further, we may make enhancements to our offerings that our customers do not like, find useful or agree with. We may also discontinue certain features, begin to charge for certain features that are currently free or increase fees for any of our features or usage of our offerings.</w:t>
      </w:r>
    </w:p>
    <w:p>
      <w:pPr>
        <w:spacing w:after="0" w:line="174"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auto"/>
        </w:rPr>
        <w:t>Our new offerings or enhancements and changes to our existing offerings could fail to attain sufficient market acceptance for many reasons, including:</w:t>
      </w:r>
    </w:p>
    <w:p>
      <w:pPr>
        <w:spacing w:after="0" w:line="90" w:lineRule="exact"/>
        <w:rPr>
          <w:sz w:val="20"/>
          <w:szCs w:val="20"/>
          <w:color w:val="auto"/>
        </w:rPr>
      </w:pPr>
    </w:p>
    <w:p>
      <w:pPr>
        <w:ind w:left="660" w:right="70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predict market demand accurately, including changes in demand as a result of the COVID-19 pandemic, in terms of functionality and to supply offerings that meets this demand in a timely fashion;</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releasing our new offerings or enhancements to our existing offerings to the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poor business conditions for our customers, including as a result of the COVID-19 pandemic, causing them to delay or forgo IT purchases; and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reluctance of customers to purchase cloud-based offerings.</w:t>
      </w:r>
    </w:p>
    <w:p>
      <w:pPr>
        <w:spacing w:after="0" w:line="225"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If our new or enhanced offerings do not achieve adequate acceptance in the market, our competitive position will be impaired, and our revenue will be diminished. The adverse effect on our operating results may be particularly acute because of the significant research, development, marketing, sales and other expenses we will have incurred in connection with the new or enhanced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00" w:firstLine="324"/>
        <w:spacing w:after="0" w:line="287" w:lineRule="auto"/>
        <w:rPr>
          <w:sz w:val="20"/>
          <w:szCs w:val="20"/>
          <w:color w:val="auto"/>
        </w:rPr>
      </w:pPr>
      <w:r>
        <w:rPr>
          <w:rFonts w:ascii="Arial" w:cs="Arial" w:eastAsia="Arial" w:hAnsi="Arial"/>
          <w:sz w:val="18"/>
          <w:szCs w:val="18"/>
          <w:b w:val="1"/>
          <w:bCs w:val="1"/>
          <w:i w:val="1"/>
          <w:iCs w:val="1"/>
          <w:color w:val="auto"/>
        </w:rPr>
        <w:t>Our strategy of offering and deploying our solutions in the cloud, on-premises environments or using a hybrid approach causes us to incur increased expenses and may pose challenges to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offer and sell our enterprise platform for use in the cloud, on-premises environments or using a hybrid approach using the customer’s own infrastructure. Our cloud offering enables our customers to eliminate the burden of provisioning and maintaining infrastructure and to scale their usage of our solutions quickly, while our on-premises offering allows for the customer’s complete control over data security and software infrastructure. Historically, our solutions were developed in the context of the on-premises offering, and we have less operating experience offering and selling subscriptions to our solutions via our cloud offering. Although a substantial majority of our revenue has historically been generated from customers using our solutions on an on-premises basis, our customers are increasingly adopting our cloud offering. We expect that our customers will continue to move to our cloud offering and that it will become more central to our distribution model. We expect our gross profit to increase in absolute dollars and our gross margin to decrease to the extent that revenue from our cloud-based subscriptions increases as a percentage of revenue, although our gross margin could fluctuate from period to period. To support both on-premises environments and cloud instances of our product, our support team must be trained on and learn multiple environments in which our solution is deployed, which is more expensive than supporting only a cloud offering. Moreover, we must engineer our software for an on-premises environment, cloud offering and hybrid installation, which we expect will cause us additional research and development expense that may impact our operating results. As more of our customers transition to the cloud, we may be subject to additional competitive pressures, which may harm our business. We are directing a significant portion of our financial and operating resources to implement a robust and secure cloud offering for our customers, but even if we continue to make these investments, we may be unsuccessful in growing or implementing our cloud offering in a way that competes successfully against our current and future competitors and our business, results of operations and financial condition could be harmed.</w:t>
      </w:r>
    </w:p>
    <w:p>
      <w:pPr>
        <w:spacing w:after="0" w:line="186"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b w:val="1"/>
          <w:bCs w:val="1"/>
          <w:i w:val="1"/>
          <w:iCs w:val="1"/>
          <w:color w:val="auto"/>
        </w:rPr>
        <w:t>Our customers’ increased usage of our cloud-based offerings requires us to continually improve our computer network and infrastructure to avoid service interruptions or slower system performance.</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As usage of our cloud-based offerings grows and as customers use them for more complicated applications, increased assets and with increased data requirements, we will need to devote additional resources to improving our platform architecture and our infrastructure in order to maintain the performance of our cloud offering. Any failure or delays in our computer systems could cause service interruptions or slower system performance. If sustained or repeated, these performance issues could reduce the attractiveness of our enterprise platform to customers. These performance issues could result in lost customer opportunities and lower renewal rates, any of which could hurt our revenue growth, customer loyalty and reputation.</w:t>
      </w:r>
    </w:p>
    <w:p>
      <w:pPr>
        <w:spacing w:after="0" w:line="186"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b w:val="1"/>
          <w:bCs w:val="1"/>
          <w:i w:val="1"/>
          <w:iCs w:val="1"/>
          <w:color w:val="auto"/>
        </w:rPr>
        <w:t>A component of our growth strategy is dependent on our continued international expansion, which adds complexity to our operations.</w:t>
      </w:r>
    </w:p>
    <w:p>
      <w:pPr>
        <w:spacing w:after="0" w:line="175"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We market and sell our solutions and professional services throughout the world and have personnel in many parts of the world. International operations generated 41% and 38% of our revenue in the three months ended March 31, 2021 and 2020, respectively. Our growth strategy is dependent, in part, on our continued international expansion. We expect to conduct a significant amount of our business with organizations that are located outside the United States, particularly in Europe and Asia. We cannot assure that our expansion efforts into international markets will be successful in creating further demand for our solutions and professional services outside of the United States or in effectively selling our solutions and professional services in the international markets that we enter. Our current international operations and future initiatives will involve a variety of risks, including:</w:t>
      </w:r>
    </w:p>
    <w:p>
      <w:pPr>
        <w:spacing w:after="0" w:line="9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management, infrastructure and legal costs associated with having international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reliance on channel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trade and foreign exchange restrictions, including potential changes in trade relations arising from policy initiatives;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instability related to the United Kingdom’s recent exit from the European Union and the corresponding impact on its ongoing legal, political, and economic relationship with the European Union;</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travel restrictions resulting from the COVID-19 pandemic, including restrictions on U.S. travelers entering some foreign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regulatory requirements, including, but not limited to data privacy, data protection and data security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and costs of staffing, managing and potentially reorganizing foreign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differing labor regulations in foreign jurisdictions where labor laws are generally more advantageous to employees, including deemed hourly wage and overtime regulations in these locations;</w:t>
      </w:r>
    </w:p>
    <w:p>
      <w:pPr>
        <w:ind w:left="660" w:right="8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FCPA, import and export control laws, tariffs, trade barriers, economic sanctions and other regulatory or contractual limitations on our ability to sell or provide our solutions in certain foreign markets, and the risks and costs of non-compliance;</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ind w:left="660" w:right="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for political unrest, pandemics, acts of terrorism, hostilities or war;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associated with language localization of our solutions;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of compliance with multiple and possibly overlapping tax structures and regimes.</w:t>
      </w:r>
    </w:p>
    <w:p>
      <w:pPr>
        <w:spacing w:after="0" w:line="225" w:lineRule="exact"/>
        <w:rPr>
          <w:sz w:val="20"/>
          <w:szCs w:val="20"/>
          <w:color w:val="auto"/>
        </w:rPr>
      </w:pPr>
    </w:p>
    <w:p>
      <w:pPr>
        <w:jc w:val="both"/>
        <w:ind w:right="280" w:firstLine="324"/>
        <w:spacing w:after="0" w:line="250" w:lineRule="auto"/>
        <w:rPr>
          <w:sz w:val="20"/>
          <w:szCs w:val="20"/>
          <w:color w:val="auto"/>
        </w:rPr>
      </w:pPr>
      <w:r>
        <w:rPr>
          <w:rFonts w:ascii="Arial" w:cs="Arial" w:eastAsia="Arial" w:hAnsi="Arial"/>
          <w:sz w:val="18"/>
          <w:szCs w:val="18"/>
          <w:color w:val="auto"/>
        </w:rPr>
        <w:t>Our business, including the sales of our solutions and professional services by us and our channel partners, may be subject to foreign governmental regulations, which vary substantially from country to country and change from time to time. Our failure, or the failure by our channel partners, to comply with these regulations could adversely affect our business. Further, in many foreign countries it is common for others to engage in business practices that are prohibited by our internal policies and procedures or U.S. regulations applicable to us.</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Although we have implemented policies and procedures designed to comply with these laws and policies, there can be no assurance that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expansion and operations, our business and operating results could be adversely affected.</w:t>
      </w:r>
    </w:p>
    <w:p>
      <w:pPr>
        <w:spacing w:after="0" w:line="186"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b w:val="1"/>
          <w:bCs w:val="1"/>
          <w:i w:val="1"/>
          <w:iCs w:val="1"/>
          <w:color w:val="auto"/>
        </w:rPr>
        <w:t>We rely on the performance of highly skilled personnel, including senior management and our engineering, professional services, sales and technology professionals, and our ability to increase our customer base will depend to a significant extent on our ability to expand our sales and marketing operations.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believe our success has depended, and continues to depend, on the efforts and talents of our senior management team and our highly skilled team members, including our sales personnel, professional services personnel and software engineers. We do not maintain key person insurance on any of our executive officers or key employees. Our senior management and key employees are employed on an at-will basis, which means that they could terminate their employment with us at any time. The loss of any of our senior management or key employees could adversely affect our ability to execute our business plan, and we may not be able to find adequate replacements. We cannot ensure that we will be able to retain the services of any members of our senior management or other key employees.</w:t>
      </w:r>
    </w:p>
    <w:p>
      <w:pPr>
        <w:spacing w:after="0" w:line="20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Our ability to successfully pursue our growth strategy also depends on our ability to attract, motivate and retain our personnel. Competition for well-qualified employees in all aspects of our business is intense. If we do not succeed in attracting well-qualified employees or retaining and motivating existing employees, our business would be adversely affected.</w:t>
      </w:r>
    </w:p>
    <w:p>
      <w:pPr>
        <w:spacing w:after="0" w:line="202" w:lineRule="exact"/>
        <w:rPr>
          <w:sz w:val="20"/>
          <w:szCs w:val="20"/>
          <w:color w:val="auto"/>
        </w:rPr>
      </w:pPr>
    </w:p>
    <w:p>
      <w:pPr>
        <w:ind w:right="560" w:firstLine="324"/>
        <w:spacing w:after="0" w:line="256" w:lineRule="auto"/>
        <w:rPr>
          <w:sz w:val="20"/>
          <w:szCs w:val="20"/>
          <w:color w:val="auto"/>
        </w:rPr>
      </w:pPr>
      <w:r>
        <w:rPr>
          <w:rFonts w:ascii="Arial" w:cs="Arial" w:eastAsia="Arial" w:hAnsi="Arial"/>
          <w:sz w:val="18"/>
          <w:szCs w:val="18"/>
          <w:color w:val="auto"/>
        </w:rPr>
        <w:t>In addition, our ability to increase our customer base and achieve broader market acceptance of our Cyber Exposure solutions will depend to a significant extent on our ability to expand our sales force and our third-party channel partner network of distributors and resellers, both domestically and internationally. We may not be successful in attracting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retaining talented sales personnel or strategic partners, and any new sales personnel or strategic partners may not be able to achieve productivity in a reasonable period of time or at all. We also plan to dedicate significant resources to sales and marketing programs, including through electronic marketing campaigns and, when deemed safe to do so, trade event sponsorship and participation. All of these efforts will require us to invest significant financial and other resources and our business will be harmed if our efforts do not generate a correspondingly significant increase in revenue.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offer high-quality support.</w:t>
      </w:r>
    </w:p>
    <w:p>
      <w:pPr>
        <w:spacing w:after="0" w:line="247"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Our customers rely on our personnel for support of our enterprise platform. High-quality support is important for the renewal of our agreements with existing customers and to our existing customers expanding the number of IP addresses or IT assets under their subscriptions. The importance of high-quality support will increase as we expand our business and pursue new customers. If we do not help our customers quickly resolve issues and provide effective ongoing support, our ability to sell new software to existing and new customers would suffer and our reputation with existing or potential customers would be harmed.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247"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order to grow our business, we anticipate that we will continue to depend on relationships with strategic partners to provide broader customer coverage and solution delivery capabilities. We depend on partnerships with market leading technology companies to maintain and expand our Cyber Exposure ecosystem by integrating third party data into our platform. Identifying partners, and negotiating and documenting relationships with them, requires significant time and resources. Our agreements with our strategic partners generally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product,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solutions by potential customers. We also license third-party threat data that is used in our solutions in order to deliver our offerings. In the future, this data may not be available to us on commercially reasonable terms, or at all. Any loss of the right to use any of this data could result in delays in the provisioning of our offerings until equivalent data is either developed by us, or, if available, is identified, obtained and integrated, which could harm our business.</w:t>
      </w:r>
    </w:p>
    <w:p>
      <w:pPr>
        <w:spacing w:after="0" w:line="210"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If we are unsuccessful in establishing or maintaining our relationships with third parties, our ability to compete in the marketplace or to grow our revenue could be impaired and our operating results may suffer. Even if we are successful, we cannot assure you that these relationships will result in increased customer usage of our solutions or increased revenue.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corporate headquarters are located in Columbia, Maryland. The area around Washington, D.C. could be subject to terrorist attacks. Additionally, we rely on our network and third-party infrastructure and enterprise applications, internal technology systems and our website for our development, marketing, operational support, hosted services and sales activities. Substantially all of our employees have been working remotely due to the COVID-19 pandemic, which may pose additional security risks. In the event of a major hurricane, earthquake or catastrophic event such as fire, power loss, telecommunications failure, cyberattack, war or terrorist attack, or epidemic or pandemic, such as the COVID-19 pandemic, that impacts our corporate headquarters, other facilities, or off-premises infrastructure,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and future acquisitions could disrupt our business and adversely affect our business operations and financial results.</w:t>
      </w:r>
    </w:p>
    <w:p>
      <w:pPr>
        <w:spacing w:after="0" w:line="247" w:lineRule="exact"/>
        <w:rPr>
          <w:sz w:val="20"/>
          <w:szCs w:val="20"/>
          <w:color w:val="auto"/>
        </w:rPr>
      </w:pPr>
    </w:p>
    <w:p>
      <w:pPr>
        <w:ind w:right="500" w:firstLine="324"/>
        <w:spacing w:after="0" w:line="261" w:lineRule="auto"/>
        <w:rPr>
          <w:sz w:val="20"/>
          <w:szCs w:val="20"/>
          <w:color w:val="auto"/>
        </w:rPr>
      </w:pPr>
      <w:r>
        <w:rPr>
          <w:rFonts w:ascii="Arial" w:cs="Arial" w:eastAsia="Arial" w:hAnsi="Arial"/>
          <w:sz w:val="18"/>
          <w:szCs w:val="18"/>
          <w:color w:val="auto"/>
        </w:rPr>
        <w:t>We have in the past acquired products, technologies and businesses from other parties, and we may choose to expand our current business by acquiring additional businesses or technologies in the future. Acquisitions involve many risks, including the following:</w:t>
      </w:r>
    </w:p>
    <w:p>
      <w:pPr>
        <w:spacing w:after="0" w:line="90" w:lineRule="exact"/>
        <w:rPr>
          <w:sz w:val="20"/>
          <w:szCs w:val="20"/>
          <w:color w:val="auto"/>
        </w:rPr>
      </w:pPr>
    </w:p>
    <w:p>
      <w:pPr>
        <w:ind w:left="660" w:right="14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solutions;</w:t>
      </w:r>
    </w:p>
    <w:p>
      <w:pPr>
        <w:spacing w:after="0" w:line="9" w:lineRule="exact"/>
        <w:rPr>
          <w:rFonts w:ascii="Arial" w:cs="Arial" w:eastAsia="Arial" w:hAnsi="Arial"/>
          <w:sz w:val="18"/>
          <w:szCs w:val="18"/>
          <w:color w:val="auto"/>
        </w:rPr>
      </w:pPr>
    </w:p>
    <w:p>
      <w:pPr>
        <w:ind w:left="660" w:right="4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use of cash to pay for an acquisition would limit other potential uses for our cash; and</w:t>
      </w:r>
    </w:p>
    <w:p>
      <w:pPr>
        <w:spacing w:after="0" w:line="9"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incur debt to fund such acquisition, such debt may subject us to material restrictions on our ability to conduct our business as well as financial maintenance covenants.</w:t>
      </w:r>
    </w:p>
    <w:p>
      <w:pPr>
        <w:spacing w:after="0" w:line="19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that we negotiate. Any unforeseen liability that is greater than these warranty and indemnity limitations could have a negative impact on our financial condition.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if at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w:t>
      </w:r>
    </w:p>
    <w:p>
      <w:pPr>
        <w:spacing w:after="0" w:line="22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expect that our existing cash and cash equivalents will be sufficient to meet our anticipated cash needs for working capital and capital expenditures for at least the next 12 months. However, we intend to continue to make investments to support our business growth and may require additional funds to respond to business challenges, including the need to develop new features or enhance our product,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Our credit agreement with Silicon Valley Bank includes restrictive covenants relating to our capital raising activities and other financial and operational matters, which may make it more difficult for us to obtain additional capital and to pursue business opportunities, including potential acquisitions, and any debt financing that we secure in the future could have similar restrictive covenants.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188"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b w:val="1"/>
          <w:bCs w:val="1"/>
          <w:i w:val="1"/>
          <w:iCs w:val="1"/>
          <w:color w:val="auto"/>
        </w:rPr>
        <w:t>The nature of our business requires the application of complex accounting rules and regulations. If there are significant changes in current principles, financial reporting standards or interpretations, or if our estimates or judgments relating to our critical accounting policies prove to be incorrect, we may experience unexpected financial reporting fluctuations and our results of operations could be adversely affected.</w:t>
      </w:r>
    </w:p>
    <w:p>
      <w:pPr>
        <w:spacing w:after="0" w:line="198"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the Securities and Exchange Commission, or SEC, and various bodies formed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promulgate and interpret appropriate accounting principles. In addition, many companies’ accounting disclosures are being subjected to heightened scrutiny by regulators and the public. Further, the accounting rules and regulations are continually changing in ways that could impact our financial statements.</w:t>
      </w:r>
    </w:p>
    <w:p>
      <w:pPr>
        <w:spacing w:after="0" w:line="202"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or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of this report titled “Management’s Discussion and Analysis of Financial Condition and Results of Operations.” Significant assumptions and estimates used in preparing our consolidated financial statements include the determination of the estimated economic life of perpetual licenses for revenue recognition, the estimated period of benefit for deferred commissions, useful lives of long-lived assets, the valuation of stock-based compensation, the incremental borrowing rate for operating leases, and the valuation of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21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We might be required to change our accounting policies, alter our operational policies and implement new or enhance existing systems, or we may be required to restate our published financial statements, as a result of new standards, changes to existing standards and changes in their interpretation.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Data Collection and Intellectual Property</w:t>
      </w:r>
    </w:p>
    <w:p>
      <w:pPr>
        <w:spacing w:after="0" w:line="225" w:lineRule="exact"/>
        <w:rPr>
          <w:sz w:val="20"/>
          <w:szCs w:val="20"/>
          <w:color w:val="auto"/>
        </w:rPr>
      </w:pPr>
    </w:p>
    <w:p>
      <w:pPr>
        <w:ind w:right="420" w:firstLine="324"/>
        <w:spacing w:after="0" w:line="287" w:lineRule="auto"/>
        <w:rPr>
          <w:sz w:val="20"/>
          <w:szCs w:val="20"/>
          <w:color w:val="auto"/>
        </w:rPr>
      </w:pPr>
      <w:r>
        <w:rPr>
          <w:rFonts w:ascii="Arial" w:cs="Arial" w:eastAsia="Arial" w:hAnsi="Arial"/>
          <w:sz w:val="18"/>
          <w:szCs w:val="18"/>
          <w:b w:val="1"/>
          <w:bCs w:val="1"/>
          <w:i w:val="1"/>
          <w:iCs w:val="1"/>
          <w:color w:val="auto"/>
        </w:rPr>
        <w:t>Our business could be adversely affected if our employees cannot obtain and maintain required security clearances or we cannot establish and maintain a required facility security clearance.</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Certain U.S. government contracts may require our employees to maintain various levels of security clearances, and may require us to maintain a facility security clearance, to comply with Department of Defense, or DoD, requirements. The DoD has strict security clearance requirements for personnel who perform work in support of classified programs. Obtaining and maintaining a facility clearance and security clearances for employees can be a difficult, sometimes lengthy process. If we do not have employees with the appropriate security clearances,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existing contracts requiring a facility security clearance could be terminated.</w:t>
      </w:r>
    </w:p>
    <w:p>
      <w:pPr>
        <w:spacing w:after="0" w:line="185"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b w:val="1"/>
          <w:bCs w:val="1"/>
          <w:i w:val="1"/>
          <w:iCs w:val="1"/>
          <w:color w:val="auto"/>
        </w:rPr>
        <w:t>Any failure to protect our proprietary technology and intellectual property rights could substantially harm our business and operating results.</w:t>
      </w:r>
    </w:p>
    <w:p>
      <w:pPr>
        <w:spacing w:after="0" w:line="175" w:lineRule="exact"/>
        <w:rPr>
          <w:sz w:val="20"/>
          <w:szCs w:val="20"/>
          <w:color w:val="auto"/>
        </w:rPr>
      </w:pPr>
    </w:p>
    <w:p>
      <w:pPr>
        <w:ind w:right="360" w:firstLine="324"/>
        <w:spacing w:after="0" w:line="254" w:lineRule="auto"/>
        <w:rPr>
          <w:sz w:val="20"/>
          <w:szCs w:val="20"/>
          <w:color w:val="auto"/>
        </w:rPr>
      </w:pPr>
      <w:r>
        <w:rPr>
          <w:rFonts w:ascii="Arial" w:cs="Arial" w:eastAsia="Arial" w:hAnsi="Arial"/>
          <w:sz w:val="18"/>
          <w:szCs w:val="18"/>
          <w:color w:val="auto"/>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20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As of March 31, 2021, we had 21 issued patents and 13 patent applications pending in the United States relating to our technology. We cannot assure you that any patents will issue from any patent applications, that patents that issue from such applications will give us the protection that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Obtaining and enforcing software patents in the United States is becoming increasingly challenging. Any patents we have obtained or may obtain in the future may be found to be invalid or unenforceable in light of recent and future changes in the law. We have registered the “Tenable,” “Nessus,” “Tenable.io” and "Lumin" trademarks and our Tenable logo in the United States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other countries. We have registrations and/or pending applications for additional trademarks in the United States; however, we cannot assure you that any future trademark registrations will be issued for pending or future applications or that any registered trademarks will be enforceable or provide adequate protection of our proprietary rights. While we have copyrights in our software we do not typically register such copyrights with the Copyright Office. This failure to register the copyrights in our software may preclude us from obtaining statutory damages for infringement under certain circumstances. We also license software from third parties for integration into our software, including open source software and other software available on commercially reasonable terms. We cannot assure you that such third parties will maintain such software or continue to make it available.</w:t>
      </w:r>
    </w:p>
    <w:p>
      <w:pPr>
        <w:spacing w:after="0" w:line="207"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order to protect our unpatented proprietary technologies and processes, we rely on trade secret laws and confidentiality and invention assignment agreements with our employees, consultants, strategic partners, vendors and 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several agreements may give customers limited rights to access portions of our proprietary source code, and the contractual provisions that we enter into may not prevent unauthorized use or disclosure of our proprietary technology or intellectual property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that we expand our activities outside of the United States, our exposure to unauthorized copying and use of our solutions and proprietary information may increase. We may be unable to determine the extent of any unauthorized use or infringement of our solutions, technologies or intellectual property rights.</w:t>
      </w:r>
    </w:p>
    <w:p>
      <w:pPr>
        <w:spacing w:after="0" w:line="210"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There can be no assurance that the steps that we take will be adequate to protect our proprietary technology and intellectual property, that others will not develop or patent similar or superior technologies, solutions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In addition, the legal standards relating to the validity, enforceability, and scope of protection of intellectual property rights in internet and software-related industries are uncertain and still evolving.</w:t>
      </w:r>
    </w:p>
    <w:p>
      <w:pPr>
        <w:spacing w:after="0" w:line="20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adversely impact our business.</w:t>
      </w:r>
    </w:p>
    <w:p>
      <w:pPr>
        <w:spacing w:after="0" w:line="186"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175"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expect in the future to be subject to claims that we have misappropriated, misused, or infringed other parties’ intellectual property rights, and, to the extent we gain greater market visibility or face increasing competition, we face a higher risk of being the subject of intellectual property infringement claims, which is not uncommon with respect to enterprise software companies. We may in the future be subject to claims that employees or contractors, or we, have inadvertently or otherwise used or disclosed trade secrets or other proprietary information of our competitors or other parties. To the extent that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spacing w:after="0" w:line="204"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There may be third-party intellectual property rights, including issued or pending patents that cover significant aspects of our technologies or business methods. Any intellectual property claims, with or without merit, could be very time-consuming, could be expensive to settle or litigate, could divert our management’s attention and other resources and could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third-party intellectual property rights, which may not be available on reasonable terms or at all. Even if a license is available to us, we may be required to pay significant upfront fees, milestones or royalties, which would increase our operating expenses. Moreover, to the extent we only have a license to any intellectual property used in our solutions,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spacing w:after="0" w:line="187"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b w:val="1"/>
          <w:bCs w:val="1"/>
          <w:i w:val="1"/>
          <w:iCs w:val="1"/>
          <w:color w:val="auto"/>
        </w:rPr>
        <w:t>Portions of our solutions utilize open source software, and any failure to comply with the terms of one or more of these open source licenses could negatively affect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software contains software made available by third parties under so-called “open source” licenses.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Further, certain open source licenses also include a provision that if we enforce any patents against the software programs that are subject to the license, we would lose the license to such software. If we were to fail to comply with the terms of such open source software licenses, such failures could result in costly litigation, lead to negative public relations or require that we quickly find replacement software which may be difficult to accomplish in a timely manner.</w:t>
      </w:r>
    </w:p>
    <w:p>
      <w:pPr>
        <w:spacing w:after="0" w:line="211"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that these licenses could be construed in a way that could impose unanticipated conditions or restrictions on our ability to commercialize our product or operate our business. By the terms of certain open source licenses, we could be required to release the source code of our software and to make our proprietary software available under open source licenses, if we combine or distribute our software with open source software in a certain manner. In the event that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product. Many of the risks associated with usage of open source software cannot be eliminated, and could negatively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47"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The market price of our common stock may fluctuate substantially and depends on a number of factors, including those described in this “Risk Factors” section, many of which are beyond our control and may not be related to our operating performance. Factors that could cause fluctuations in the market price of our common stock include the following:</w:t>
      </w:r>
    </w:p>
    <w:p>
      <w:pPr>
        <w:spacing w:after="0" w:line="9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ind w:left="660" w:right="80" w:hanging="328"/>
        <w:spacing w:after="0" w:line="265"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sales of shares of our common stock by us or our stockholders, or the perception that these sales might occur, including in connection with anticipated distributions of shares of our common stock by entities affiliated with members of our Board of Directors;</w:t>
      </w:r>
    </w:p>
    <w:p>
      <w:pPr>
        <w:ind w:left="660" w:right="42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9" w:lineRule="exact"/>
        <w:rPr>
          <w:rFonts w:ascii="Arial" w:cs="Arial" w:eastAsia="Arial" w:hAnsi="Arial"/>
          <w:sz w:val="18"/>
          <w:szCs w:val="18"/>
          <w:color w:val="auto"/>
        </w:rPr>
      </w:pPr>
    </w:p>
    <w:p>
      <w:pPr>
        <w:ind w:left="660" w:right="68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as well as proposed changes to the U.S. corporate income tax rate and capital gains tax rates;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pandemics, war, incidents of terrorism or responses to these events.</w:t>
      </w:r>
    </w:p>
    <w:p>
      <w:pPr>
        <w:spacing w:after="0" w:line="22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Recently, the stock markets have experienced extreme price and volume fluctuations that have affected and continue to affect the market prices of equity securities of many companies, including in connection with the COVID-19 pandemic. These fluctuations have often been unrelated or disproportionate to the operating performance of those companies. Broad market and industry fluctuations, as well as general economic, political, regulatory and market conditions, may negatively impact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186"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75"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control these analysts or the content and opinions included in their reports. If our financial performance fails to meet analyst estimates or one or more of the analysts who cover us downgrade our shares or change their opinion of our shares, our share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our financial results fail to meet, or exceed, our announced guidance or the expectations of analysts or public investors, analysts could downgrade our common stock or publish unfavorable research about us. If one or more of these analysts cease coverage of our company or fail to regularly publish reports on us, we could lose visibility in the financial markets, which could cause our share price or trading volume to decline.</w:t>
      </w:r>
    </w:p>
    <w:p>
      <w:pPr>
        <w:spacing w:after="0" w:line="182"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b w:val="1"/>
          <w:bCs w:val="1"/>
          <w:i w:val="1"/>
          <w:iCs w:val="1"/>
          <w:color w:val="auto"/>
        </w:rPr>
        <w:t>Future sales of substantial amounts of our common stock in the public markets by us or our stockholders, or the perception such sales might occur, could reduce the price that our common stock might otherwise attain.</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Sales of a substantial number of shares of our common stock in the public market by us or our stockholders, or the perception that these sales might occur, including in connection with anticipated distributions of shares of our common stock by entities affiliated with members of our Board of Directors, could depress the market price of our common stock, impair our ability to raise capital through the sale of additional equity securities and make it more difficult for you to sell your common stock at a time and price that you deem appropriate. Further, the number of new shares of our common stock issued by us in connection with raising additional capital in connection with a financing, acquisition, investment or otherwise could result in substantial dilution to our existing stockholders.</w:t>
      </w:r>
    </w:p>
    <w:p>
      <w:pPr>
        <w:spacing w:after="0" w:line="20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addition, we have filed registration statements on Form S-8 under the Securities Act registering the issuance of shares of common stock subject to options and other equity awards issued or reserved for future issuance under our equity incentive plans. Shares registered under these registration statements, and under additional registration statements on Form S-8 that we may file to register additional shares of common stock pursuant to provisions of our equity incentive plans that provide for an automatic increase in the number of shares reserved and available for issuance each year, are available for sale in the public market subject to vesting arrangements and exercise of options and the restrictions of Rule 144 under the Securities Act in the case of our affiliates.</w:t>
      </w:r>
    </w:p>
    <w:p>
      <w:pPr>
        <w:spacing w:after="0" w:line="186" w:lineRule="exact"/>
        <w:rPr>
          <w:sz w:val="20"/>
          <w:szCs w:val="20"/>
          <w:color w:val="auto"/>
        </w:rPr>
      </w:pPr>
    </w:p>
    <w:p>
      <w:pPr>
        <w:ind w:right="980" w:firstLine="324"/>
        <w:spacing w:after="0" w:line="28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In addition, our credit agreement with Silicon Valley Bank contains restrictive covenants that prohibit us, subject to certain exceptions, from paying dividends on our common stock.</w:t>
      </w:r>
    </w:p>
    <w:p>
      <w:pPr>
        <w:spacing w:after="0" w:line="186"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our stockholders to replace or remove members of our Board of Directors and our current management and could negatively impact the market price of our common stock.</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96" w:lineRule="exact"/>
        <w:rPr>
          <w:sz w:val="20"/>
          <w:szCs w:val="20"/>
          <w:color w:val="auto"/>
        </w:rPr>
      </w:pPr>
    </w:p>
    <w:p>
      <w:pPr>
        <w:ind w:left="660" w:right="88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ind w:left="660" w:right="22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ind w:left="660" w:righ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our Board of Directors, Chief Executive Officer or president (in the absence of a chief executive officer) or a majority vote of our</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 w:right="240"/>
        <w:spacing w:after="0" w:line="250" w:lineRule="auto"/>
        <w:rPr>
          <w:sz w:val="20"/>
          <w:szCs w:val="20"/>
          <w:color w:val="auto"/>
        </w:rPr>
      </w:pPr>
      <w:r>
        <w:rPr>
          <w:rFonts w:ascii="Arial" w:cs="Arial" w:eastAsia="Arial" w:hAnsi="Arial"/>
          <w:sz w:val="18"/>
          <w:szCs w:val="18"/>
          <w:color w:val="auto"/>
        </w:rPr>
        <w:t>Board of Directors, which could delay the ability of our stockholders to force consideration of a proposal or to take action, including the removal of directors;</w:t>
      </w:r>
    </w:p>
    <w:p>
      <w:pPr>
        <w:spacing w:after="0" w:line="1" w:lineRule="exact"/>
        <w:rPr>
          <w:sz w:val="20"/>
          <w:szCs w:val="20"/>
          <w:color w:val="auto"/>
        </w:rPr>
      </w:pPr>
    </w:p>
    <w:p>
      <w:pPr>
        <w:ind w:left="660" w:right="12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spacing w:after="0" w:line="1" w:lineRule="exact"/>
        <w:rPr>
          <w:rFonts w:ascii="Arial" w:cs="Arial" w:eastAsia="Arial" w:hAnsi="Arial"/>
          <w:sz w:val="18"/>
          <w:szCs w:val="18"/>
          <w:color w:val="auto"/>
        </w:rPr>
      </w:pPr>
    </w:p>
    <w:p>
      <w:pPr>
        <w:ind w:left="660" w:right="40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2"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176"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or the U.S. federal district courts will be the exclusive forums for substantially all disputes between us and our stockholders, which could limit our stockholders’ ability to obtain a favorable judicial forum for disputes with us or our directors, officers or other employees.</w:t>
      </w:r>
    </w:p>
    <w:p>
      <w:pPr>
        <w:spacing w:after="0" w:line="193" w:lineRule="exact"/>
        <w:rPr>
          <w:sz w:val="20"/>
          <w:szCs w:val="20"/>
          <w:color w:val="auto"/>
        </w:rPr>
      </w:pPr>
    </w:p>
    <w:p>
      <w:pPr>
        <w:ind w:right="560" w:firstLine="324"/>
        <w:spacing w:after="0" w:line="26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sole and exclusive forum for the following types of actions or proceedings under Delaware statutory or common law:</w:t>
      </w:r>
    </w:p>
    <w:p>
      <w:pPr>
        <w:spacing w:after="0" w:line="9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action asserting a breach of fiduciary duty owed by any of our directors, officers or other employees to us or our stockholders;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any provisions of the Delaware General Corporation Law, our amended and restated certificate of incorporation or our amended and restated bylaws; or</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2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1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or other employees. If a court were to find either exclusive forum provision in our amended and restated certificate of incorporation to be inapplicable or unenforceable in an action, we may incur significant additional costs associated with resolving the dispute in other jurisdictions, all of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5"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b w:val="1"/>
          <w:bCs w:val="1"/>
          <w:i w:val="1"/>
          <w:iCs w:val="1"/>
          <w:color w:val="auto"/>
        </w:rPr>
        <w:t>We are subject to anti-corruption laws, anti-bribery and similar laws with respect to our domestic and international operations, and non-compliance with such laws can subject us to criminal and/or civil liability and materially harm our business and reputation.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subject to the anti-bribery laws of the jurisdictions in which we operate. These include the FCPA, the U.S. domestic bribery statute contained in 18 U.S.C. § 201, the U.S. Travel Act, the U.K. Bribery Act 2010, and other anti-corruption laws in countries in which we conduct activities. Anti-corruption laws are interpreted broadly and prohibit our company from authorizing, offering, or providing, directly or indirectly, improper payments or benefits in order to gain or maintain business, including payments to recipients in the public or private sector. We use third-party law firms, accountants, and other representatives for regulatory compliance, sales, and other purposes in several countries. We sell directly and indirectly, via third-party representatives, to both private and government sectors in the United States and in other jurisdictions. Our employees and third-party representatives interact with these customers, which may include government officials. We can be held liable for the corrupt or other illegal activities of these third-party representatives, our employees, contractors, and other agents, even if we do not explicitly authorize such activities. 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reputation,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spacing w:after="0" w:line="185"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b w:val="1"/>
          <w:bCs w:val="1"/>
          <w:i w:val="1"/>
          <w:iCs w:val="1"/>
          <w:color w:val="auto"/>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United States and other countries maintain and administer export and import laws and regulations. Our products are subject to U.S. export control and import laws and regulations, including the U.S. Export Administration Regulations, U.S. Customs regulations, and various economic and trade sanctions administered by the U.S. Treasury Department’s Office of Foreign Assets Control.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for a particular sale may be time-consuming, is not guaranteed and may result in the delay or loss of sales opportunities. In addition, changes in our solutions, or changes in applicable export or import laws and regulations may create delays in the introduction and sale of our products in international markets or, in some cases, prevent the export or import of our solutions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products, or in our decreased ability to export or sell our products to existing or potential customers. Any decreased use of our products or limitation on our ability to export or sell our products would likely adversely affect our business, financial condition, and results of operations.</w:t>
      </w:r>
    </w:p>
    <w:p>
      <w:pPr>
        <w:spacing w:after="0" w:line="209"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Furthermore, we incorporate encryption technology into certain of our solutions. Various countries regulate the import of certain encryption technology, including import permitting and licensing requirements, and have enacted laws that could limit our ability to distribute our solutions or could limit our customers’ ability to implement our solutions in those countries. Encrypted products and the underlying technology may also be subject to export control restrictions. Governmental regulation of encryption technology and regulation of imports or exports of encryption solutions, or our failure to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required import or export approval for our solutions, could harm our international sales and adversely affect our revenue. Compliance with applicable laws and regulations regarding the export and import of our solutions, including with respect to new solutions or changes in existing solutions, may create delays in the introduction of our solutions in international markets, prevent our customers with international operations from deploying our solutions globally or, in some cases, could prevent the export or import of our solutions to certain countries, governments, entities or persons altogether.</w:t>
      </w:r>
    </w:p>
    <w:p>
      <w:pPr>
        <w:spacing w:after="0" w:line="20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Moreover, U.S. export control laws and economic sanctions programs prohibit the shipment of certain products and services to countries, governments and persons that are subject to U.S. economic embargoes and trade sanctions. Any violations of such economic embargoes and trade sanction regulations could have negative consequences, including government investigations, penalties and reputational harm.</w:t>
      </w:r>
    </w:p>
    <w:p>
      <w:pPr>
        <w:spacing w:after="0" w:line="18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b w:val="1"/>
          <w:bCs w:val="1"/>
          <w:i w:val="1"/>
          <w:iCs w:val="1"/>
          <w:color w:val="auto"/>
        </w:rPr>
        <w:t>Uncertainties in the interpretation and application of applicable tax laws could materially affect our tax obligations and effective tax rate. Our operating results may be negatively affected if we are required to pay additional taxes, including sales and use tax, value added tax, or other transaction taxes, and we could be subject to liability with respect to all or a portion of past or future sales.</w:t>
      </w:r>
    </w:p>
    <w:p>
      <w:pPr>
        <w:spacing w:after="0" w:line="198"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The tax regimes to which we are subject or under which we operate, including income and non-income taxes, are unsettled and may be subject to significant change. For example, the 2017 Tax Cuts and Jobs Act, or the Tax Act, as modified in 2020 by the Coronavirus Aid, Relief, and Economic Security Act, or the CARES Act, made broad and complex changes to the U.S. tax code, including changes to U.S. federal tax rates, additional limitations on the deductibility of interest, both positive and negative changes to the utilization of future net operating loss, or NOL, carryforwards, allowing for the expensing of certain capital expenditures, and putting into effect a modified territorial system. The issuance of additional regulatory or accounting guidance related to the Tax Act, or changes proposed or implemented by the new U.S. administration or otherwise, could materially affect our tax obligations and effective tax rate.</w:t>
      </w:r>
    </w:p>
    <w:p>
      <w:pPr>
        <w:spacing w:after="0" w:line="207"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addition, forecasts of our income tax position and effective tax rate for financial accounting purposes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and tax expense by jurisdiction. If the mix of profits and losses, our ability to use assets and attributes, our assessment of the need for valuation allowances, effective tax rates by jurisdiction or other factors are different than those estimated, our actual tax rate could be materially different than forecasted, which could have a material impact on our results of business, financial condition and results of operations.</w:t>
      </w:r>
    </w:p>
    <w:p>
      <w:pPr>
        <w:spacing w:after="0" w:line="212"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 A successful assertion that we are required to pay additional taxes in connection with sales of our solutions, or the imposition of new laws or regulations or the interpretation of existing laws and regulations requiring the payment of additional taxes, would create increased costs and administrative burdens for us. If we are subject to additional taxes and determine to offset such increased costs by collecting and remitting such taxes from our customers, or otherwise passing those costs through to our customers, companies may be discouraged from using our solutions. Any increased tax burden may decrease our ability or willingness to compete in relatively burdensome tax jurisdictions, result in substantial tax liabilities related to past or future sales or otherwise harm our business and operating results.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As of December 31, 2020 we had U.S. federal, state and foreign NOLs, of $ 254.7 million, $ 188.5 million, and $209.8 million, respectively, available to offset future taxable income, some of which begin to expire in 2030. Federal NOLs incurred in taxable years beginning after December 31, 2017 can be carried forward indefinitely, but the deductibility of federal NOLs in taxable years beginning after December 31, 2020, is subject to certain limitations. A lack of future taxable income would adversely affect our ability to utilize these NOLs before they expire.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addition, under the provisions of the Internal Revenue Code of 1986, as amended, or the Internal Revenue Code, substantial changes in our ownership may limit the amount of pre-change NOLs that can be utilized annually in the future to offset taxable income. Section 382 of the Internal Revenue Code imposes limitations on a company’s ability to use its NOLs if one or more stockholders or groups of stockholders that own at least 5% of the company’s stock increase their ownership by more than 50 percentage points over their lowest ownership percentage within a rolling three-year period. Similar rules may apply under state tax laws. Based upon an analysis as of December 31, 2020, we determined that we do not expect these limitations to materially impair our ability to use our NOLs prior to expiration. However, if changes in our ownership occurred after such date, or occur in the future, our ability to use our NOLs may be further limited. Subsequent statutory or regulatory changes in respect of the utilization of NOLs for federal or state purposes, such as suspensions on the use of NOLs or limitations on the deductibility of NOLs carried forward, or other unforeseen reasons, may result in our existing NOLs expiring or otherwise being unavailable to offset future income tax liabilities. For these reasons, we may not be able to utilize a material portion of the NOLs, even if we achieve profitability.</w:t>
      </w:r>
    </w:p>
    <w:p>
      <w:pPr>
        <w:spacing w:after="0" w:line="189" w:lineRule="exact"/>
        <w:rPr>
          <w:sz w:val="20"/>
          <w:szCs w:val="20"/>
          <w:color w:val="auto"/>
        </w:rPr>
      </w:pPr>
    </w:p>
    <w:p>
      <w:pPr>
        <w:jc w:val="both"/>
        <w:ind w:right="440" w:firstLine="324"/>
        <w:spacing w:after="0" w:line="268"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are required, pursuant to Section 404 of the Sarbanes-Oxley Act, or Section 404,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We are also required to disclose significant changes made in our internal control procedures on a quarterly basis.</w:t>
      </w:r>
    </w:p>
    <w:p>
      <w:pPr>
        <w:spacing w:after="0" w:line="204"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maintain other effective control systems required of public companies, could also restrict our future access to the capital markets.</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4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On July 30, 2018, we completed our IPO, in which we issued and sold 12,535,000 shares of common stock at a price to the public</w:t>
      </w:r>
    </w:p>
    <w:p>
      <w:pPr>
        <w:spacing w:after="0" w:line="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of $23.00 per share, including 1,635,000 shares of common stock purchased by our underwriters pursuant to the full exercise of their over-allotment option to purchase additional shares. The offer and sale of all of the shares in the IPO were registered under the Securities Act pursuant to a registration statement on Form S-1 (File No. 333-226002), which was declared effective by the SEC on July 25, 2018.</w:t>
      </w:r>
    </w:p>
    <w:p>
      <w:pPr>
        <w:spacing w:after="0" w:line="20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Morgan Stanley &amp; Co. LLC, J.P. Morgan Securities LLC, Allen &amp; Company LLC and Deutsche Bank Securities Inc. acted as active book-running managers for the offering. Stifel, Nicolaus &amp; Company, Incorporated acted as passive book-running manager for the offering, and William Blair &amp; Company, L.L.C. and BTIG, LLC acted as co-managers for the offering. The offering commenced on July 25, 2018 and did not terminate before all securities registered on the registration statement were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received net proceeds of $264.6 million after deducting underwriting discounts and commissions and offering expenses. No offering expenses incurred by us were paid directly or indirectly to any of our directors, officers or persons owning ten percent or more of our capital stock (or their associates or affiliates).</w:t>
      </w:r>
    </w:p>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There has been no material change in the planned use of the IPO proceeds as described in our final prospectus for our IPO dated as of July 25, 2018 and filed with the SEC pursuant to Rule 424(b)(4) under the Securities Act on July 26,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 are not applicable and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0" w:right="47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ectPr>
          <w:pgSz w:w="11900" w:h="16838" w:orient="portrait"/>
          <w:cols w:equalWidth="0" w:num="1">
            <w:col w:w="11200"/>
          </w:cols>
          <w:pgMar w:left="320" w:top="140" w:right="379" w:bottom="144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Exhibit</w:t>
      </w:r>
    </w:p>
    <w:p>
      <w:pPr>
        <w:ind w:left="180"/>
        <w:spacing w:after="0"/>
        <w:tabs>
          <w:tab w:leader="none" w:pos="39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8602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60290" cy="8255"/>
                    </a:xfrm>
                    <a:prstGeom prst="rect">
                      <a:avLst/>
                    </a:prstGeom>
                    <a:noFill/>
                  </pic:spPr>
                </pic:pic>
              </a:graphicData>
            </a:graphic>
          </wp:anchor>
        </w:drawing>
      </w:r>
    </w:p>
    <w:p>
      <w:pPr>
        <w:spacing w:after="0" w:line="57" w:lineRule="exact"/>
        <w:rPr>
          <w:sz w:val="20"/>
          <w:szCs w:val="20"/>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3.1  </w:t>
      </w:r>
      <w:hyperlink r:id="rId68">
        <w:r>
          <w:rPr>
            <w:rFonts w:ascii="Arial" w:cs="Arial" w:eastAsia="Arial" w:hAnsi="Arial"/>
            <w:sz w:val="18"/>
            <w:szCs w:val="18"/>
            <w:u w:val="single" w:color="auto"/>
            <w:color w:val="0000FF"/>
          </w:rPr>
          <w:t>Amended and Restated Certificate of Incorporation of Tenable Holdings, Inc.</w:t>
        </w:r>
      </w:hyperlink>
    </w:p>
    <w:p>
      <w:pPr>
        <w:spacing w:after="0" w:line="374" w:lineRule="exact"/>
        <w:rPr>
          <w:sz w:val="20"/>
          <w:szCs w:val="20"/>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3.2  </w:t>
      </w:r>
      <w:hyperlink r:id="rId69">
        <w:r>
          <w:rPr>
            <w:rFonts w:ascii="Arial" w:cs="Arial" w:eastAsia="Arial" w:hAnsi="Arial"/>
            <w:sz w:val="18"/>
            <w:szCs w:val="18"/>
            <w:u w:val="single" w:color="auto"/>
            <w:color w:val="0000FF"/>
          </w:rPr>
          <w:t>Amended and Restated Bylaws of Tenable Holdings, Inc.</w:t>
        </w:r>
      </w:hyperlink>
    </w:p>
    <w:p>
      <w:pPr>
        <w:spacing w:after="0" w:line="200" w:lineRule="exact"/>
        <w:rPr>
          <w:sz w:val="20"/>
          <w:szCs w:val="20"/>
          <w:color w:val="auto"/>
        </w:rPr>
      </w:pPr>
    </w:p>
    <w:p>
      <w:pPr>
        <w:spacing w:after="0" w:line="349" w:lineRule="exact"/>
        <w:rPr>
          <w:sz w:val="20"/>
          <w:szCs w:val="20"/>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4.1  </w:t>
      </w:r>
      <w:hyperlink r:id="rId70">
        <w:r>
          <w:rPr>
            <w:rFonts w:ascii="Arial" w:cs="Arial" w:eastAsia="Arial" w:hAnsi="Arial"/>
            <w:sz w:val="18"/>
            <w:szCs w:val="18"/>
            <w:u w:val="single" w:color="auto"/>
            <w:color w:val="0000FF"/>
          </w:rPr>
          <w:t>Common Stock Certificate of Tenable Holdings, Inc.</w:t>
        </w:r>
      </w:hyperlink>
    </w:p>
    <w:p>
      <w:pPr>
        <w:spacing w:after="0" w:line="200" w:lineRule="exact"/>
        <w:rPr>
          <w:sz w:val="20"/>
          <w:szCs w:val="20"/>
          <w:color w:val="auto"/>
        </w:rPr>
      </w:pPr>
    </w:p>
    <w:p>
      <w:pPr>
        <w:spacing w:after="0" w:line="349" w:lineRule="exact"/>
        <w:rPr>
          <w:sz w:val="20"/>
          <w:szCs w:val="20"/>
          <w:color w:val="auto"/>
        </w:rPr>
      </w:pPr>
    </w:p>
    <w:p>
      <w:pPr>
        <w:ind w:left="1100" w:right="160" w:hanging="493"/>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71">
        <w:r>
          <w:rPr>
            <w:rFonts w:ascii="Arial" w:cs="Arial" w:eastAsia="Arial" w:hAnsi="Arial"/>
            <w:sz w:val="18"/>
            <w:szCs w:val="18"/>
            <w:u w:val="single" w:color="auto"/>
            <w:color w:val="0000FF"/>
          </w:rPr>
          <w:t>Share Purchase Agreement, dated as of February 10, 2021, by and among</w:t>
        </w:r>
      </w:hyperlink>
      <w:r>
        <w:rPr>
          <w:rFonts w:ascii="Arial" w:cs="Arial" w:eastAsia="Arial" w:hAnsi="Arial"/>
          <w:sz w:val="18"/>
          <w:szCs w:val="18"/>
          <w:color w:val="auto"/>
        </w:rPr>
        <w:t xml:space="preserve"> </w:t>
      </w:r>
      <w:hyperlink r:id="rId71">
        <w:r>
          <w:rPr>
            <w:rFonts w:ascii="Arial" w:cs="Arial" w:eastAsia="Arial" w:hAnsi="Arial"/>
            <w:sz w:val="18"/>
            <w:szCs w:val="18"/>
            <w:u w:val="single" w:color="auto"/>
            <w:color w:val="0000FF"/>
          </w:rPr>
          <w:t>Tenable Network Security Ireland Limited, Alsid SAS, the shareholders and</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warrantholders of Alsid identified in the Purchase Agreement or joined to the</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Purchase Agreement pursuant to a joinder agreement, and Shareholder</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Representative Services LLC, as the representative of Alsid’s shareholders and</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warrantholders thereunder.</w:t>
        </w:r>
      </w:hyperlink>
    </w:p>
    <w:p>
      <w:pPr>
        <w:spacing w:after="0" w:line="15" w:lineRule="exact"/>
        <w:rPr>
          <w:rFonts w:ascii="Arial" w:cs="Arial" w:eastAsia="Arial" w:hAnsi="Arial"/>
          <w:sz w:val="18"/>
          <w:szCs w:val="18"/>
          <w:u w:val="single" w:color="auto"/>
          <w:color w:val="0000FF"/>
        </w:rPr>
      </w:pPr>
    </w:p>
    <w:p>
      <w:pPr>
        <w:jc w:val="both"/>
        <w:ind w:left="1100" w:right="240" w:hanging="493"/>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31.1 </w:t>
      </w:r>
      <w:hyperlink w:anchor="page62">
        <w:r>
          <w:rPr>
            <w:rFonts w:ascii="Arial" w:cs="Arial" w:eastAsia="Arial" w:hAnsi="Arial"/>
            <w:sz w:val="18"/>
            <w:szCs w:val="18"/>
            <w:u w:val="single" w:color="auto"/>
            <w:color w:val="0000FF"/>
          </w:rPr>
          <w:t>Certification of the Principal Executive Officer pursuant to Rules 13a-14(a) and</w:t>
        </w:r>
      </w:hyperlink>
      <w:r>
        <w:rPr>
          <w:rFonts w:ascii="Arial" w:cs="Arial" w:eastAsia="Arial" w:hAnsi="Arial"/>
          <w:sz w:val="18"/>
          <w:szCs w:val="18"/>
          <w:color w:val="auto"/>
        </w:rPr>
        <w:t xml:space="preserve"> </w:t>
      </w:r>
      <w:hyperlink w:anchor="page62">
        <w:r>
          <w:rPr>
            <w:rFonts w:ascii="Arial" w:cs="Arial" w:eastAsia="Arial" w:hAnsi="Arial"/>
            <w:sz w:val="18"/>
            <w:szCs w:val="18"/>
            <w:u w:val="single" w:color="auto"/>
            <w:color w:val="0000FF"/>
          </w:rPr>
          <w:t>15d-14(a) under the Exchange Act, as adopted pursuant to Section 302 of the</w:t>
        </w:r>
      </w:hyperlink>
      <w:r>
        <w:rPr>
          <w:rFonts w:ascii="Arial" w:cs="Arial" w:eastAsia="Arial" w:hAnsi="Arial"/>
          <w:sz w:val="18"/>
          <w:szCs w:val="18"/>
          <w:u w:val="single" w:color="auto"/>
          <w:color w:val="0000FF"/>
        </w:rPr>
        <w:t xml:space="preserve"> </w:t>
      </w:r>
      <w:hyperlink w:anchor="page62">
        <w:r>
          <w:rPr>
            <w:rFonts w:ascii="Arial" w:cs="Arial" w:eastAsia="Arial" w:hAnsi="Arial"/>
            <w:sz w:val="18"/>
            <w:szCs w:val="18"/>
            <w:u w:val="single" w:color="auto"/>
            <w:color w:val="0000FF"/>
          </w:rPr>
          <w:t>Sarbanes-Oxley Act of 2002</w:t>
        </w:r>
      </w:hyperlink>
    </w:p>
    <w:p>
      <w:pPr>
        <w:spacing w:after="0" w:line="14" w:lineRule="exact"/>
        <w:rPr>
          <w:rFonts w:ascii="Arial" w:cs="Arial" w:eastAsia="Arial" w:hAnsi="Arial"/>
          <w:sz w:val="18"/>
          <w:szCs w:val="18"/>
          <w:color w:val="auto"/>
        </w:rPr>
      </w:pPr>
    </w:p>
    <w:p>
      <w:pPr>
        <w:jc w:val="both"/>
        <w:ind w:left="1100" w:right="280" w:hanging="493"/>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31.2 </w:t>
      </w:r>
      <w:hyperlink w:anchor="page63">
        <w:r>
          <w:rPr>
            <w:rFonts w:ascii="Arial" w:cs="Arial" w:eastAsia="Arial" w:hAnsi="Arial"/>
            <w:sz w:val="18"/>
            <w:szCs w:val="18"/>
            <w:u w:val="single" w:color="auto"/>
            <w:color w:val="0000FF"/>
          </w:rPr>
          <w:t>Certification of the Principal Financial Officer pursuant to Rules 13a-14(a) and</w:t>
        </w:r>
      </w:hyperlink>
      <w:r>
        <w:rPr>
          <w:rFonts w:ascii="Arial" w:cs="Arial" w:eastAsia="Arial" w:hAnsi="Arial"/>
          <w:sz w:val="18"/>
          <w:szCs w:val="18"/>
          <w:color w:val="auto"/>
        </w:rPr>
        <w:t xml:space="preserve"> </w:t>
      </w:r>
      <w:hyperlink w:anchor="page63">
        <w:r>
          <w:rPr>
            <w:rFonts w:ascii="Arial" w:cs="Arial" w:eastAsia="Arial" w:hAnsi="Arial"/>
            <w:sz w:val="18"/>
            <w:szCs w:val="18"/>
            <w:u w:val="single" w:color="auto"/>
            <w:color w:val="0000FF"/>
          </w:rPr>
          <w:t>15d-14(a) under the Exchange Act, as adopted pursuant to Section 302 of the</w:t>
        </w:r>
      </w:hyperlink>
      <w:r>
        <w:rPr>
          <w:rFonts w:ascii="Arial" w:cs="Arial" w:eastAsia="Arial" w:hAnsi="Arial"/>
          <w:sz w:val="18"/>
          <w:szCs w:val="18"/>
          <w:u w:val="single" w:color="auto"/>
          <w:color w:val="0000FF"/>
        </w:rPr>
        <w:t xml:space="preserve"> </w:t>
      </w:r>
      <w:hyperlink w:anchor="page63">
        <w:r>
          <w:rPr>
            <w:rFonts w:ascii="Arial" w:cs="Arial" w:eastAsia="Arial" w:hAnsi="Arial"/>
            <w:sz w:val="18"/>
            <w:szCs w:val="18"/>
            <w:u w:val="single" w:color="auto"/>
            <w:color w:val="0000FF"/>
          </w:rPr>
          <w:t>Sarbanes-Oxley Act of 2002</w:t>
        </w:r>
      </w:hyperlink>
    </w:p>
    <w:p>
      <w:pPr>
        <w:spacing w:after="0" w:line="14" w:lineRule="exact"/>
        <w:rPr>
          <w:rFonts w:ascii="Arial" w:cs="Arial" w:eastAsia="Arial" w:hAnsi="Arial"/>
          <w:sz w:val="18"/>
          <w:szCs w:val="18"/>
          <w:color w:val="auto"/>
        </w:rPr>
      </w:pPr>
    </w:p>
    <w:p>
      <w:pPr>
        <w:jc w:val="both"/>
        <w:ind w:left="1100" w:right="140" w:hanging="563"/>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32.1* </w:t>
      </w:r>
      <w:hyperlink w:anchor="page64">
        <w:r>
          <w:rPr>
            <w:rFonts w:ascii="Arial" w:cs="Arial" w:eastAsia="Arial" w:hAnsi="Arial"/>
            <w:sz w:val="18"/>
            <w:szCs w:val="18"/>
            <w:u w:val="single" w:color="auto"/>
            <w:color w:val="0000FF"/>
          </w:rPr>
          <w:t>Certification of the Principal Executive Officer and the Principal Financial Officer</w:t>
        </w:r>
      </w:hyperlink>
      <w:r>
        <w:rPr>
          <w:rFonts w:ascii="Arial" w:cs="Arial" w:eastAsia="Arial" w:hAnsi="Arial"/>
          <w:sz w:val="18"/>
          <w:szCs w:val="18"/>
          <w:color w:val="auto"/>
        </w:rPr>
        <w:t xml:space="preserve"> </w:t>
      </w:r>
      <w:hyperlink w:anchor="page64">
        <w:r>
          <w:rPr>
            <w:rFonts w:ascii="Arial" w:cs="Arial" w:eastAsia="Arial" w:hAnsi="Arial"/>
            <w:sz w:val="18"/>
            <w:szCs w:val="18"/>
            <w:u w:val="single" w:color="auto"/>
            <w:color w:val="0000FF"/>
          </w:rPr>
          <w:t>pursuant to 18 U.S.C. Section 1350, as adopted pursuant to Section 906 of the</w:t>
        </w:r>
      </w:hyperlink>
      <w:r>
        <w:rPr>
          <w:rFonts w:ascii="Arial" w:cs="Arial" w:eastAsia="Arial" w:hAnsi="Arial"/>
          <w:sz w:val="18"/>
          <w:szCs w:val="18"/>
          <w:u w:val="single" w:color="auto"/>
          <w:color w:val="0000FF"/>
        </w:rPr>
        <w:t xml:space="preserve"> </w:t>
      </w:r>
      <w:hyperlink w:anchor="page64">
        <w:r>
          <w:rPr>
            <w:rFonts w:ascii="Arial" w:cs="Arial" w:eastAsia="Arial" w:hAnsi="Arial"/>
            <w:sz w:val="18"/>
            <w:szCs w:val="18"/>
            <w:u w:val="single" w:color="auto"/>
            <w:color w:val="0000FF"/>
          </w:rPr>
          <w:t>Sarbanes-Oxley Act of 2002</w:t>
        </w:r>
      </w:hyperlink>
    </w:p>
    <w:p>
      <w:pPr>
        <w:spacing w:after="0" w:line="14" w:lineRule="exact"/>
        <w:rPr>
          <w:rFonts w:ascii="Arial" w:cs="Arial" w:eastAsia="Arial" w:hAnsi="Arial"/>
          <w:sz w:val="18"/>
          <w:szCs w:val="18"/>
          <w:color w:val="auto"/>
        </w:rPr>
      </w:pPr>
    </w:p>
    <w:p>
      <w:pPr>
        <w:ind w:left="1100" w:hanging="793"/>
        <w:spacing w:after="0" w:line="219" w:lineRule="auto"/>
        <w:rPr>
          <w:sz w:val="20"/>
          <w:szCs w:val="20"/>
          <w:color w:val="auto"/>
        </w:rPr>
      </w:pPr>
      <w:r>
        <w:rPr>
          <w:rFonts w:ascii="Arial" w:cs="Arial" w:eastAsia="Arial" w:hAnsi="Arial"/>
          <w:sz w:val="18"/>
          <w:szCs w:val="18"/>
          <w:color w:val="auto"/>
        </w:rPr>
        <w:t>101.INS XBRL Instance Document - the instance document does not appear in the Interactive Data File because its XBRL tags are embedded within the inline XBRL document</w:t>
      </w:r>
    </w:p>
    <w:p>
      <w:pPr>
        <w:spacing w:after="0" w:line="14"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101.SCH  Inline XBRL Taxonomy Extension Schema Document</w:t>
      </w:r>
    </w:p>
    <w:p>
      <w:pPr>
        <w:spacing w:after="0" w:line="23" w:lineRule="exact"/>
        <w:rPr>
          <w:rFonts w:ascii="Arial" w:cs="Arial" w:eastAsia="Arial" w:hAnsi="Arial"/>
          <w:sz w:val="18"/>
          <w:szCs w:val="18"/>
          <w:color w:val="auto"/>
        </w:rPr>
      </w:pPr>
    </w:p>
    <w:p>
      <w:pPr>
        <w:ind w:left="260"/>
        <w:spacing w:after="0"/>
        <w:rPr>
          <w:sz w:val="20"/>
          <w:szCs w:val="20"/>
          <w:color w:val="auto"/>
        </w:rPr>
      </w:pPr>
      <w:r>
        <w:rPr>
          <w:rFonts w:ascii="Arial" w:cs="Arial" w:eastAsia="Arial" w:hAnsi="Arial"/>
          <w:sz w:val="18"/>
          <w:szCs w:val="18"/>
          <w:color w:val="auto"/>
        </w:rPr>
        <w:t>101.CAL  Inline XBRL Taxonomy Extension Calculation Linkbase Document</w:t>
      </w:r>
    </w:p>
    <w:p>
      <w:pPr>
        <w:spacing w:after="0" w:line="23" w:lineRule="exact"/>
        <w:rPr>
          <w:rFonts w:ascii="Arial" w:cs="Arial" w:eastAsia="Arial" w:hAnsi="Arial"/>
          <w:sz w:val="18"/>
          <w:szCs w:val="18"/>
          <w:color w:val="auto"/>
        </w:rPr>
      </w:pPr>
    </w:p>
    <w:p>
      <w:pPr>
        <w:ind w:left="260"/>
        <w:spacing w:after="0"/>
        <w:rPr>
          <w:sz w:val="20"/>
          <w:szCs w:val="20"/>
          <w:color w:val="auto"/>
        </w:rPr>
      </w:pPr>
      <w:r>
        <w:rPr>
          <w:rFonts w:ascii="Arial" w:cs="Arial" w:eastAsia="Arial" w:hAnsi="Arial"/>
          <w:sz w:val="18"/>
          <w:szCs w:val="18"/>
          <w:color w:val="auto"/>
        </w:rPr>
        <w:t>101.DEF  Inline XBRL Taxonomy Extension Definition Linkbase Document</w:t>
      </w:r>
    </w:p>
    <w:p>
      <w:pPr>
        <w:spacing w:after="0" w:line="23" w:lineRule="exact"/>
        <w:rPr>
          <w:rFonts w:ascii="Arial" w:cs="Arial" w:eastAsia="Arial" w:hAnsi="Arial"/>
          <w:sz w:val="18"/>
          <w:szCs w:val="18"/>
          <w:color w:val="auto"/>
        </w:rPr>
      </w:pPr>
    </w:p>
    <w:p>
      <w:pPr>
        <w:ind w:left="280"/>
        <w:spacing w:after="0"/>
        <w:rPr>
          <w:sz w:val="20"/>
          <w:szCs w:val="20"/>
          <w:color w:val="auto"/>
        </w:rPr>
      </w:pPr>
      <w:r>
        <w:rPr>
          <w:rFonts w:ascii="Arial" w:cs="Arial" w:eastAsia="Arial" w:hAnsi="Arial"/>
          <w:sz w:val="18"/>
          <w:szCs w:val="18"/>
          <w:color w:val="auto"/>
        </w:rPr>
        <w:t>101.LAB  Inline XBRL Taxonomy Extension Label Linkbase Document</w:t>
      </w:r>
    </w:p>
    <w:p>
      <w:pPr>
        <w:spacing w:after="0" w:line="23"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23" w:lineRule="exact"/>
        <w:rPr>
          <w:rFonts w:ascii="Arial" w:cs="Arial" w:eastAsia="Arial" w:hAnsi="Arial"/>
          <w:sz w:val="18"/>
          <w:szCs w:val="18"/>
          <w:color w:val="auto"/>
        </w:rPr>
      </w:pPr>
    </w:p>
    <w:p>
      <w:pPr>
        <w:ind w:left="1100" w:right="540" w:hanging="438"/>
        <w:spacing w:after="0" w:line="219"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101.SCH, 101.CAL, 101.DEF, 101.LAB and 101.PRE)</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1380"/>
        <w:spacing w:after="0"/>
        <w:rPr>
          <w:sz w:val="20"/>
          <w:szCs w:val="20"/>
          <w:color w:val="auto"/>
        </w:rPr>
      </w:pPr>
      <w:r>
        <w:rPr>
          <w:rFonts w:ascii="Arial" w:cs="Arial" w:eastAsia="Arial" w:hAnsi="Arial"/>
          <w:sz w:val="18"/>
          <w:szCs w:val="18"/>
          <w:color w:val="auto"/>
        </w:rPr>
        <w:t>Location</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22028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57" w:lineRule="exact"/>
        <w:rPr>
          <w:rFonts w:ascii="Arial" w:cs="Arial" w:eastAsia="Arial" w:hAnsi="Arial"/>
          <w:sz w:val="18"/>
          <w:szCs w:val="18"/>
          <w:color w:val="auto"/>
        </w:rPr>
      </w:pPr>
    </w:p>
    <w:p>
      <w:pPr>
        <w:ind w:right="220"/>
        <w:spacing w:after="0" w:line="219" w:lineRule="auto"/>
        <w:rPr>
          <w:sz w:val="20"/>
          <w:szCs w:val="20"/>
          <w:color w:val="auto"/>
        </w:rPr>
      </w:pPr>
      <w:r>
        <w:rPr>
          <w:rFonts w:ascii="Arial" w:cs="Arial" w:eastAsia="Arial" w:hAnsi="Arial"/>
          <w:sz w:val="18"/>
          <w:szCs w:val="18"/>
          <w:color w:val="auto"/>
        </w:rPr>
        <w:t>Previously filed as Exhibit 3.1 to the Company's Current Report on Form 8-K (File No. 001-38600) on July 30, 2018</w:t>
      </w:r>
    </w:p>
    <w:p>
      <w:pPr>
        <w:spacing w:after="0" w:line="14" w:lineRule="exact"/>
        <w:rPr>
          <w:rFonts w:ascii="Arial" w:cs="Arial" w:eastAsia="Arial" w:hAnsi="Arial"/>
          <w:sz w:val="18"/>
          <w:szCs w:val="18"/>
          <w:color w:val="auto"/>
        </w:rPr>
      </w:pPr>
    </w:p>
    <w:p>
      <w:pPr>
        <w:ind w:right="180"/>
        <w:spacing w:after="0" w:line="215" w:lineRule="auto"/>
        <w:rPr>
          <w:sz w:val="20"/>
          <w:szCs w:val="20"/>
          <w:color w:val="auto"/>
        </w:rPr>
      </w:pPr>
      <w:r>
        <w:rPr>
          <w:rFonts w:ascii="Arial" w:cs="Arial" w:eastAsia="Arial" w:hAnsi="Arial"/>
          <w:sz w:val="18"/>
          <w:szCs w:val="18"/>
          <w:color w:val="auto"/>
        </w:rPr>
        <w:t>Previously filed as Exhibit 3.4 to the Company's Registration Statement on Form S-1 (File No. 333-226002) on June 29, 2018</w:t>
      </w:r>
    </w:p>
    <w:p>
      <w:pPr>
        <w:spacing w:after="0" w:line="14" w:lineRule="exact"/>
        <w:rPr>
          <w:rFonts w:ascii="Arial" w:cs="Arial" w:eastAsia="Arial" w:hAnsi="Arial"/>
          <w:sz w:val="18"/>
          <w:szCs w:val="18"/>
          <w:color w:val="auto"/>
        </w:rPr>
      </w:pPr>
    </w:p>
    <w:p>
      <w:pPr>
        <w:ind w:right="240"/>
        <w:spacing w:after="0" w:line="215" w:lineRule="auto"/>
        <w:rPr>
          <w:sz w:val="20"/>
          <w:szCs w:val="20"/>
          <w:color w:val="auto"/>
        </w:rPr>
      </w:pPr>
      <w:r>
        <w:rPr>
          <w:rFonts w:ascii="Arial" w:cs="Arial" w:eastAsia="Arial" w:hAnsi="Arial"/>
          <w:sz w:val="18"/>
          <w:szCs w:val="18"/>
          <w:color w:val="auto"/>
        </w:rPr>
        <w:t>Previously filed as Exhibit 4.1 to the Company's Registration Statement on Form S-1 (File No. 333-226002) on July 16, 2018</w:t>
      </w:r>
    </w:p>
    <w:p>
      <w:pPr>
        <w:spacing w:after="0" w:line="14" w:lineRule="exact"/>
        <w:rPr>
          <w:rFonts w:ascii="Arial" w:cs="Arial" w:eastAsia="Arial" w:hAnsi="Arial"/>
          <w:sz w:val="18"/>
          <w:szCs w:val="18"/>
          <w:color w:val="auto"/>
        </w:rPr>
      </w:pPr>
    </w:p>
    <w:p>
      <w:pPr>
        <w:spacing w:after="0" w:line="232" w:lineRule="auto"/>
        <w:rPr>
          <w:sz w:val="20"/>
          <w:szCs w:val="20"/>
          <w:color w:val="auto"/>
        </w:rPr>
      </w:pPr>
      <w:r>
        <w:rPr>
          <w:rFonts w:ascii="Arial" w:cs="Arial" w:eastAsia="Arial" w:hAnsi="Arial"/>
          <w:sz w:val="17"/>
          <w:szCs w:val="17"/>
          <w:color w:val="auto"/>
        </w:rPr>
        <w:t>Previously filed as Exhibit 10.1 to the Company's Current Report on Form 8-K (File No. 001-38600) on February 10, 2021</w:t>
      </w: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Furnished herewith</w:t>
      </w:r>
    </w:p>
    <w:p>
      <w:pPr>
        <w:spacing w:after="0" w:line="37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Furnished herewith</w:t>
      </w:r>
    </w:p>
    <w:p>
      <w:pPr>
        <w:spacing w:after="0" w:line="37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Furnished herewith</w:t>
      </w:r>
    </w:p>
    <w:p>
      <w:pPr>
        <w:spacing w:after="0" w:line="2868" w:lineRule="exact"/>
        <w:rPr>
          <w:rFonts w:ascii="Arial" w:cs="Arial" w:eastAsia="Arial" w:hAnsi="Arial"/>
          <w:sz w:val="18"/>
          <w:szCs w:val="18"/>
          <w:color w:val="auto"/>
        </w:rPr>
      </w:pPr>
    </w:p>
    <w:p>
      <w:pPr>
        <w:sectPr>
          <w:pgSz w:w="11900" w:h="16838" w:orient="portrait"/>
          <w:cols w:equalWidth="0" w:num="2">
            <w:col w:w="7580" w:space="200"/>
            <w:col w:w="3420"/>
          </w:cols>
          <w:pgMar w:left="320" w:top="140" w:right="379" w:bottom="1440" w:gutter="0" w:footer="0" w:header="0"/>
          <w:type w:val="continuous"/>
        </w:sectPr>
      </w:pPr>
    </w:p>
    <w:p>
      <w:pPr>
        <w:spacing w:after="0" w:line="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1"/>
          <w:szCs w:val="11"/>
          <w:color w:val="auto"/>
        </w:rPr>
        <w:t>________________</w:t>
      </w:r>
    </w:p>
    <w:p>
      <w:pPr>
        <w:spacing w:after="0" w:line="4" w:lineRule="exact"/>
        <w:rPr>
          <w:rFonts w:ascii="Arial" w:cs="Arial" w:eastAsia="Arial" w:hAnsi="Arial"/>
          <w:sz w:val="18"/>
          <w:szCs w:val="18"/>
          <w:color w:val="auto"/>
        </w:rPr>
      </w:pPr>
    </w:p>
    <w:p>
      <w:pPr>
        <w:ind w:right="140" w:firstLine="332"/>
        <w:spacing w:after="0" w:line="256" w:lineRule="auto"/>
        <w:tabs>
          <w:tab w:leader="none" w:pos="7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4"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720" w:type="dxa"/>
            <w:vAlign w:val="bottom"/>
            <w:gridSpan w:val="2"/>
          </w:tcPr>
          <w:p>
            <w:pPr>
              <w:ind w:left="1220"/>
              <w:spacing w:after="0"/>
              <w:rPr>
                <w:sz w:val="20"/>
                <w:szCs w:val="20"/>
                <w:color w:val="auto"/>
              </w:rPr>
            </w:pPr>
            <w:r>
              <w:rPr>
                <w:rFonts w:ascii="Arial" w:cs="Arial" w:eastAsia="Arial" w:hAnsi="Arial"/>
                <w:sz w:val="18"/>
                <w:szCs w:val="18"/>
                <w:b w:val="1"/>
                <w:bCs w:val="1"/>
                <w:color w:val="auto"/>
              </w:rPr>
              <w:t>TENABLE HOLDINGS, INC.</w:t>
            </w:r>
          </w:p>
        </w:tc>
      </w:tr>
      <w:tr>
        <w:trPr>
          <w:trHeight w:val="54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40" w:type="dxa"/>
            <w:vAlign w:val="bottom"/>
          </w:tcPr>
          <w:p>
            <w:pPr>
              <w:ind w:left="100"/>
              <w:spacing w:after="0"/>
              <w:rPr>
                <w:sz w:val="20"/>
                <w:szCs w:val="20"/>
                <w:color w:val="auto"/>
              </w:rPr>
            </w:pPr>
            <w:r>
              <w:rPr>
                <w:rFonts w:ascii="Arial" w:cs="Arial" w:eastAsia="Arial" w:hAnsi="Arial"/>
                <w:sz w:val="18"/>
                <w:szCs w:val="18"/>
                <w:color w:val="auto"/>
              </w:rPr>
              <w:t>April 29, 2021</w:t>
            </w:r>
          </w:p>
        </w:tc>
        <w:tc>
          <w:tcPr>
            <w:tcW w:w="1660" w:type="dxa"/>
            <w:vAlign w:val="bottom"/>
          </w:tcPr>
          <w:p>
            <w:pPr>
              <w:ind w:left="12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Amit Yoran</w:t>
            </w:r>
          </w:p>
        </w:tc>
      </w:tr>
      <w:tr>
        <w:trPr>
          <w:trHeight w:val="250"/>
        </w:trPr>
        <w:tc>
          <w:tcPr>
            <w:tcW w:w="5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Amit Yoran</w:t>
            </w:r>
          </w:p>
        </w:tc>
      </w:tr>
      <w:tr>
        <w:trPr>
          <w:trHeight w:val="270"/>
        </w:trPr>
        <w:tc>
          <w:tcPr>
            <w:tcW w:w="54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54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060" w:type="dxa"/>
            <w:vAlign w:val="bottom"/>
          </w:tcPr>
          <w:p>
            <w:pPr>
              <w:ind w:left="20"/>
              <w:spacing w:after="0"/>
              <w:rPr>
                <w:sz w:val="20"/>
                <w:szCs w:val="20"/>
                <w:color w:val="auto"/>
              </w:rPr>
            </w:pPr>
            <w:r>
              <w:rPr>
                <w:rFonts w:ascii="Arial" w:cs="Arial" w:eastAsia="Arial" w:hAnsi="Arial"/>
                <w:sz w:val="18"/>
                <w:szCs w:val="18"/>
                <w:i w:val="1"/>
                <w:iCs w:val="1"/>
                <w:color w:val="auto"/>
                <w:w w:val="99"/>
              </w:rPr>
              <w:t>(On Behalf of the Registrant and as Principal Executive Officer)</w:t>
            </w:r>
          </w:p>
        </w:tc>
      </w:tr>
      <w:tr>
        <w:trPr>
          <w:trHeight w:val="54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40" w:type="dxa"/>
            <w:vAlign w:val="bottom"/>
          </w:tcPr>
          <w:p>
            <w:pPr>
              <w:ind w:left="100"/>
              <w:spacing w:after="0"/>
              <w:rPr>
                <w:sz w:val="20"/>
                <w:szCs w:val="20"/>
                <w:color w:val="auto"/>
              </w:rPr>
            </w:pPr>
            <w:r>
              <w:rPr>
                <w:rFonts w:ascii="Arial" w:cs="Arial" w:eastAsia="Arial" w:hAnsi="Arial"/>
                <w:sz w:val="18"/>
                <w:szCs w:val="18"/>
                <w:color w:val="auto"/>
              </w:rPr>
              <w:t>April 29, 2021</w:t>
            </w:r>
          </w:p>
        </w:tc>
        <w:tc>
          <w:tcPr>
            <w:tcW w:w="1660" w:type="dxa"/>
            <w:vAlign w:val="bottom"/>
          </w:tcPr>
          <w:p>
            <w:pPr>
              <w:ind w:left="12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A. Vintz</w:t>
            </w:r>
          </w:p>
        </w:tc>
      </w:tr>
      <w:tr>
        <w:trPr>
          <w:trHeight w:val="250"/>
        </w:trPr>
        <w:tc>
          <w:tcPr>
            <w:tcW w:w="5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Stephen A. Vintz</w:t>
            </w:r>
          </w:p>
        </w:tc>
      </w:tr>
      <w:tr>
        <w:trPr>
          <w:trHeight w:val="270"/>
        </w:trPr>
        <w:tc>
          <w:tcPr>
            <w:tcW w:w="54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54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320" w:top="140" w:right="37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40" w:right="1940"/>
        <w:spacing w:after="0" w:line="268"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Amit Yoran, certify that:</w:t>
      </w:r>
    </w:p>
    <w:p>
      <w:pPr>
        <w:spacing w:after="0" w:line="144" w:lineRule="exact"/>
        <w:rPr>
          <w:sz w:val="20"/>
          <w:szCs w:val="20"/>
          <w:color w:val="auto"/>
        </w:rPr>
      </w:pPr>
    </w:p>
    <w:p>
      <w:pPr>
        <w:ind w:left="460" w:hanging="434"/>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130" w:lineRule="exact"/>
        <w:rPr>
          <w:rFonts w:ascii="Arial" w:cs="Arial" w:eastAsia="Arial" w:hAnsi="Arial"/>
          <w:sz w:val="18"/>
          <w:szCs w:val="18"/>
          <w:color w:val="auto"/>
        </w:rPr>
      </w:pPr>
    </w:p>
    <w:p>
      <w:pPr>
        <w:ind w:left="460" w:right="140" w:hanging="434"/>
        <w:spacing w:after="0" w:line="21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8"/>
          <w:szCs w:val="18"/>
          <w:color w:val="auto"/>
        </w:rPr>
      </w:pPr>
    </w:p>
    <w:p>
      <w:pPr>
        <w:ind w:left="460" w:right="40" w:hanging="434"/>
        <w:spacing w:after="0" w:line="241"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460" w:right="120" w:hanging="434"/>
        <w:spacing w:after="0" w:line="22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1" w:lineRule="exact"/>
        <w:rPr>
          <w:rFonts w:ascii="Arial" w:cs="Arial" w:eastAsia="Arial" w:hAnsi="Arial"/>
          <w:sz w:val="18"/>
          <w:szCs w:val="18"/>
          <w:color w:val="auto"/>
        </w:rPr>
      </w:pPr>
    </w:p>
    <w:p>
      <w:pPr>
        <w:ind w:left="1060" w:right="260" w:hanging="602"/>
        <w:spacing w:after="0" w:line="219" w:lineRule="auto"/>
        <w:tabs>
          <w:tab w:leader="none" w:pos="1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Arial" w:cs="Arial" w:eastAsia="Arial" w:hAnsi="Arial"/>
          <w:sz w:val="18"/>
          <w:szCs w:val="18"/>
          <w:color w:val="auto"/>
        </w:rPr>
      </w:pPr>
    </w:p>
    <w:p>
      <w:pPr>
        <w:jc w:val="both"/>
        <w:ind w:left="1060" w:right="180" w:hanging="602"/>
        <w:spacing w:after="0" w:line="219" w:lineRule="auto"/>
        <w:tabs>
          <w:tab w:leader="none" w:pos="1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8"/>
          <w:szCs w:val="18"/>
          <w:color w:val="auto"/>
        </w:rPr>
      </w:pPr>
    </w:p>
    <w:p>
      <w:pPr>
        <w:ind w:left="1060" w:right="320" w:hanging="602"/>
        <w:spacing w:after="0" w:line="219" w:lineRule="auto"/>
        <w:tabs>
          <w:tab w:leader="none" w:pos="1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8"/>
          <w:szCs w:val="18"/>
          <w:color w:val="auto"/>
        </w:rPr>
      </w:pPr>
    </w:p>
    <w:p>
      <w:pPr>
        <w:ind w:left="460" w:right="20" w:hanging="434"/>
        <w:spacing w:after="0" w:line="21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Arial" w:cs="Arial" w:eastAsia="Arial" w:hAnsi="Arial"/>
          <w:sz w:val="18"/>
          <w:szCs w:val="18"/>
          <w:color w:val="auto"/>
        </w:rPr>
      </w:pPr>
    </w:p>
    <w:p>
      <w:pPr>
        <w:ind w:left="1060" w:right="180" w:hanging="602"/>
        <w:spacing w:after="0" w:line="219" w:lineRule="auto"/>
        <w:tabs>
          <w:tab w:leader="none" w:pos="1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8"/>
          <w:szCs w:val="18"/>
          <w:color w:val="auto"/>
        </w:rPr>
      </w:pPr>
    </w:p>
    <w:p>
      <w:pPr>
        <w:ind w:left="1060" w:right="100" w:hanging="602"/>
        <w:spacing w:after="0" w:line="227" w:lineRule="auto"/>
        <w:tabs>
          <w:tab w:leader="none" w:pos="1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60" w:val="left"/>
          <w:tab w:leader="none" w:pos="5740" w:val="left"/>
          <w:tab w:leader="none" w:pos="6180" w:val="left"/>
        </w:tabs>
        <w:rPr>
          <w:sz w:val="20"/>
          <w:szCs w:val="20"/>
          <w:color w:val="auto"/>
        </w:rPr>
      </w:pPr>
      <w:r>
        <w:rPr>
          <w:rFonts w:ascii="Arial" w:cs="Arial" w:eastAsia="Arial" w:hAnsi="Arial"/>
          <w:sz w:val="18"/>
          <w:szCs w:val="18"/>
          <w:color w:val="auto"/>
        </w:rPr>
        <w:t>Date:</w:t>
        <w:tab/>
        <w:t>April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6350</wp:posOffset>
            </wp:positionV>
            <wp:extent cx="32143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Amit Yoran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and Chief Executive Officer</w:t>
      </w:r>
    </w:p>
    <w:p>
      <w:pPr>
        <w:spacing w:after="0" w:line="10"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18"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340" w:right="1940"/>
        <w:spacing w:after="0" w:line="268"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Stephen A. Vintz, certify that:</w:t>
      </w:r>
    </w:p>
    <w:p>
      <w:pPr>
        <w:spacing w:after="0" w:line="144" w:lineRule="exact"/>
        <w:rPr>
          <w:sz w:val="20"/>
          <w:szCs w:val="20"/>
          <w:color w:val="auto"/>
        </w:rPr>
      </w:pPr>
    </w:p>
    <w:p>
      <w:pPr>
        <w:ind w:left="460" w:hanging="434"/>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130" w:lineRule="exact"/>
        <w:rPr>
          <w:rFonts w:ascii="Arial" w:cs="Arial" w:eastAsia="Arial" w:hAnsi="Arial"/>
          <w:sz w:val="18"/>
          <w:szCs w:val="18"/>
          <w:color w:val="auto"/>
        </w:rPr>
      </w:pPr>
    </w:p>
    <w:p>
      <w:pPr>
        <w:ind w:left="460" w:right="140" w:hanging="434"/>
        <w:spacing w:after="0" w:line="21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8"/>
          <w:szCs w:val="18"/>
          <w:color w:val="auto"/>
        </w:rPr>
      </w:pPr>
    </w:p>
    <w:p>
      <w:pPr>
        <w:ind w:left="460" w:right="40" w:hanging="434"/>
        <w:spacing w:after="0" w:line="241"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460" w:right="120" w:hanging="434"/>
        <w:spacing w:after="0" w:line="22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1" w:lineRule="exact"/>
        <w:rPr>
          <w:rFonts w:ascii="Arial" w:cs="Arial" w:eastAsia="Arial" w:hAnsi="Arial"/>
          <w:sz w:val="18"/>
          <w:szCs w:val="18"/>
          <w:color w:val="auto"/>
        </w:rPr>
      </w:pPr>
    </w:p>
    <w:p>
      <w:pPr>
        <w:ind w:left="1060" w:right="260" w:hanging="602"/>
        <w:spacing w:after="0" w:line="219" w:lineRule="auto"/>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Arial" w:cs="Arial" w:eastAsia="Arial" w:hAnsi="Arial"/>
          <w:sz w:val="18"/>
          <w:szCs w:val="18"/>
          <w:color w:val="auto"/>
        </w:rPr>
      </w:pPr>
    </w:p>
    <w:p>
      <w:pPr>
        <w:jc w:val="both"/>
        <w:ind w:left="1060" w:right="180" w:hanging="602"/>
        <w:spacing w:after="0" w:line="219" w:lineRule="auto"/>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8"/>
          <w:szCs w:val="18"/>
          <w:color w:val="auto"/>
        </w:rPr>
      </w:pPr>
    </w:p>
    <w:p>
      <w:pPr>
        <w:ind w:left="1060" w:right="320" w:hanging="602"/>
        <w:spacing w:after="0" w:line="219" w:lineRule="auto"/>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8"/>
          <w:szCs w:val="18"/>
          <w:color w:val="auto"/>
        </w:rPr>
      </w:pPr>
    </w:p>
    <w:p>
      <w:pPr>
        <w:ind w:left="460" w:right="20" w:hanging="434"/>
        <w:spacing w:after="0" w:line="21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Arial" w:cs="Arial" w:eastAsia="Arial" w:hAnsi="Arial"/>
          <w:sz w:val="18"/>
          <w:szCs w:val="18"/>
          <w:color w:val="auto"/>
        </w:rPr>
      </w:pPr>
    </w:p>
    <w:p>
      <w:pPr>
        <w:ind w:left="1060" w:right="180" w:hanging="602"/>
        <w:spacing w:after="0" w:line="219" w:lineRule="auto"/>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8"/>
          <w:szCs w:val="18"/>
          <w:color w:val="auto"/>
        </w:rPr>
      </w:pPr>
    </w:p>
    <w:p>
      <w:pPr>
        <w:ind w:left="1060" w:right="100" w:hanging="602"/>
        <w:spacing w:after="0" w:line="227" w:lineRule="auto"/>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660" w:val="left"/>
          <w:tab w:leader="none" w:pos="5740" w:val="left"/>
          <w:tab w:leader="none" w:pos="6180" w:val="left"/>
        </w:tabs>
        <w:rPr>
          <w:sz w:val="20"/>
          <w:szCs w:val="20"/>
          <w:color w:val="auto"/>
        </w:rPr>
      </w:pPr>
      <w:r>
        <w:rPr>
          <w:rFonts w:ascii="Arial" w:cs="Arial" w:eastAsia="Arial" w:hAnsi="Arial"/>
          <w:sz w:val="18"/>
          <w:szCs w:val="18"/>
          <w:color w:val="auto"/>
        </w:rPr>
        <w:t>Date:</w:t>
        <w:tab/>
        <w:t>April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6350</wp:posOffset>
            </wp:positionV>
            <wp:extent cx="32143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Stephen A. Vintz</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10"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240"/>
          </w:cols>
          <w:pgMar w:left="320" w:top="118"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that the Quarterly Report on Form 10-Q of Tenable Holdings, Inc. for the fiscal quarter ended March 31, 2021 fully complies with the requirements of Section 13(a) or 15(d) of the Securities Exchange Act of 1934 and that information contained in such Quarterly Report on Form 10-Q fairly presents, in all material respects, the financial condition and results of operations of Tenable Holdings, Inc.</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200" w:type="dxa"/>
            <w:vAlign w:val="bottom"/>
          </w:tcPr>
          <w:p>
            <w:pPr>
              <w:ind w:left="100"/>
              <w:spacing w:after="0"/>
              <w:rPr>
                <w:sz w:val="20"/>
                <w:szCs w:val="20"/>
                <w:color w:val="auto"/>
              </w:rPr>
            </w:pPr>
            <w:r>
              <w:rPr>
                <w:rFonts w:ascii="Arial" w:cs="Arial" w:eastAsia="Arial" w:hAnsi="Arial"/>
                <w:sz w:val="18"/>
                <w:szCs w:val="18"/>
                <w:color w:val="auto"/>
              </w:rPr>
              <w:t>April 29, 2021</w:t>
            </w:r>
          </w:p>
        </w:tc>
        <w:tc>
          <w:tcPr>
            <w:tcW w:w="2400" w:type="dxa"/>
            <w:vAlign w:val="bottom"/>
          </w:tcPr>
          <w:p>
            <w:pPr>
              <w:ind w:left="198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Amit Yoran</w:t>
            </w:r>
          </w:p>
        </w:tc>
      </w:tr>
      <w:tr>
        <w:trPr>
          <w:trHeight w:val="223"/>
        </w:trPr>
        <w:tc>
          <w:tcPr>
            <w:tcW w:w="5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Amit Yoran</w:t>
            </w:r>
          </w:p>
        </w:tc>
      </w:tr>
      <w:tr>
        <w:trPr>
          <w:trHeight w:val="224"/>
        </w:trPr>
        <w:tc>
          <w:tcPr>
            <w:tcW w:w="5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35"/>
        </w:trPr>
        <w:tc>
          <w:tcPr>
            <w:tcW w:w="5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9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200" w:type="dxa"/>
            <w:vAlign w:val="bottom"/>
          </w:tcPr>
          <w:p>
            <w:pPr>
              <w:ind w:left="100"/>
              <w:spacing w:after="0"/>
              <w:rPr>
                <w:sz w:val="20"/>
                <w:szCs w:val="20"/>
                <w:color w:val="auto"/>
              </w:rPr>
            </w:pPr>
            <w:r>
              <w:rPr>
                <w:rFonts w:ascii="Arial" w:cs="Arial" w:eastAsia="Arial" w:hAnsi="Arial"/>
                <w:sz w:val="18"/>
                <w:szCs w:val="18"/>
                <w:color w:val="auto"/>
              </w:rPr>
              <w:t>April 29, 2021</w:t>
            </w:r>
          </w:p>
        </w:tc>
        <w:tc>
          <w:tcPr>
            <w:tcW w:w="2400" w:type="dxa"/>
            <w:vAlign w:val="bottom"/>
          </w:tcPr>
          <w:p>
            <w:pPr>
              <w:ind w:left="198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A. Vintz</w:t>
            </w:r>
          </w:p>
        </w:tc>
      </w:tr>
      <w:tr>
        <w:trPr>
          <w:trHeight w:val="223"/>
        </w:trPr>
        <w:tc>
          <w:tcPr>
            <w:tcW w:w="5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Stephen A. Vintz</w:t>
            </w:r>
          </w:p>
        </w:tc>
      </w:tr>
      <w:tr>
        <w:trPr>
          <w:trHeight w:val="224"/>
        </w:trPr>
        <w:tc>
          <w:tcPr>
            <w:tcW w:w="5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5"/>
        </w:trPr>
        <w:tc>
          <w:tcPr>
            <w:tcW w:w="5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04"/>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68" Type="http://schemas.openxmlformats.org/officeDocument/2006/relationships/hyperlink" Target="http://www.sec.gov/Archives/edgar/data/1660280/000119312518231446/d562353dex31.htm" TargetMode="External"/><Relationship Id="rId69" Type="http://schemas.openxmlformats.org/officeDocument/2006/relationships/hyperlink" Target="http://www.sec.gov/Archives/edgar/data/1660280/000119312518209705/d548092dex34.htm" TargetMode="External"/><Relationship Id="rId70" Type="http://schemas.openxmlformats.org/officeDocument/2006/relationships/hyperlink" Target="http://www.sec.gov/Archives/edgar/data/1660280/000119312518218215/d548092dex41.htm" TargetMode="External"/><Relationship Id="rId71" Type="http://schemas.openxmlformats.org/officeDocument/2006/relationships/hyperlink" Target="http://www.sec.gov/Archives/edgar/data/1660280/000166028021000016/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2021-04-29T17:59:57Z</dcterms:created>
  <dcterms:modified xsi:type="dcterms:W3CDTF">2021-04-29T17:59:57Z</dcterms:modified>
</cp:coreProperties>
</file>