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2582545</wp:posOffset>
            </wp:positionH>
            <wp:positionV relativeFrom="page">
              <wp:posOffset>157480</wp:posOffset>
            </wp:positionV>
            <wp:extent cx="2391410" cy="522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391410" cy="52260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August 30, 2022</w:t>
      </w:r>
    </w:p>
    <w:p>
      <w:pPr>
        <w:spacing w:after="0" w:line="256" w:lineRule="exact"/>
        <w:rPr>
          <w:sz w:val="24"/>
          <w:szCs w:val="24"/>
          <w:color w:val="auto"/>
        </w:rPr>
      </w:pPr>
    </w:p>
    <w:p>
      <w:pPr>
        <w:spacing w:after="0"/>
        <w:rPr>
          <w:sz w:val="20"/>
          <w:szCs w:val="20"/>
          <w:color w:val="auto"/>
        </w:rPr>
      </w:pPr>
      <w:r>
        <w:rPr>
          <w:rFonts w:ascii="Arial" w:cs="Arial" w:eastAsia="Arial" w:hAnsi="Arial"/>
          <w:sz w:val="20"/>
          <w:szCs w:val="20"/>
          <w:color w:val="auto"/>
        </w:rPr>
        <w:t>United States Securities and Exchange Commission</w:t>
      </w:r>
    </w:p>
    <w:p>
      <w:pPr>
        <w:spacing w:after="0"/>
        <w:rPr>
          <w:sz w:val="20"/>
          <w:szCs w:val="20"/>
          <w:color w:val="auto"/>
        </w:rPr>
      </w:pPr>
      <w:r>
        <w:rPr>
          <w:rFonts w:ascii="Arial" w:cs="Arial" w:eastAsia="Arial" w:hAnsi="Arial"/>
          <w:sz w:val="20"/>
          <w:szCs w:val="20"/>
          <w:color w:val="auto"/>
        </w:rPr>
        <w:t>Division of Corporation Finance</w:t>
      </w:r>
    </w:p>
    <w:p>
      <w:pPr>
        <w:spacing w:after="0" w:line="13" w:lineRule="exact"/>
        <w:rPr>
          <w:sz w:val="24"/>
          <w:szCs w:val="24"/>
          <w:color w:val="auto"/>
        </w:rPr>
      </w:pPr>
    </w:p>
    <w:p>
      <w:pPr>
        <w:spacing w:after="0"/>
        <w:rPr>
          <w:sz w:val="20"/>
          <w:szCs w:val="20"/>
          <w:color w:val="auto"/>
        </w:rPr>
      </w:pPr>
      <w:r>
        <w:rPr>
          <w:rFonts w:ascii="Arial" w:cs="Arial" w:eastAsia="Arial" w:hAnsi="Arial"/>
          <w:sz w:val="20"/>
          <w:szCs w:val="20"/>
          <w:color w:val="auto"/>
        </w:rPr>
        <w:t>100 F Street, N.E.</w:t>
      </w:r>
    </w:p>
    <w:p>
      <w:pPr>
        <w:spacing w:after="0"/>
        <w:rPr>
          <w:sz w:val="20"/>
          <w:szCs w:val="20"/>
          <w:color w:val="auto"/>
        </w:rPr>
      </w:pPr>
      <w:r>
        <w:rPr>
          <w:rFonts w:ascii="Arial" w:cs="Arial" w:eastAsia="Arial" w:hAnsi="Arial"/>
          <w:sz w:val="20"/>
          <w:szCs w:val="20"/>
          <w:color w:val="auto"/>
        </w:rPr>
        <w:t>Washington, D.C. 20549</w:t>
      </w:r>
    </w:p>
    <w:p>
      <w:pPr>
        <w:spacing w:after="0" w:line="256" w:lineRule="exact"/>
        <w:rPr>
          <w:sz w:val="24"/>
          <w:szCs w:val="24"/>
          <w:color w:val="auto"/>
        </w:rPr>
      </w:pPr>
    </w:p>
    <w:p>
      <w:pPr>
        <w:spacing w:after="0"/>
        <w:tabs>
          <w:tab w:leader="none" w:pos="620" w:val="left"/>
        </w:tabs>
        <w:rPr>
          <w:sz w:val="20"/>
          <w:szCs w:val="20"/>
          <w:color w:val="auto"/>
        </w:rPr>
      </w:pPr>
      <w:r>
        <w:rPr>
          <w:rFonts w:ascii="Arial" w:cs="Arial" w:eastAsia="Arial" w:hAnsi="Arial"/>
          <w:sz w:val="20"/>
          <w:szCs w:val="20"/>
          <w:color w:val="auto"/>
        </w:rPr>
        <w:t>Attn:</w:t>
        <w:tab/>
        <w:t>Kathleen Collins, Accounting Branch Chief</w:t>
      </w:r>
    </w:p>
    <w:p>
      <w:pPr>
        <w:spacing w:after="0" w:line="13" w:lineRule="exact"/>
        <w:rPr>
          <w:sz w:val="24"/>
          <w:szCs w:val="24"/>
          <w:color w:val="auto"/>
        </w:rPr>
      </w:pPr>
    </w:p>
    <w:p>
      <w:pPr>
        <w:ind w:left="660"/>
        <w:spacing w:after="0"/>
        <w:rPr>
          <w:sz w:val="20"/>
          <w:szCs w:val="20"/>
          <w:color w:val="auto"/>
        </w:rPr>
      </w:pPr>
      <w:r>
        <w:rPr>
          <w:rFonts w:ascii="Arial" w:cs="Arial" w:eastAsia="Arial" w:hAnsi="Arial"/>
          <w:sz w:val="20"/>
          <w:szCs w:val="20"/>
          <w:color w:val="auto"/>
        </w:rPr>
        <w:t>Joyce Sweeney, Senior Staff Accountant</w:t>
      </w:r>
    </w:p>
    <w:p>
      <w:pPr>
        <w:spacing w:after="0" w:line="219"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Re: Tenable Holdings, Inc.</w:t>
      </w:r>
    </w:p>
    <w:p>
      <w:pPr>
        <w:spacing w:after="0" w:line="31"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Form 10-K for the Year Ended December 31, 2021</w:t>
      </w:r>
    </w:p>
    <w:p>
      <w:pPr>
        <w:spacing w:after="0" w:line="5"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Filed February 25, 2022</w:t>
      </w:r>
    </w:p>
    <w:p>
      <w:pPr>
        <w:spacing w:after="0" w:line="7"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Form 8-K furnished April 26, 2022</w:t>
      </w:r>
    </w:p>
    <w:p>
      <w:pPr>
        <w:spacing w:after="0" w:line="13"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File No. 001-38600</w:t>
      </w:r>
    </w:p>
    <w:p>
      <w:pPr>
        <w:spacing w:after="0" w:line="248" w:lineRule="exact"/>
        <w:rPr>
          <w:sz w:val="24"/>
          <w:szCs w:val="24"/>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32" w:lineRule="exact"/>
        <w:rPr>
          <w:sz w:val="24"/>
          <w:szCs w:val="24"/>
          <w:color w:val="auto"/>
        </w:rPr>
      </w:pPr>
    </w:p>
    <w:p>
      <w:pPr>
        <w:jc w:val="both"/>
        <w:spacing w:after="0" w:line="259" w:lineRule="auto"/>
        <w:rPr>
          <w:sz w:val="20"/>
          <w:szCs w:val="20"/>
          <w:color w:val="auto"/>
        </w:rPr>
      </w:pPr>
      <w:r>
        <w:rPr>
          <w:rFonts w:ascii="Arial" w:cs="Arial" w:eastAsia="Arial" w:hAnsi="Arial"/>
          <w:sz w:val="20"/>
          <w:szCs w:val="20"/>
          <w:color w:val="auto"/>
        </w:rPr>
        <w:t>Tenable Holdings,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or “</w:t>
      </w:r>
      <w:r>
        <w:rPr>
          <w:rFonts w:ascii="Arial" w:cs="Arial" w:eastAsia="Arial" w:hAnsi="Arial"/>
          <w:sz w:val="20"/>
          <w:szCs w:val="20"/>
          <w:b w:val="1"/>
          <w:bCs w:val="1"/>
          <w:i w:val="1"/>
          <w:iCs w:val="1"/>
          <w:color w:val="auto"/>
        </w:rPr>
        <w:t>we</w:t>
      </w:r>
      <w:r>
        <w:rPr>
          <w:rFonts w:ascii="Arial" w:cs="Arial" w:eastAsia="Arial" w:hAnsi="Arial"/>
          <w:sz w:val="20"/>
          <w:szCs w:val="20"/>
          <w:color w:val="auto"/>
        </w:rPr>
        <w:t>”) is in receipt of the comment letter, dated August 2, 2022 (the “</w:t>
      </w:r>
      <w:r>
        <w:rPr>
          <w:rFonts w:ascii="Arial" w:cs="Arial" w:eastAsia="Arial" w:hAnsi="Arial"/>
          <w:sz w:val="20"/>
          <w:szCs w:val="20"/>
          <w:b w:val="1"/>
          <w:bCs w:val="1"/>
          <w:i w:val="1"/>
          <w:iCs w:val="1"/>
          <w:color w:val="auto"/>
        </w:rPr>
        <w:t>Comment</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Letter</w:t>
      </w:r>
      <w:r>
        <w:rPr>
          <w:rFonts w:ascii="Arial" w:cs="Arial" w:eastAsia="Arial" w:hAnsi="Arial"/>
          <w:sz w:val="20"/>
          <w:szCs w:val="20"/>
          <w:color w:val="auto"/>
        </w:rPr>
        <w:t>”), from the staff (the “</w:t>
      </w:r>
      <w:r>
        <w:rPr>
          <w:rFonts w:ascii="Arial" w:cs="Arial" w:eastAsia="Arial" w:hAnsi="Arial"/>
          <w:sz w:val="20"/>
          <w:szCs w:val="20"/>
          <w:b w:val="1"/>
          <w:bCs w:val="1"/>
          <w:i w:val="1"/>
          <w:iCs w:val="1"/>
          <w:color w:val="auto"/>
        </w:rPr>
        <w:t>Staff</w:t>
      </w:r>
      <w:r>
        <w:rPr>
          <w:rFonts w:ascii="Arial" w:cs="Arial" w:eastAsia="Arial" w:hAnsi="Arial"/>
          <w:sz w:val="20"/>
          <w:szCs w:val="20"/>
          <w:color w:val="auto"/>
        </w:rPr>
        <w:t>”) of the Division of Corporation Finance of the U.S. Securities and Exchange Commission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relating to the Company’s Annual Report on Form 10-K for the year ended December 31, 2021 filed on February 25, 2022 and the Company’s Current Report on Form 8-K furnished on April 26, 2022.</w:t>
      </w:r>
    </w:p>
    <w:p>
      <w:pPr>
        <w:spacing w:after="0" w:line="219" w:lineRule="exact"/>
        <w:rPr>
          <w:sz w:val="24"/>
          <w:szCs w:val="24"/>
          <w:color w:val="auto"/>
        </w:rPr>
      </w:pPr>
    </w:p>
    <w:p>
      <w:pPr>
        <w:jc w:val="both"/>
        <w:spacing w:after="0" w:line="251" w:lineRule="auto"/>
        <w:rPr>
          <w:sz w:val="20"/>
          <w:szCs w:val="20"/>
          <w:color w:val="auto"/>
        </w:rPr>
      </w:pPr>
      <w:r>
        <w:rPr>
          <w:rFonts w:ascii="Arial" w:cs="Arial" w:eastAsia="Arial" w:hAnsi="Arial"/>
          <w:sz w:val="20"/>
          <w:szCs w:val="20"/>
          <w:color w:val="auto"/>
        </w:rPr>
        <w:t>The Comment Letter requested that we respond within ten business days or advise the Staff when we will respond. By letter dated August 15, 2022, we requested an extension of ten business days to respond. We respectfully request an additional extension of 10 business days to respond. The Company plans to provide a response to the Comment Letter on or before September 14, 2022.</w:t>
      </w:r>
    </w:p>
    <w:p>
      <w:pPr>
        <w:spacing w:after="0" w:line="226" w:lineRule="exact"/>
        <w:rPr>
          <w:sz w:val="24"/>
          <w:szCs w:val="24"/>
          <w:color w:val="auto"/>
        </w:rPr>
      </w:pPr>
    </w:p>
    <w:p>
      <w:pPr>
        <w:jc w:val="both"/>
        <w:spacing w:after="0" w:line="261" w:lineRule="auto"/>
        <w:rPr>
          <w:sz w:val="20"/>
          <w:szCs w:val="20"/>
          <w:color w:val="auto"/>
        </w:rPr>
      </w:pPr>
      <w:r>
        <w:rPr>
          <w:rFonts w:ascii="Arial" w:cs="Arial" w:eastAsia="Arial" w:hAnsi="Arial"/>
          <w:sz w:val="20"/>
          <w:szCs w:val="20"/>
          <w:color w:val="auto"/>
        </w:rPr>
        <w:t>Thank you for your consideration of the Company’s request for an extension. If you have any questions, please do not hesitate to call the undersigned at (410) 872-0555.</w:t>
      </w:r>
    </w:p>
    <w:p>
      <w:pPr>
        <w:spacing w:after="0" w:line="229" w:lineRule="exact"/>
        <w:rPr>
          <w:sz w:val="24"/>
          <w:szCs w:val="24"/>
          <w:color w:val="auto"/>
        </w:rPr>
      </w:pPr>
    </w:p>
    <w:p>
      <w:pPr>
        <w:spacing w:after="0"/>
        <w:rPr>
          <w:sz w:val="20"/>
          <w:szCs w:val="20"/>
          <w:color w:val="auto"/>
        </w:rPr>
      </w:pPr>
      <w:r>
        <w:rPr>
          <w:rFonts w:ascii="Arial" w:cs="Arial" w:eastAsia="Arial" w:hAnsi="Arial"/>
          <w:sz w:val="20"/>
          <w:szCs w:val="20"/>
          <w:color w:val="auto"/>
        </w:rPr>
        <w:t>Sincerely,</w:t>
      </w:r>
    </w:p>
    <w:p>
      <w:pPr>
        <w:spacing w:after="0" w:line="200" w:lineRule="exact"/>
        <w:rPr>
          <w:sz w:val="24"/>
          <w:szCs w:val="24"/>
          <w:color w:val="auto"/>
        </w:rPr>
      </w:pPr>
    </w:p>
    <w:p>
      <w:pPr>
        <w:spacing w:after="0" w:line="286" w:lineRule="exact"/>
        <w:rPr>
          <w:sz w:val="24"/>
          <w:szCs w:val="24"/>
          <w:color w:val="auto"/>
        </w:rPr>
      </w:pPr>
    </w:p>
    <w:p>
      <w:pPr>
        <w:spacing w:after="0"/>
        <w:rPr>
          <w:sz w:val="20"/>
          <w:szCs w:val="20"/>
          <w:color w:val="auto"/>
        </w:rPr>
      </w:pPr>
      <w:r>
        <w:rPr>
          <w:rFonts w:ascii="Arial" w:cs="Arial" w:eastAsia="Arial" w:hAnsi="Arial"/>
          <w:sz w:val="20"/>
          <w:szCs w:val="20"/>
          <w:u w:val="single" w:color="auto"/>
          <w:color w:val="auto"/>
        </w:rPr>
        <w:t>/s/ Stephen A. Vintz</w:t>
      </w:r>
    </w:p>
    <w:p>
      <w:pPr>
        <w:spacing w:after="0" w:line="13" w:lineRule="exact"/>
        <w:rPr>
          <w:sz w:val="24"/>
          <w:szCs w:val="24"/>
          <w:color w:val="auto"/>
        </w:rPr>
      </w:pPr>
    </w:p>
    <w:p>
      <w:pPr>
        <w:spacing w:after="0"/>
        <w:rPr>
          <w:sz w:val="20"/>
          <w:szCs w:val="20"/>
          <w:color w:val="auto"/>
        </w:rPr>
      </w:pPr>
      <w:r>
        <w:rPr>
          <w:rFonts w:ascii="Arial" w:cs="Arial" w:eastAsia="Arial" w:hAnsi="Arial"/>
          <w:sz w:val="20"/>
          <w:szCs w:val="20"/>
          <w:color w:val="auto"/>
        </w:rPr>
        <w:t>Stephen A. Vintz</w:t>
      </w:r>
    </w:p>
    <w:p>
      <w:pPr>
        <w:spacing w:after="0"/>
        <w:rPr>
          <w:sz w:val="20"/>
          <w:szCs w:val="20"/>
          <w:color w:val="auto"/>
        </w:rPr>
      </w:pPr>
      <w:r>
        <w:rPr>
          <w:rFonts w:ascii="Arial" w:cs="Arial" w:eastAsia="Arial" w:hAnsi="Arial"/>
          <w:sz w:val="20"/>
          <w:szCs w:val="20"/>
          <w:color w:val="auto"/>
        </w:rPr>
        <w:t>Chief Financial Officer</w:t>
      </w:r>
    </w:p>
    <w:p>
      <w:pPr>
        <w:spacing w:after="0" w:line="13" w:lineRule="exact"/>
        <w:rPr>
          <w:sz w:val="24"/>
          <w:szCs w:val="24"/>
          <w:color w:val="auto"/>
        </w:rPr>
      </w:pPr>
    </w:p>
    <w:p>
      <w:pPr>
        <w:spacing w:after="0"/>
        <w:rPr>
          <w:sz w:val="20"/>
          <w:szCs w:val="20"/>
          <w:color w:val="auto"/>
        </w:rPr>
      </w:pPr>
      <w:r>
        <w:rPr>
          <w:rFonts w:ascii="Arial" w:cs="Arial" w:eastAsia="Arial" w:hAnsi="Arial"/>
          <w:sz w:val="20"/>
          <w:szCs w:val="20"/>
          <w:color w:val="auto"/>
        </w:rPr>
        <w:t>Tenable Holdings, Inc.</w:t>
      </w:r>
    </w:p>
    <w:p>
      <w:pPr>
        <w:spacing w:after="0" w:line="200" w:lineRule="exact"/>
        <w:rPr>
          <w:sz w:val="24"/>
          <w:szCs w:val="24"/>
          <w:color w:val="auto"/>
        </w:rPr>
      </w:pPr>
    </w:p>
    <w:p>
      <w:pPr>
        <w:spacing w:after="0" w:line="299" w:lineRule="exact"/>
        <w:rPr>
          <w:sz w:val="24"/>
          <w:szCs w:val="24"/>
          <w:color w:val="auto"/>
        </w:rPr>
      </w:pPr>
    </w:p>
    <w:p>
      <w:pPr>
        <w:ind w:left="660" w:right="6840" w:hanging="652"/>
        <w:spacing w:after="0" w:line="250" w:lineRule="auto"/>
        <w:tabs>
          <w:tab w:leader="none" w:pos="694" w:val="left"/>
        </w:tabs>
        <w:numPr>
          <w:ilvl w:val="0"/>
          <w:numId w:val="1"/>
        </w:numPr>
        <w:rPr>
          <w:rFonts w:ascii="Arial" w:cs="Arial" w:eastAsia="Arial" w:hAnsi="Arial"/>
          <w:sz w:val="20"/>
          <w:szCs w:val="20"/>
          <w:color w:val="auto"/>
        </w:rPr>
      </w:pPr>
      <w:r>
        <w:rPr>
          <w:rFonts w:ascii="Arial" w:cs="Arial" w:eastAsia="Arial" w:hAnsi="Arial"/>
          <w:sz w:val="20"/>
          <w:szCs w:val="20"/>
          <w:color w:val="auto"/>
        </w:rPr>
        <w:t>Amit Yoran, Tenable Holdings, Inc. Stephen A. Riddick, Tenable Holdings, Inc. Eric C. Jensen, Cooley LLP</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2022-10-17T00:16:36Z</dcterms:created>
  <dcterms:modified xsi:type="dcterms:W3CDTF">2022-10-17T00:16:36Z</dcterms:modified>
</cp:coreProperties>
</file>