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231F20"/>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Washington, D.C. 20549</w:t>
      </w: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231F20"/>
        </w:rPr>
        <w:t>FORM 8-K</w:t>
      </w:r>
    </w:p>
    <w:p>
      <w:pPr>
        <w:spacing w:after="0" w:line="51"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February 4, 2026</w:t>
      </w:r>
    </w:p>
    <w:p>
      <w:pPr>
        <w:spacing w:after="0" w:line="25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231F20"/>
        </w:rPr>
        <w:t>TENABLE HOLDINGS,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(Exact name of registrant as specified in its charter)</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240"/>
          </w:cols>
          <w:pgMar w:left="320" w:top="1266" w:right="339" w:bottom="1440" w:gutter="0" w:footer="0" w:header="0"/>
        </w:sectPr>
      </w:pPr>
    </w:p>
    <w:p>
      <w:pPr>
        <w:spacing w:after="0" w:line="117"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001-38600</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47-5580846</w:t>
      </w:r>
    </w:p>
    <w:p>
      <w:pPr>
        <w:spacing w:after="0" w:line="39" w:lineRule="exact"/>
        <w:rPr>
          <w:sz w:val="24"/>
          <w:szCs w:val="24"/>
          <w:color w:val="auto"/>
        </w:rPr>
      </w:pPr>
    </w:p>
    <w:p>
      <w:pPr>
        <w:sectPr>
          <w:pgSz w:w="11900" w:h="16838" w:orient="portrait"/>
          <w:cols w:equalWidth="0" w:num="3">
            <w:col w:w="4500" w:space="720"/>
            <w:col w:w="3000" w:space="720"/>
            <w:col w:w="2300"/>
          </w:cols>
          <w:pgMar w:left="320" w:top="1266" w:right="339" w:bottom="1440" w:gutter="0" w:footer="0" w:header="0"/>
          <w:type w:val="continuous"/>
        </w:sectPr>
      </w:pPr>
    </w:p>
    <w:p>
      <w:pPr>
        <w:ind w:left="460"/>
        <w:spacing w:after="0"/>
        <w:rPr>
          <w:sz w:val="20"/>
          <w:szCs w:val="20"/>
          <w:color w:val="auto"/>
        </w:rPr>
      </w:pPr>
      <w:r>
        <w:rPr>
          <w:rFonts w:ascii="Arial" w:cs="Arial" w:eastAsia="Arial" w:hAnsi="Arial"/>
          <w:sz w:val="14"/>
          <w:szCs w:val="14"/>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5" w:lineRule="exact"/>
        <w:rPr>
          <w:sz w:val="24"/>
          <w:szCs w:val="24"/>
          <w:color w:val="auto"/>
        </w:rPr>
      </w:pPr>
    </w:p>
    <w:p>
      <w:pPr>
        <w:sectPr>
          <w:pgSz w:w="11900" w:h="16838" w:orient="portrait"/>
          <w:cols w:equalWidth="0" w:num="3">
            <w:col w:w="4040" w:space="720"/>
            <w:col w:w="2640" w:space="720"/>
            <w:col w:w="3120"/>
          </w:cols>
          <w:pgMar w:left="320" w:top="1266" w:right="339" w:bottom="1440" w:gutter="0" w:footer="0" w:header="0"/>
          <w:type w:val="continuous"/>
        </w:sectPr>
      </w:pPr>
    </w:p>
    <w:p>
      <w:pPr>
        <w:ind w:left="1460"/>
        <w:spacing w:after="0"/>
        <w:rPr>
          <w:sz w:val="20"/>
          <w:szCs w:val="20"/>
          <w:color w:val="auto"/>
        </w:rPr>
      </w:pPr>
      <w:r>
        <w:rPr>
          <w:rFonts w:ascii="Arial" w:cs="Arial" w:eastAsia="Arial" w:hAnsi="Arial"/>
          <w:sz w:val="14"/>
          <w:szCs w:val="14"/>
          <w:color w:val="auto"/>
        </w:rPr>
        <w:t>organization)</w:t>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6100 Merriweather Drive, Columbia, Maryland, 21044</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(410) 872-0555</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ectPr>
          <w:pgSz w:w="11900" w:h="16838" w:orient="portrait"/>
          <w:cols w:equalWidth="0" w:num="1">
            <w:col w:w="11240"/>
          </w:cols>
          <w:pgMar w:left="320" w:top="1266" w:right="339" w:bottom="1440" w:gutter="0" w:footer="0" w:header="0"/>
          <w:type w:val="continuous"/>
        </w:sectPr>
      </w:pPr>
    </w:p>
    <w:p>
      <w:pPr>
        <w:spacing w:after="0" w:line="15"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219"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6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4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266" w:right="339" w:bottom="1440" w:gutter="0" w:footer="0" w:header="0"/>
          <w:type w:val="continuous"/>
        </w:sectPr>
      </w:pPr>
    </w:p>
    <w:p>
      <w:pPr>
        <w:spacing w:after="0" w:line="140"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Title of each class</w:t>
      </w:r>
    </w:p>
    <w:p>
      <w:pPr>
        <w:spacing w:after="0" w:line="32"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Trading Symbol(s)</w:t>
      </w:r>
    </w:p>
    <w:p>
      <w:pPr>
        <w:spacing w:after="0" w:line="32"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TENB</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Name of each exchange on which registered</w:t>
      </w:r>
    </w:p>
    <w:p>
      <w:pPr>
        <w:spacing w:after="0" w:line="32"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The Nasdaq Stock Market LLC</w:t>
      </w:r>
    </w:p>
    <w:p>
      <w:pPr>
        <w:spacing w:after="0" w:line="200" w:lineRule="exact"/>
        <w:rPr>
          <w:sz w:val="24"/>
          <w:szCs w:val="24"/>
          <w:color w:val="auto"/>
        </w:rPr>
      </w:pPr>
    </w:p>
    <w:p>
      <w:pPr>
        <w:sectPr>
          <w:pgSz w:w="11900" w:h="16838" w:orient="portrait"/>
          <w:cols w:equalWidth="0" w:num="3">
            <w:col w:w="4240" w:space="720"/>
            <w:col w:w="1880" w:space="720"/>
            <w:col w:w="3680"/>
          </w:cols>
          <w:pgMar w:left="320" w:top="1266" w:right="339" w:bottom="1440" w:gutter="0" w:footer="0" w:header="0"/>
          <w:type w:val="continuous"/>
        </w:sectPr>
      </w:pPr>
    </w:p>
    <w:p>
      <w:pPr>
        <w:spacing w:after="0" w:line="143" w:lineRule="exact"/>
        <w:rPr>
          <w:sz w:val="24"/>
          <w:szCs w:val="24"/>
          <w:color w:val="auto"/>
        </w:rPr>
      </w:pPr>
    </w:p>
    <w:p>
      <w:pPr>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3"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2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On February 4, 2026, Tenable Holdings, Inc. (the "Company") reported financial results for the quarter and full year ended December 31, 2025. A copy of the press release is furnished as Exhibit 99.1 to this report and incorporated by reference.</w:t>
      </w:r>
    </w:p>
    <w:p>
      <w:pPr>
        <w:spacing w:after="0" w:line="15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January 15, 2026, the Company's Board of Directors approved an increase to the Company's existing share repurchase program of up to an additional $150 million, which is also announced in the press release furnished as Exhibit 99.1 to this report. Repurchases under the share repurchase program may be made in the open market, in privately negotiated transactions or in such other manner as determined by the Company, including through repurchase plans complying with the rules and regulations of the Securities and Exchange Commission.</w:t>
      </w:r>
    </w:p>
    <w:p>
      <w:pPr>
        <w:spacing w:after="0" w:line="1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(d)</w:t>
        <w:tab/>
        <w:t>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Exhibit Number</w:t>
            </w:r>
          </w:p>
        </w:tc>
        <w:tc>
          <w:tcPr>
            <w:tcW w:w="20" w:type="dxa"/>
            <w:vAlign w:val="bottom"/>
          </w:tcPr>
          <w:p>
            <w:pPr>
              <w:spacing w:after="0"/>
              <w:rPr>
                <w:sz w:val="18"/>
                <w:szCs w:val="18"/>
                <w:color w:val="auto"/>
              </w:rPr>
            </w:pPr>
          </w:p>
        </w:tc>
        <w:tc>
          <w:tcPr>
            <w:tcW w:w="9700" w:type="dxa"/>
            <w:vAlign w:val="bottom"/>
            <w:gridSpan w:val="2"/>
          </w:tcPr>
          <w:p>
            <w:pPr>
              <w:ind w:left="4400"/>
              <w:spacing w:after="0"/>
              <w:rPr>
                <w:sz w:val="20"/>
                <w:szCs w:val="20"/>
                <w:color w:val="auto"/>
              </w:rPr>
            </w:pPr>
            <w:r>
              <w:rPr>
                <w:rFonts w:ascii="Arial" w:cs="Arial" w:eastAsia="Arial" w:hAnsi="Arial"/>
                <w:sz w:val="16"/>
                <w:szCs w:val="16"/>
                <w:b w:val="1"/>
                <w:bCs w:val="1"/>
                <w:color w:val="auto"/>
              </w:rPr>
              <w:t>Description</w:t>
            </w:r>
          </w:p>
        </w:tc>
      </w:tr>
      <w:tr>
        <w:trPr>
          <w:trHeight w:val="183"/>
        </w:trPr>
        <w:tc>
          <w:tcPr>
            <w:tcW w:w="1420" w:type="dxa"/>
            <w:vAlign w:val="bottom"/>
            <w:tcBorders>
              <w:top w:val="single" w:sz="8" w:color="auto"/>
            </w:tcBorders>
          </w:tcPr>
          <w:p>
            <w:pPr>
              <w:jc w:val="right"/>
              <w:ind w:right="452"/>
              <w:spacing w:after="0" w:line="182"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300" w:type="dxa"/>
            <w:vAlign w:val="bottom"/>
            <w:tcBorders>
              <w:top w:val="single" w:sz="8" w:color="auto"/>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Press release — "Tenable Announces Fourth Quarter and Full Year 2025 Financial Results"</w:t>
            </w:r>
          </w:p>
        </w:tc>
        <w:tc>
          <w:tcPr>
            <w:tcW w:w="2400" w:type="dxa"/>
            <w:vAlign w:val="bottom"/>
            <w:tcBorders>
              <w:top w:val="single" w:sz="8" w:color="auto"/>
            </w:tcBorders>
          </w:tcPr>
          <w:p>
            <w:pPr>
              <w:spacing w:after="0"/>
              <w:rPr>
                <w:sz w:val="15"/>
                <w:szCs w:val="15"/>
                <w:color w:val="auto"/>
              </w:rPr>
            </w:pPr>
          </w:p>
        </w:tc>
      </w:tr>
      <w:tr>
        <w:trPr>
          <w:trHeight w:val="245"/>
        </w:trPr>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5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101.PRE</w:t>
            </w:r>
          </w:p>
        </w:tc>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9"/>
        </w:trPr>
        <w:tc>
          <w:tcPr>
            <w:tcW w:w="1420" w:type="dxa"/>
            <w:vAlign w:val="bottom"/>
          </w:tcPr>
          <w:p>
            <w:pPr>
              <w:jc w:val="right"/>
              <w:ind w:right="47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The cover page from Tenable's 8-K filed on February 4, 2026, formatted in Inline XBRL.</w:t>
            </w:r>
          </w:p>
        </w:tc>
      </w:tr>
      <w:tr>
        <w:trPr>
          <w:trHeight w:val="1015"/>
        </w:trPr>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440" w:type="dxa"/>
            <w:vAlign w:val="bottom"/>
          </w:tcPr>
          <w:p>
            <w:pPr>
              <w:spacing w:after="0"/>
              <w:rPr>
                <w:sz w:val="21"/>
                <w:szCs w:val="21"/>
                <w:color w:val="auto"/>
              </w:rPr>
            </w:pPr>
          </w:p>
        </w:tc>
        <w:tc>
          <w:tcPr>
            <w:tcW w:w="7780" w:type="dxa"/>
            <w:vAlign w:val="bottom"/>
            <w:gridSpan w:val="2"/>
          </w:tcPr>
          <w:p>
            <w:pPr>
              <w:ind w:left="1420"/>
              <w:spacing w:after="0"/>
              <w:rPr>
                <w:sz w:val="20"/>
                <w:szCs w:val="20"/>
                <w:color w:val="auto"/>
              </w:rPr>
            </w:pPr>
            <w:r>
              <w:rPr>
                <w:rFonts w:ascii="Arial" w:cs="Arial" w:eastAsia="Arial" w:hAnsi="Arial"/>
                <w:sz w:val="18"/>
                <w:szCs w:val="18"/>
                <w:b w:val="1"/>
                <w:bCs w:val="1"/>
                <w:color w:val="auto"/>
              </w:rPr>
              <w:t>TENABLE HOLDINGS, INC.</w:t>
            </w:r>
          </w:p>
        </w:tc>
      </w:tr>
      <w:tr>
        <w:trPr>
          <w:trHeight w:val="488"/>
        </w:trPr>
        <w:tc>
          <w:tcPr>
            <w:tcW w:w="3440" w:type="dxa"/>
            <w:vAlign w:val="bottom"/>
          </w:tcPr>
          <w:p>
            <w:pPr>
              <w:spacing w:after="0"/>
              <w:rPr>
                <w:sz w:val="20"/>
                <w:szCs w:val="20"/>
                <w:color w:val="auto"/>
              </w:rPr>
            </w:pPr>
            <w:r>
              <w:rPr>
                <w:rFonts w:ascii="Arial" w:cs="Arial" w:eastAsia="Arial" w:hAnsi="Arial"/>
                <w:sz w:val="18"/>
                <w:szCs w:val="18"/>
                <w:color w:val="auto"/>
              </w:rPr>
              <w:t>Date:  February 4, 2026</w:t>
            </w:r>
          </w:p>
        </w:tc>
        <w:tc>
          <w:tcPr>
            <w:tcW w:w="7780" w:type="dxa"/>
            <w:vAlign w:val="bottom"/>
            <w:gridSpan w:val="2"/>
          </w:tcPr>
          <w:p>
            <w:pPr>
              <w:ind w:left="1420"/>
              <w:spacing w:after="0"/>
              <w:rPr>
                <w:sz w:val="20"/>
                <w:szCs w:val="20"/>
                <w:color w:val="auto"/>
              </w:rPr>
            </w:pPr>
            <w:r>
              <w:rPr>
                <w:rFonts w:ascii="Arial" w:cs="Arial" w:eastAsia="Arial" w:hAnsi="Arial"/>
                <w:sz w:val="18"/>
                <w:szCs w:val="18"/>
                <w:color w:val="auto"/>
              </w:rPr>
              <w:t>By:  /s/ Michelle VonderHaar</w:t>
            </w:r>
          </w:p>
        </w:tc>
      </w:tr>
      <w:tr>
        <w:trPr>
          <w:trHeight w:val="220"/>
        </w:trPr>
        <w:tc>
          <w:tcPr>
            <w:tcW w:w="3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Michelle VonderHaar</w:t>
            </w:r>
          </w:p>
        </w:tc>
      </w:tr>
      <w:tr>
        <w:trPr>
          <w:trHeight w:val="237"/>
        </w:trPr>
        <w:tc>
          <w:tcPr>
            <w:tcW w:w="3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i w:val="1"/>
                <w:iCs w:val="1"/>
                <w:color w:val="auto"/>
              </w:rPr>
              <w:t>Chief Legal Officer and Corporate Secretary</w:t>
            </w:r>
          </w:p>
        </w:tc>
      </w:tr>
    </w:tbl>
    <w:p>
      <w:pPr>
        <w:sectPr>
          <w:pgSz w:w="11900" w:h="16838" w:orient="portrait"/>
          <w:cols w:equalWidth="0" w:num="1">
            <w:col w:w="11240"/>
          </w:cols>
          <w:pgMar w:left="320" w:top="93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Tenable Announces Fourth Quarter and Full Year 2025 Financial Results</w:t>
      </w:r>
    </w:p>
    <w:p>
      <w:pPr>
        <w:spacing w:after="0" w:line="22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Tenable exceeds all guided metrics for the fourth quarter and full year 2025, announces increase of $150 million to share repurchase authorization</w:t>
      </w:r>
    </w:p>
    <w:p>
      <w:pPr>
        <w:spacing w:after="0" w:line="15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Fourth quarter revenue of $260.5 million, up 11% year-over-year; full year revenue of $999.4 million, up 11% year-over-year</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Fourth quarter calculated current billings of $327.8 million, up 8% year-over-year; full year calculated current billings of $1.049 billion, up 8% year-over-year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year net cash provided by operating activities of $266.8 million; full year unlevered free cash flow of $277.0 million</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COLUMBIA, Maryland, February 4, 2026 — Tenable Holdings, Inc. (“Tenable”) (Nasdaq: TENB), the exposure management company, today announced financial results for the quarter and year ended December 31, 2025.</w:t>
      </w:r>
    </w:p>
    <w:p>
      <w:pPr>
        <w:spacing w:after="0" w:line="15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are very pleased with the execution in the quarter and the full year as we delivered better-than-expected results across all of our guided metrics," said Steve Vintz, Co-CEO of Tenable. "Our focus on expanding Tenable One and ensuring AI remains central to every innovation is driving stronger platform adoption and deeper customer engagement."</w:t>
      </w:r>
    </w:p>
    <w:p>
      <w:pPr>
        <w:spacing w:after="0" w:line="171"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are incredibly proud to be recognized as an industry leader in Exposure Management across all three major industry analyst firms," said Mark Thurmond, Co-CEO of Tenable. "Customers are investing in Tenable One as a long-term platform to turn fragmented security data into a unified, actionable roadmap for risk reduction."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2025 Financial Highlights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was $260.5 million, an 11% increase year-over-year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Calculated current billings was $327.8 million, an 8% increase year-over-year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income from operations was $8.9 million, compared to $13.0 million in the fourth quarter of 2024</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income from operations was $63.7 million, compared to $59.4 million in the fourth quarter of 2024</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net loss was $0.7 million, compared to $1.9 million of net income in the fourth quarter of 2024</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GAAP net loss per share was $0.01, compared to earnings per share of $0.02 in the fourth quarter of 2024</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income was $57.3 million, compared to $50.7 million in the fourth quarter of 2024</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diluted earnings per share was $0.48, compared to $0.41 in the fourth quarter of 2024</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provided by operating activities was $83.0 million, compared to $81.1 million in the fourth quarter of 2024</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Unlevered free cash flow was $87.5 million, compared to $85.7 million in the fourth quarter of 2024</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Repurchased 2.3 million shares of our common stock for $62.5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2025 Financial Highlights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was $999.4 million, an 11% increase year-over-year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current billings was $1.049 billion, an 8% increase year-over-year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loss from operations was $9.2 million, compared to $6.9 million in 2024</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income from operations was $219.0 million, compared to $184.1 million in 2024</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net loss was $36.1 million, compared to $36.3 million in 2024</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net loss per share was $0.30, compared to $0.31 in 2024</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net income was $194.4 million, compared to $158.6 million in 2024</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diluted earnings per share was $1.59, compared to $1.29 in 2024</w:t>
      </w:r>
    </w:p>
    <w:p>
      <w:pPr>
        <w:spacing w:after="0" w:line="63" w:lineRule="exact"/>
        <w:rPr>
          <w:rFonts w:ascii="Arial" w:cs="Arial" w:eastAsia="Arial" w:hAnsi="Arial"/>
          <w:sz w:val="18"/>
          <w:szCs w:val="18"/>
          <w:color w:val="auto"/>
        </w:rPr>
      </w:pPr>
    </w:p>
    <w:p>
      <w:pPr>
        <w:ind w:left="660" w:right="28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cash equivalents and short-term investments were $402.2 million at December 31, 2025, compared to $577.2 million at December 31, 2024</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provided by operating activities was $266.8 million, compared to $217.5 million in 2024</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Unlevered free cash flow was $277.0 million, compared to $237.8 million in 2024</w:t>
      </w:r>
    </w:p>
    <w:p>
      <w:pPr>
        <w:sectPr>
          <w:pgSz w:w="11900" w:h="16838" w:orient="portrait"/>
          <w:cols w:equalWidth="0" w:num="1">
            <w:col w:w="11220"/>
          </w:cols>
          <w:pgMar w:left="320" w:top="9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20"/>
          </w:cols>
          <w:pgMar w:left="320" w:top="931" w:right="359" w:bottom="1440" w:gutter="0" w:footer="0" w:header="0"/>
          <w:type w:val="continuous"/>
        </w:sectPr>
      </w:pPr>
    </w:p>
    <w:bookmarkStart w:id="4" w:name="page5"/>
    <w:bookmarkEnd w:id="4"/>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Repurchased 7.9 million shares of our common stock for $247.5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A</w:t>
      </w:r>
      <w:r>
        <w:rPr>
          <w:rFonts w:ascii="Arial" w:cs="Arial" w:eastAsia="Arial" w:hAnsi="Arial"/>
          <w:sz w:val="18"/>
          <w:szCs w:val="18"/>
          <w:color w:val="000000"/>
        </w:rPr>
        <w:t>dded 502 new enterprise platform customers and 5 net new six-figure customers</w:t>
      </w:r>
    </w:p>
    <w:p>
      <w:pPr>
        <w:spacing w:after="0" w:line="63" w:lineRule="exact"/>
        <w:rPr>
          <w:rFonts w:ascii="Arial" w:cs="Arial" w:eastAsia="Arial" w:hAnsi="Arial"/>
          <w:sz w:val="18"/>
          <w:szCs w:val="18"/>
          <w:color w:val="222222"/>
        </w:rPr>
      </w:pPr>
    </w:p>
    <w:p>
      <w:pPr>
        <w:ind w:left="660" w:right="100" w:hanging="328"/>
        <w:spacing w:after="0" w:line="28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Announced a $150 million expansion of our existing share repurchase program, increasing the total remaining authorization to $338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Appointed Microsoft cloud and AI security veteran Vlad Korsunsky as Chief Technology Officer</w:t>
      </w:r>
    </w:p>
    <w:p>
      <w:pPr>
        <w:spacing w:after="0" w:line="63" w:lineRule="exact"/>
        <w:rPr>
          <w:rFonts w:ascii="Arial" w:cs="Arial" w:eastAsia="Arial" w:hAnsi="Arial"/>
          <w:sz w:val="18"/>
          <w:szCs w:val="18"/>
          <w:color w:val="auto"/>
        </w:rPr>
      </w:pPr>
    </w:p>
    <w:p>
      <w:pPr>
        <w:ind w:left="660" w:right="220" w:hanging="328"/>
        <w:spacing w:after="0" w:line="28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Named a Leader in the 2025 Gartner® Magic Quadrant™ for Exposure Assessment Platforms and named a Customers’ Choice in the 2025 Gartner® Peer Insights™ Voice of the Customer for Cloud-Native Application Protection Platforms</w:t>
      </w:r>
    </w:p>
    <w:p>
      <w:pPr>
        <w:spacing w:after="0" w:line="1" w:lineRule="exact"/>
        <w:rPr>
          <w:rFonts w:ascii="Arial" w:cs="Arial" w:eastAsia="Arial" w:hAnsi="Arial"/>
          <w:sz w:val="18"/>
          <w:szCs w:val="18"/>
          <w:color w:val="auto"/>
        </w:rPr>
      </w:pPr>
    </w:p>
    <w:p>
      <w:pPr>
        <w:ind w:left="660" w:right="920" w:hanging="328"/>
        <w:spacing w:after="0" w:line="28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Named as the company to beat for AI-Powered Exposure Assessment (EAP) in the 2025 Gartner® AI-Powered Exposure Assessment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S&amp;P Global upgraded our credit rating to BB from BB-</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Announced agreement with GSA OneGov to further invest in FedRAMP-authorized cloud security capabilities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2026, we currently expect: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in the range of $257.0 million to $260.0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income from operations in the range of $53.0 million to $56.0 million</w:t>
      </w:r>
    </w:p>
    <w:p>
      <w:pPr>
        <w:spacing w:after="0" w:line="63" w:lineRule="exact"/>
        <w:rPr>
          <w:rFonts w:ascii="Arial" w:cs="Arial" w:eastAsia="Arial" w:hAnsi="Arial"/>
          <w:sz w:val="18"/>
          <w:szCs w:val="18"/>
          <w:color w:val="auto"/>
        </w:rPr>
      </w:pPr>
    </w:p>
    <w:p>
      <w:pPr>
        <w:ind w:left="660" w:right="300" w:hanging="328"/>
        <w:spacing w:after="0" w:line="28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net income in the range of $46.0 million to $49.0 million, assuming interest income of $2.9 million, interest expense of $6.4 million and a provision for income taxes of $3.1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diluted earnings per share in the range of $0.39 to $0.42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118.0 million diluted weighted average shares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ending December 31, 2026, we currently expect: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in the range of $1.065 billion to $1.075 billion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Non-GAAP income from operations in the range of $245.0 million to $255.0 million</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Non-GAAP net income in the range of $214.0 million to $224.0 million, assuming interest income of $10.4 million, interest expense of $25.9 million and a provision for income taxes of $13.3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Non-GAAP diluted earnings per share in the range of $1.81 to $1.90</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118.0 million diluted weighted average shares outstanding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Unlevered free cash flow in the range of $285.0 million to $295.0 million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previously, changes in billing duration due to the shift to annual installment billing is creating negative distortion in calculated current billings that fails to accurately represent our growth rate, and we have transitioned away from relying on calculated current billings to monitor performance of our business. Consequently, we will no longer provide a specific guidance range for calculated current billings in 2026 and forward. However, while we will not provide a specific guidance range, we expect full year 2026 calculated current billings will be in line with current consensus expectations, despite the anticipated billings duration headwinds.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Tenable will host a conference call today, February 4, 2026, at 4:30 p.m. Eastern Time to discuss its financial results. The conference call can be accessed at 877-407-9716 (U.S.) and 201-493-6779 (international). A live webcast of the event will be available on the Tenable Investor Relations website at </w:t>
      </w:r>
      <w:r>
        <w:rPr>
          <w:rFonts w:ascii="Arial" w:cs="Arial" w:eastAsia="Arial" w:hAnsi="Arial"/>
          <w:sz w:val="18"/>
          <w:szCs w:val="18"/>
          <w:u w:val="single" w:color="auto"/>
          <w:color w:val="auto"/>
        </w:rPr>
        <w:t>https://investors.tenable.com</w:t>
      </w:r>
      <w:r>
        <w:rPr>
          <w:rFonts w:ascii="Arial" w:cs="Arial" w:eastAsia="Arial" w:hAnsi="Arial"/>
          <w:sz w:val="18"/>
          <w:szCs w:val="18"/>
          <w:color w:val="auto"/>
        </w:rPr>
        <w:t>. An archived replay of the live broadcast will be available on the Investor Relations page of the website following the call.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93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Tenable</w:t>
      </w:r>
    </w:p>
    <w:p>
      <w:pPr>
        <w:spacing w:after="0" w:line="223"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Tenable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exposure management company, exposing and closing the cybersecurity gaps that erode business value, reputation and trust. The company’s AI-powered exposure management platform radically unifies security visibility, insight and action across the attack surface, equipping modern organizations to protect against attacks from IT infrastructure to cloud environments to critical infrastructure and everywhere in between. By protecting enterprises from security exposure, Tenable reduces business risk for over 40,000 customers around the globe. Learn more at </w:t>
      </w:r>
      <w:r>
        <w:rPr>
          <w:rFonts w:ascii="Arial" w:cs="Arial" w:eastAsia="Arial" w:hAnsi="Arial"/>
          <w:sz w:val="18"/>
          <w:szCs w:val="18"/>
          <w:u w:val="single" w:color="auto"/>
          <w:color w:val="auto"/>
        </w:rPr>
        <w:t>tenable.com</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investors@tenable.com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tenablepr@tenable.com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This press release includes forward-looking statements within the meaning of the "safe harbor" provisions of the Private Securities Litigation Reform Act of 1995. All statements contained in this press release other than statements of historical fact, including statements regarding our future results of operations and financial position, our platform's ability to help protect enterprises from security exposure, our business strategy and plans and objectives for future operations, are forward-looking statements and represent our views as of the date of this press release. The words “anticipate,” "believe,” “continue,” “estimate,” “expect,” “intend,” “may,” “will” and similar expressions are intended to identify forward-looking statements. We have based these forward-looking statements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assumptions and risks and uncertainties, many of which involve factors or circumstances that are beyond our control that could affect our financial results. These risks and uncertainties are detailed in the sections titled "Risk Factors" and "Management's Discussion and Analysis of Financial Condition and Results of Operations" in our Annual Report on Form 10-K for the year ended December 31, 2024, our Quarterly Report on Form 10-Q for the quarter ended September 30, 2025 and other filings that we make from time to time with the SEC, which are available on the SEC's website at sec.gov.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press release may not occur and actual results could differ materially and adversely from those anticipated or implied in any forward-looking statements. Except as required by law, we are under no obligation to update these forward-looking statements subsequent to the date of this press release, or to update the reasons if actual results differ materially from those anticipated in the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non-GAAP financial measures, as described below, to understand and evaluate our core operating performance. These non-GAAP financial measures, which may be different than similarly titled measures used by other companies, are presented to enhance the overall understanding of our financial performance and should not be considered a substitute for, or superior to, the financial information prepared and presented in accordance with GAAP.</w:t>
      </w:r>
    </w:p>
    <w:p>
      <w:pPr>
        <w:spacing w:after="0" w:line="17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believe that these non-GAAP financial measures provide useful information about our financial performance, enhance the overall understanding of our past performance and future prospects and are helpful to investors in comparing our financial results over multiple periods with other companies in our industry.</w:t>
      </w:r>
    </w:p>
    <w:p>
      <w:pPr>
        <w:spacing w:after="0" w:line="1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Reconciliations of non-GAAP financial measures to the most directly comparable GAAP financial measures are included in the financial tables accompanying this press release.</w:t>
      </w:r>
    </w:p>
    <w:p>
      <w:pPr>
        <w:spacing w:after="0" w:line="15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u w:val="single" w:color="auto"/>
          <w:color w:val="auto"/>
        </w:rPr>
        <w:t>Calculated Current Billings:</w:t>
      </w:r>
      <w:r>
        <w:rPr>
          <w:rFonts w:ascii="Arial" w:cs="Arial" w:eastAsia="Arial" w:hAnsi="Arial"/>
          <w:sz w:val="18"/>
          <w:szCs w:val="18"/>
          <w:color w:val="auto"/>
        </w:rPr>
        <w:t xml:space="preserve"> We define calculated current billings, a non-GAAP financial measure, as total revenue recognized in a period plus the change in current deferred revenue in the corresponding period. Historically we have used</w:t>
      </w:r>
    </w:p>
    <w:p>
      <w:pPr>
        <w:sectPr>
          <w:pgSz w:w="11900" w:h="16838" w:orient="portrait"/>
          <w:cols w:equalWidth="0" w:num="1">
            <w:col w:w="11220"/>
          </w:cols>
          <w:pgMar w:left="320" w:top="9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320" w:top="931" w:right="359" w:bottom="1440" w:gutter="0" w:footer="0" w:header="0"/>
          <w:type w:val="continuous"/>
        </w:sectPr>
      </w:pPr>
    </w:p>
    <w:bookmarkStart w:id="6" w:name="page7"/>
    <w:bookmarkEnd w:id="6"/>
    <w:p>
      <w:pPr>
        <w:jc w:val="both"/>
        <w:spacing w:after="0" w:line="268" w:lineRule="auto"/>
        <w:rPr>
          <w:sz w:val="20"/>
          <w:szCs w:val="20"/>
          <w:color w:val="auto"/>
        </w:rPr>
      </w:pPr>
      <w:r>
        <w:rPr>
          <w:rFonts w:ascii="Arial" w:cs="Arial" w:eastAsia="Arial" w:hAnsi="Arial"/>
          <w:sz w:val="18"/>
          <w:szCs w:val="18"/>
          <w:color w:val="auto"/>
        </w:rPr>
        <w:t>calculated current billings to measure and monitor our ability to provide our business with the working capital generated by upfront payments from our customers. The timing of large multi-year contracts and the preference for annual billing versus multi-year upfront billing, may distort calculated current billings growth in one period over another.</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Free Cash Flow and Unlevered Free Cash Flow:</w:t>
      </w:r>
      <w:r>
        <w:rPr>
          <w:rFonts w:ascii="Arial" w:cs="Arial" w:eastAsia="Arial" w:hAnsi="Arial"/>
          <w:sz w:val="18"/>
          <w:szCs w:val="18"/>
          <w:color w:val="auto"/>
        </w:rPr>
        <w:t xml:space="preserve"> We define free cash flow, a non-GAAP financial measure, as net cash provided by operating activities less purchases of property and equipment and capitalized software development costs. We believe free cash flow is an important liquidity measure of the cash that is available (if any), after purchases of property and equipment and capitalized software development costs, for investment in our business and to make acquisitions. We believe that free cash flow is useful as a liquidity measure because it measures our ability to generate cash. We define unlevered free cash flow as free cash flow plus cash paid for interest and other financing costs. We believe unlevered free cash flow is useful as a liquidity measure as it measures the cash that is available to invest in our business and meet our current debt obligations and future financing needs. However, given our debt obligations, non-cancelable commitments and other contractual obligations, unlevered free cash flow does not represent residual cash flow available for discretionary expenses.</w:t>
      </w:r>
    </w:p>
    <w:p>
      <w:pPr>
        <w:spacing w:after="0" w:line="181"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u w:val="single" w:color="auto"/>
          <w:color w:val="auto"/>
        </w:rPr>
        <w:t>Non-GAAP Income from Operations and Non-GAAP Operating Margin:</w:t>
      </w:r>
      <w:r>
        <w:rPr>
          <w:rFonts w:ascii="Arial" w:cs="Arial" w:eastAsia="Arial" w:hAnsi="Arial"/>
          <w:sz w:val="18"/>
          <w:szCs w:val="18"/>
          <w:color w:val="auto"/>
        </w:rPr>
        <w:t xml:space="preserve"> We define these non-GAAP financial measures as their respective GAAP measures, excluding the effect of stock-based compensation, acquisition-related expenses, restructuring expenses, costs related to the intra-entity asset transfers resulting from the internal restructuring of legal entities, and amortization of acquired intangible assets.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Acquisition-related expenses include transaction and integration expenses, as well as costs related to the intercompany transfer of acquired intellectual property. Restructuring expenses include non-ordinary course severance, employee related benefits, and other charges to reorganize business operations. We believe that the exclusion of these expenses provides for a useful comparison of our operating results to prior periods and to our peer companies, which commonly exclude restructuring expenses.</w:t>
      </w:r>
    </w:p>
    <w:p>
      <w:pPr>
        <w:spacing w:after="0" w:line="18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Non-GAAP Net Income and Non-GAAP Earnings Per Share:</w:t>
      </w:r>
      <w:r>
        <w:rPr>
          <w:rFonts w:ascii="Arial" w:cs="Arial" w:eastAsia="Arial" w:hAnsi="Arial"/>
          <w:sz w:val="18"/>
          <w:szCs w:val="18"/>
          <w:color w:val="auto"/>
        </w:rPr>
        <w:t xml:space="preserve"> We define non-GAAP net income as GAAP net income (loss), excluding the effect of stock-based compensation, acquisition-related expenses, restructuring expenses and amortization of acquired intangible assets, including the applicable tax impacts. In addition, we exclude the tax impact and related costs of intra-entity asset transfers resulting from the internal restructuring of legal entities as well as deferred income tax benefits recognized in connection with acquisitions. We use non-GAAP net income to calculate non-GAAP earnings per share.</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u w:val="single" w:color="auto"/>
          <w:color w:val="auto"/>
        </w:rPr>
        <w:t>Non-GAAP Gross Profit and Non-GAAP Gross Margin:</w:t>
      </w:r>
      <w:r>
        <w:rPr>
          <w:rFonts w:ascii="Arial" w:cs="Arial" w:eastAsia="Arial" w:hAnsi="Arial"/>
          <w:sz w:val="18"/>
          <w:szCs w:val="18"/>
          <w:color w:val="auto"/>
        </w:rPr>
        <w:t xml:space="preserve"> We define non-GAAP gross profit as GAAP gross profit, excluding the effect of stock-based compensation and amortization of acquired intangible assets. Non-GAAP gross margin is defined as non-GAAP gross profit as a percentage of revenue.</w:t>
      </w:r>
    </w:p>
    <w:p>
      <w:pPr>
        <w:spacing w:after="0" w:line="117" w:lineRule="exact"/>
        <w:rPr>
          <w:sz w:val="20"/>
          <w:szCs w:val="20"/>
          <w:color w:val="auto"/>
        </w:rPr>
      </w:pPr>
    </w:p>
    <w:p>
      <w:pPr>
        <w:jc w:val="both"/>
        <w:ind w:right="340"/>
        <w:spacing w:after="0" w:line="291" w:lineRule="auto"/>
        <w:rPr>
          <w:sz w:val="20"/>
          <w:szCs w:val="20"/>
          <w:color w:val="auto"/>
        </w:rPr>
      </w:pPr>
      <w:r>
        <w:rPr>
          <w:rFonts w:ascii="Arial" w:cs="Arial" w:eastAsia="Arial" w:hAnsi="Arial"/>
          <w:sz w:val="17"/>
          <w:szCs w:val="17"/>
          <w:u w:val="single" w:color="auto"/>
          <w:color w:val="auto"/>
        </w:rPr>
        <w:t>Non-GAAP Sales and Marketing Expense, Non-GAAP Research and Development Expense and Non-GAAP General and Administrative Expense:</w:t>
      </w:r>
      <w:r>
        <w:rPr>
          <w:rFonts w:ascii="Arial" w:cs="Arial" w:eastAsia="Arial" w:hAnsi="Arial"/>
          <w:sz w:val="17"/>
          <w:szCs w:val="17"/>
          <w:color w:val="auto"/>
        </w:rPr>
        <w:t xml:space="preserve"> We define these non-GAAP measures as their respective GAAP measures, excluding stock-based compensation, acquisition-related expenses and costs related to intra-entity asset transfers resulting from the internal restructuring of legal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931"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Year Ended</w:t>
            </w:r>
          </w:p>
        </w:tc>
        <w:tc>
          <w:tcPr>
            <w:tcW w:w="86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0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w w:val="95"/>
              </w:rPr>
              <w:t>2024</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260,533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900,021</w:t>
            </w:r>
          </w:p>
        </w:tc>
      </w:tr>
      <w:tr>
        <w:trPr>
          <w:trHeight w:val="230"/>
        </w:trPr>
        <w:tc>
          <w:tcPr>
            <w:tcW w:w="54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55,290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218,937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199,668</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780,468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700,353</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4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416,949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395,385</w:t>
            </w:r>
          </w:p>
        </w:tc>
      </w:tr>
      <w:tr>
        <w:trPr>
          <w:trHeight w:val="230"/>
        </w:trPr>
        <w:tc>
          <w:tcPr>
            <w:tcW w:w="5460" w:type="dxa"/>
            <w:vAlign w:val="bottom"/>
          </w:tcPr>
          <w:p>
            <w:pPr>
              <w:ind w:left="22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54,945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223,669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181,624</w:t>
            </w:r>
          </w:p>
        </w:tc>
      </w:tr>
      <w:tr>
        <w:trPr>
          <w:trHeight w:val="229"/>
        </w:trPr>
        <w:tc>
          <w:tcPr>
            <w:tcW w:w="54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124,130</w:t>
            </w:r>
          </w:p>
        </w:tc>
      </w:tr>
      <w:tr>
        <w:trPr>
          <w:trHeight w:val="229"/>
        </w:trPr>
        <w:tc>
          <w:tcPr>
            <w:tcW w:w="546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6,070</w:t>
            </w: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196,388</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789,636</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707,209</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8,855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(9,168)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(6,856)</w:t>
            </w:r>
          </w:p>
        </w:tc>
      </w:tr>
      <w:tr>
        <w:trPr>
          <w:trHeight w:val="229"/>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23,325</w:t>
            </w:r>
          </w:p>
        </w:tc>
      </w:tr>
      <w:tr>
        <w:trPr>
          <w:trHeight w:val="229"/>
        </w:trPr>
        <w:tc>
          <w:tcPr>
            <w:tcW w:w="54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(28,419)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(31,920)</w:t>
            </w: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(18,886)</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(36,118)</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(36,301)</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5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Net (loss) earnings per share: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5"/>
        </w:trPr>
        <w:tc>
          <w:tcPr>
            <w:tcW w:w="5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6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(0.30)</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5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175"/>
        </w:trPr>
        <w:tc>
          <w:tcPr>
            <w:tcW w:w="546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used to compute net (loss) earnings per</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1"/>
        </w:trPr>
        <w:tc>
          <w:tcPr>
            <w:tcW w:w="5460" w:type="dxa"/>
            <w:vAlign w:val="bottom"/>
          </w:tcPr>
          <w:p>
            <w:pPr>
              <w:ind w:left="100"/>
              <w:spacing w:after="0"/>
              <w:rPr>
                <w:sz w:val="20"/>
                <w:szCs w:val="20"/>
                <w:color w:val="auto"/>
              </w:rPr>
            </w:pPr>
            <w:r>
              <w:rPr>
                <w:rFonts w:ascii="Arial" w:cs="Arial" w:eastAsia="Arial" w:hAnsi="Arial"/>
                <w:sz w:val="18"/>
                <w:szCs w:val="18"/>
                <w:color w:val="auto"/>
              </w:rPr>
              <w:t>share:</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2"/>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118,955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119,748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120,124</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118,789</w:t>
            </w:r>
          </w:p>
        </w:tc>
      </w:tr>
      <w:tr>
        <w:trPr>
          <w:trHeight w:val="239"/>
        </w:trPr>
        <w:tc>
          <w:tcPr>
            <w:tcW w:w="5460" w:type="dxa"/>
            <w:vAlign w:val="bottom"/>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118,955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123,853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120,124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118,789</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75"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Year Ended</w:t>
            </w:r>
          </w:p>
        </w:tc>
        <w:tc>
          <w:tcPr>
            <w:tcW w:w="86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0"/>
        </w:trPr>
        <w:tc>
          <w:tcPr>
            <w:tcW w:w="54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2024</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12,677</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17,302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68,801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62,727</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47,656</w:t>
            </w:r>
          </w:p>
        </w:tc>
      </w:tr>
      <w:tr>
        <w:trPr>
          <w:trHeight w:val="230"/>
        </w:trPr>
        <w:tc>
          <w:tcPr>
            <w:tcW w:w="54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40,455</w:t>
            </w:r>
          </w:p>
        </w:tc>
      </w:tr>
      <w:tr>
        <w:trPr>
          <w:trHeight w:val="248"/>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163,515</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13" w:lineRule="exact"/>
        <w:rPr>
          <w:sz w:val="20"/>
          <w:szCs w:val="20"/>
          <w:color w:val="auto"/>
        </w:rPr>
      </w:pPr>
    </w:p>
    <w:p>
      <w:pPr>
        <w:ind w:right="120" w:firstLine="8"/>
        <w:spacing w:after="0" w:line="235" w:lineRule="auto"/>
        <w:tabs>
          <w:tab w:leader="none" w:pos="309"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Stock-based compensation in the year ended December 31, 2025 includes $14.6 million of expense related to the accelerated vesting of equity awards in Q1 for our late CEO.</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3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187,762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328,647</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214,419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248,547</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Accounts receivable (net of allowance for doubtful accounts of $656 and $525 at December 31, 2025</w:t>
            </w: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279,150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258,734</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2024, respectively)</w:t>
            </w:r>
          </w:p>
        </w:tc>
        <w:tc>
          <w:tcPr>
            <w:tcW w:w="32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Deferred commissions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52,914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51,791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773,584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940,745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39,265</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Deferred commissions (net of current portion)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71,715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67,914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Acquired intangible assets,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115,296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94,461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697,886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541,292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13,303</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1,747,667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1,742,119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19,981</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69,166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55,784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706,866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650,372</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9,596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812,949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738,092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192,410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182,815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354,209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356,705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1,421,291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1,342,165</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(par value: $0.01; 500,000 shares authorized, 129,046 and 122,371 shares issued at</w:t>
            </w: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2025 and 2024, respectively)</w:t>
            </w:r>
          </w:p>
        </w:tc>
        <w:tc>
          <w:tcPr>
            <w:tcW w:w="32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1,586,727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1,374,659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10,596 and 2,673 shares at December 31, 2025 and 2024, respectively)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(364,574)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(114,911)</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(897,454)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(861,336)</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326,376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399,954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1,747,667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1,742,119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6</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8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6"/>
                <w:szCs w:val="16"/>
                <w:b w:val="1"/>
                <w:bCs w:val="1"/>
                <w:color w:val="auto"/>
              </w:rPr>
              <w:t>Year Ended December 31,</w:t>
            </w:r>
          </w:p>
        </w:tc>
      </w:tr>
      <w:tr>
        <w:trPr>
          <w:trHeight w:val="20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2024</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(36,118)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(36,301)</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33,209</w:t>
            </w: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163,515</w:t>
            </w: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Net accretion of discounts and amortization of premiums on short-term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(7,595)</w:t>
            </w: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Loss (gain) on other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(1,452)</w:t>
            </w: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6,507</w:t>
            </w: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4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(38,730)</w:t>
            </w:r>
          </w:p>
        </w:tc>
      </w:tr>
      <w:tr>
        <w:trPr>
          <w:trHeight w:val="229"/>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26,170</w:t>
            </w:r>
          </w:p>
        </w:tc>
      </w:tr>
      <w:tr>
        <w:trPr>
          <w:trHeight w:val="230"/>
        </w:trPr>
        <w:tc>
          <w:tcPr>
            <w:tcW w:w="8140" w:type="dxa"/>
            <w:vAlign w:val="bottom"/>
          </w:tcPr>
          <w:p>
            <w:pPr>
              <w:ind w:left="220"/>
              <w:spacing w:after="0"/>
              <w:rPr>
                <w:sz w:val="20"/>
                <w:szCs w:val="20"/>
                <w:color w:val="auto"/>
              </w:rPr>
            </w:pPr>
            <w:r>
              <w:rPr>
                <w:rFonts w:ascii="Arial" w:cs="Arial" w:eastAsia="Arial" w:hAnsi="Arial"/>
                <w:sz w:val="18"/>
                <w:szCs w:val="18"/>
                <w:color w:val="auto"/>
              </w:rPr>
              <w:t>Accounts payable, accrued expenses and accrued compensation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(8,257)</w:t>
            </w:r>
          </w:p>
        </w:tc>
      </w:tr>
      <w:tr>
        <w:trPr>
          <w:trHeight w:val="229"/>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82,581</w:t>
            </w:r>
          </w:p>
        </w:tc>
      </w:tr>
      <w:tr>
        <w:trPr>
          <w:trHeight w:val="229"/>
        </w:trPr>
        <w:tc>
          <w:tcPr>
            <w:tcW w:w="8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and noncurrent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(8,052)</w:t>
            </w:r>
          </w:p>
        </w:tc>
      </w:tr>
      <w:tr>
        <w:trPr>
          <w:trHeight w:val="223"/>
        </w:trPr>
        <w:tc>
          <w:tcPr>
            <w:tcW w:w="8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217,476</w:t>
            </w:r>
          </w:p>
        </w:tc>
      </w:tr>
      <w:tr>
        <w:trPr>
          <w:trHeight w:val="216"/>
        </w:trPr>
        <w:tc>
          <w:tcPr>
            <w:tcW w:w="8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(4,247)</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(145,342)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(287,797)</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maturities of short-term investments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283,964</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Proceeds from other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3,512</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other investments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Business combinations, net of cash acquired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(29,162)</w:t>
            </w:r>
          </w:p>
        </w:tc>
      </w:tr>
      <w:tr>
        <w:trPr>
          <w:trHeight w:val="223"/>
        </w:trPr>
        <w:tc>
          <w:tcPr>
            <w:tcW w:w="8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(41,431)</w:t>
            </w:r>
          </w:p>
        </w:tc>
      </w:tr>
      <w:tr>
        <w:trPr>
          <w:trHeight w:val="216"/>
        </w:trPr>
        <w:tc>
          <w:tcPr>
            <w:tcW w:w="8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Payments on term loan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stock issued in connection with the employee stock purchase plan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Proceeds from the exercise of stock options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8,064</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treasury stock</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(99,977)</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(79,401)</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91,515</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and restricted cash at beginning of year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237,132</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and restricted cash at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328,647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3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COMPONENTS AND 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6"/>
                <w:szCs w:val="16"/>
                <w:color w:val="auto"/>
              </w:rPr>
            </w:pPr>
          </w:p>
        </w:tc>
        <w:tc>
          <w:tcPr>
            <w:tcW w:w="262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Year Ended</w:t>
            </w:r>
          </w:p>
        </w:tc>
        <w:tc>
          <w:tcPr>
            <w:tcW w:w="86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0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2024</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919,573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824,659</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44,661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47,774</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27,588</w:t>
            </w:r>
          </w:p>
        </w:tc>
      </w:tr>
      <w:tr>
        <w:trPr>
          <w:trHeight w:val="223"/>
        </w:trPr>
        <w:tc>
          <w:tcPr>
            <w:tcW w:w="5460" w:type="dxa"/>
            <w:vAlign w:val="bottom"/>
          </w:tcPr>
          <w:p>
            <w:pPr>
              <w:ind w:left="220"/>
              <w:spacing w:after="0" w:line="223"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260,533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999,405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900,021</w:t>
            </w:r>
          </w:p>
        </w:tc>
      </w:tr>
      <w:tr>
        <w:trPr>
          <w:trHeight w:val="21"/>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48" w:lineRule="exact"/>
        <w:rPr>
          <w:sz w:val="20"/>
          <w:szCs w:val="20"/>
          <w:color w:val="auto"/>
        </w:rPr>
      </w:pPr>
    </w:p>
    <w:p>
      <w:pPr>
        <w:jc w:val="both"/>
        <w:ind w:right="240" w:firstLine="8"/>
        <w:spacing w:after="0" w:line="238" w:lineRule="auto"/>
        <w:tabs>
          <w:tab w:leader="none" w:pos="246"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Recurring revenue, which includes revenue from subscription arrangements for software (both recognized ratably over the subscription term and upon delivery) and cloud-based solutions and maintenance associated with perpetual licenses, represented 95% and 96% of revenue, respectively, in the three months and year ended December 31, 2025 and 95% and 96% of revenue in the three months and year ended December 31, 2024.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Calculated Current Billings</w:t>
            </w:r>
          </w:p>
        </w:tc>
        <w:tc>
          <w:tcPr>
            <w:tcW w:w="320" w:type="dxa"/>
            <w:vAlign w:val="bottom"/>
          </w:tcPr>
          <w:p>
            <w:pPr>
              <w:spacing w:after="0"/>
              <w:rPr>
                <w:sz w:val="16"/>
                <w:szCs w:val="16"/>
                <w:color w:val="auto"/>
              </w:rPr>
            </w:pPr>
          </w:p>
        </w:tc>
        <w:tc>
          <w:tcPr>
            <w:tcW w:w="264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Year Ended</w:t>
            </w:r>
          </w:p>
        </w:tc>
        <w:tc>
          <w:tcPr>
            <w:tcW w:w="860" w:type="dxa"/>
            <w:vAlign w:val="bottom"/>
          </w:tcPr>
          <w:p>
            <w:pPr>
              <w:spacing w:after="0"/>
              <w:rPr>
                <w:sz w:val="16"/>
                <w:szCs w:val="16"/>
                <w:color w:val="auto"/>
              </w:rPr>
            </w:pPr>
          </w:p>
        </w:tc>
      </w:tr>
      <w:tr>
        <w:trPr>
          <w:trHeight w:val="216"/>
        </w:trPr>
        <w:tc>
          <w:tcPr>
            <w:tcW w:w="5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w w:val="99"/>
              </w:rPr>
              <w:t>December 31,</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0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2024</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260,533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235,731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900,021</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Deferred revenue (current), end of period</w:t>
            </w:r>
          </w:p>
        </w:tc>
        <w:tc>
          <w:tcPr>
            <w:tcW w:w="320" w:type="dxa"/>
            <w:vAlign w:val="bottom"/>
          </w:tcPr>
          <w:p>
            <w:pPr>
              <w:spacing w:after="0"/>
              <w:rPr>
                <w:sz w:val="19"/>
                <w:szCs w:val="19"/>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706,866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8"/>
              </w:rPr>
              <w:t>650,372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706,866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8"/>
              </w:rPr>
              <w:t>650,372</w:t>
            </w:r>
          </w:p>
        </w:tc>
      </w:tr>
      <w:tr>
        <w:trPr>
          <w:trHeight w:val="229"/>
        </w:trPr>
        <w:tc>
          <w:tcPr>
            <w:tcW w:w="5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Deferred revenue (current), beginning of period</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(639,614)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(583,940)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(657,035)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(580,887)</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Calculated current billings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327,785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302,163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1,049,236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969,506</w:t>
            </w:r>
          </w:p>
        </w:tc>
      </w:tr>
      <w:tr>
        <w:trPr>
          <w:trHeight w:val="21"/>
        </w:trPr>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62" w:lineRule="exact"/>
        <w:rPr>
          <w:sz w:val="20"/>
          <w:szCs w:val="20"/>
          <w:color w:val="auto"/>
        </w:rPr>
      </w:pPr>
    </w:p>
    <w:p>
      <w:pPr>
        <w:ind w:right="300" w:firstLine="8"/>
        <w:spacing w:after="0" w:line="227" w:lineRule="auto"/>
        <w:tabs>
          <w:tab w:leader="none" w:pos="246"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Deferred revenue (current), beginning of period for the years ended December 31, 2025 and 2024 includes $6.7 million and $0.1 million, respectively, related to acquired deferred revenue.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Remaining Performance Obligations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9"/>
          </w:tcPr>
          <w:p>
            <w:pPr>
              <w:ind w:left="360"/>
              <w:spacing w:after="0"/>
              <w:rPr>
                <w:sz w:val="20"/>
                <w:szCs w:val="20"/>
                <w:color w:val="auto"/>
              </w:rPr>
            </w:pPr>
            <w:r>
              <w:rPr>
                <w:rFonts w:ascii="Arial" w:cs="Arial" w:eastAsia="Arial" w:hAnsi="Arial"/>
                <w:sz w:val="16"/>
                <w:szCs w:val="16"/>
                <w:b w:val="1"/>
                <w:bCs w:val="1"/>
                <w:color w:val="auto"/>
              </w:rPr>
              <w:t>At December 31,</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Change</w:t>
            </w:r>
          </w:p>
        </w:tc>
      </w:tr>
      <w:tr>
        <w:trPr>
          <w:trHeight w:val="21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performance obligations, short-term</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60" w:type="dxa"/>
            <w:vAlign w:val="bottom"/>
          </w:tcPr>
          <w:p>
            <w:pPr>
              <w:spacing w:after="0"/>
              <w:rPr>
                <w:sz w:val="19"/>
                <w:szCs w:val="19"/>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Remaining performance obligations, long-term</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312,449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206,879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51.0 %</w:t>
            </w:r>
          </w:p>
        </w:tc>
        <w:tc>
          <w:tcPr>
            <w:tcW w:w="60" w:type="dxa"/>
            <w:vAlign w:val="bottom"/>
          </w:tcPr>
          <w:p>
            <w:pPr>
              <w:spacing w:after="0"/>
              <w:rPr>
                <w:sz w:val="19"/>
                <w:szCs w:val="19"/>
                <w:color w:val="auto"/>
              </w:rPr>
            </w:pPr>
          </w:p>
        </w:tc>
      </w:tr>
      <w:tr>
        <w:trPr>
          <w:trHeight w:val="248"/>
        </w:trPr>
        <w:tc>
          <w:tcPr>
            <w:tcW w:w="5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Remaining performance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1,061,065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60" w:type="dxa"/>
            <w:vAlign w:val="bottom"/>
          </w:tcPr>
          <w:p>
            <w:pPr>
              <w:spacing w:after="0"/>
              <w:rPr>
                <w:sz w:val="21"/>
                <w:szCs w:val="2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3"/>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Free Cash Flow and Unlevered Free Cash Flow</w:t>
            </w:r>
          </w:p>
        </w:tc>
        <w:tc>
          <w:tcPr>
            <w:tcW w:w="140" w:type="dxa"/>
            <w:vAlign w:val="bottom"/>
          </w:tcPr>
          <w:p>
            <w:pPr>
              <w:spacing w:after="0"/>
              <w:rPr>
                <w:sz w:val="24"/>
                <w:szCs w:val="24"/>
                <w:color w:val="auto"/>
              </w:rPr>
            </w:pPr>
          </w:p>
        </w:tc>
        <w:tc>
          <w:tcPr>
            <w:tcW w:w="2520" w:type="dxa"/>
            <w:vAlign w:val="bottom"/>
            <w:gridSpan w:val="6"/>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7"/>
          </w:tcPr>
          <w:p>
            <w:pPr>
              <w:jc w:val="right"/>
              <w:ind w:right="980"/>
              <w:spacing w:after="0"/>
              <w:rPr>
                <w:sz w:val="20"/>
                <w:szCs w:val="20"/>
                <w:color w:val="auto"/>
              </w:rPr>
            </w:pPr>
            <w:r>
              <w:rPr>
                <w:rFonts w:ascii="Arial" w:cs="Arial" w:eastAsia="Arial" w:hAnsi="Arial"/>
                <w:sz w:val="16"/>
                <w:szCs w:val="16"/>
                <w:b w:val="1"/>
                <w:bCs w:val="1"/>
                <w:color w:val="auto"/>
              </w:rPr>
              <w:t>Year Ended</w:t>
            </w:r>
          </w:p>
        </w:tc>
      </w:tr>
      <w:tr>
        <w:trPr>
          <w:trHeight w:val="216"/>
        </w:trPr>
        <w:tc>
          <w:tcPr>
            <w:tcW w:w="5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7"/>
          </w:tcPr>
          <w:p>
            <w:pPr>
              <w:jc w:val="right"/>
              <w:ind w:right="880"/>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81,119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266,750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217,476</w:t>
            </w:r>
          </w:p>
        </w:tc>
        <w:tc>
          <w:tcPr>
            <w:tcW w:w="60" w:type="dxa"/>
            <w:vAlign w:val="bottom"/>
            <w:shd w:val="clear" w:color="auto" w:fill="CCEEFF"/>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(12,102)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(4,247)</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(6,451)</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Free cash flow</w:t>
            </w: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80,898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78,275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250,174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206,778</w:t>
            </w:r>
          </w:p>
        </w:tc>
        <w:tc>
          <w:tcPr>
            <w:tcW w:w="60" w:type="dxa"/>
            <w:vAlign w:val="bottom"/>
          </w:tcPr>
          <w:p>
            <w:pPr>
              <w:spacing w:after="0"/>
              <w:rPr>
                <w:sz w:val="19"/>
                <w:szCs w:val="19"/>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and other financing costs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26,841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30,977</w:t>
            </w:r>
          </w:p>
        </w:tc>
        <w:tc>
          <w:tcPr>
            <w:tcW w:w="60" w:type="dxa"/>
            <w:vAlign w:val="bottom"/>
            <w:tcBorders>
              <w:bottom w:val="single" w:sz="8" w:color="auto"/>
            </w:tcBorders>
            <w:shd w:val="clear" w:color="auto" w:fill="CCEEFF"/>
          </w:tcPr>
          <w:p>
            <w:pPr>
              <w:spacing w:after="0"/>
              <w:rPr>
                <w:sz w:val="19"/>
                <w:szCs w:val="19"/>
                <w:color w:val="auto"/>
              </w:rPr>
            </w:pP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Unlevered free cash flow</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87,452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85,747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277,015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237,755</w:t>
            </w:r>
          </w:p>
        </w:tc>
        <w:tc>
          <w:tcPr>
            <w:tcW w:w="60" w:type="dxa"/>
            <w:vAlign w:val="bottom"/>
            <w:tcBorders>
              <w:bottom w:val="single" w:sz="8" w:color="auto"/>
            </w:tcBorders>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902"/>
        </w:trPr>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833"/>
              <w:spacing w:after="0"/>
              <w:rPr>
                <w:sz w:val="20"/>
                <w:szCs w:val="20"/>
                <w:color w:val="auto"/>
              </w:rPr>
            </w:pPr>
            <w:r>
              <w:rPr>
                <w:rFonts w:ascii="Arial" w:cs="Arial" w:eastAsia="Arial" w:hAnsi="Arial"/>
                <w:sz w:val="18"/>
                <w:szCs w:val="18"/>
                <w:color w:val="auto"/>
                <w:w w:val="79"/>
              </w:rPr>
              <w:t>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Free cash flow and unlevered free cash flow for the periods presented were impacted by: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1660" w:type="dxa"/>
            <w:vAlign w:val="bottom"/>
            <w:gridSpan w:val="3"/>
          </w:tcPr>
          <w:p>
            <w:pPr>
              <w:jc w:val="center"/>
              <w:ind w:left="454"/>
              <w:spacing w:after="0"/>
              <w:rPr>
                <w:sz w:val="20"/>
                <w:szCs w:val="20"/>
                <w:color w:val="auto"/>
              </w:rPr>
            </w:pPr>
            <w:r>
              <w:rPr>
                <w:rFonts w:ascii="Arial" w:cs="Arial" w:eastAsia="Arial" w:hAnsi="Arial"/>
                <w:sz w:val="16"/>
                <w:szCs w:val="16"/>
                <w:b w:val="1"/>
                <w:bCs w:val="1"/>
                <w:color w:val="auto"/>
                <w:w w:val="99"/>
              </w:rPr>
              <w:t>Year Ended</w:t>
            </w:r>
          </w:p>
        </w:tc>
        <w:tc>
          <w:tcPr>
            <w:tcW w:w="86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6"/>
                <w:szCs w:val="16"/>
                <w:b w:val="1"/>
                <w:bCs w:val="1"/>
                <w:color w:val="auto"/>
                <w:w w:val="99"/>
              </w:rPr>
              <w:t>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0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2024</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 activity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Acquisition-related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(5,802)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(1,496)</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r>
      <w:tr>
        <w:trPr>
          <w:trHeight w:val="311"/>
        </w:trPr>
        <w:tc>
          <w:tcPr>
            <w:tcW w:w="5460" w:type="dxa"/>
            <w:vAlign w:val="bottom"/>
          </w:tcPr>
          <w:p>
            <w:pPr>
              <w:ind w:left="20"/>
              <w:spacing w:after="0"/>
              <w:rPr>
                <w:sz w:val="20"/>
                <w:szCs w:val="20"/>
                <w:color w:val="auto"/>
              </w:rPr>
            </w:pPr>
            <w:r>
              <w:rPr>
                <w:rFonts w:ascii="Arial" w:cs="Arial" w:eastAsia="Arial" w:hAnsi="Arial"/>
                <w:sz w:val="18"/>
                <w:szCs w:val="18"/>
                <w:color w:val="auto"/>
              </w:rPr>
              <w:t>Tax payment on intra-entity asset transfer</w:t>
            </w:r>
            <w:r>
              <w:rPr>
                <w:rFonts w:ascii="Arial" w:cs="Arial" w:eastAsia="Arial" w:hAnsi="Arial"/>
                <w:sz w:val="23"/>
                <w:szCs w:val="23"/>
                <w:color w:val="auto"/>
                <w:vertAlign w:val="superscript"/>
              </w:rPr>
              <w:t>(1)</w:t>
            </w:r>
          </w:p>
        </w:tc>
        <w:tc>
          <w:tcPr>
            <w:tcW w:w="32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(1,232)</w:t>
            </w:r>
          </w:p>
        </w:tc>
      </w:tr>
    </w:tbl>
    <w:p>
      <w:pPr>
        <w:spacing w:after="0"/>
        <w:rPr>
          <w:sz w:val="20"/>
          <w:szCs w:val="20"/>
          <w:color w:val="auto"/>
        </w:rPr>
      </w:pPr>
      <w:r>
        <w:rPr>
          <w:rFonts w:ascii="Arial" w:cs="Arial" w:eastAsia="Arial" w:hAnsi="Arial"/>
          <w:sz w:val="11"/>
          <w:szCs w:val="11"/>
          <w:color w:val="auto"/>
        </w:rPr>
        <w:t>________________</w:t>
      </w:r>
    </w:p>
    <w:p>
      <w:pPr>
        <w:spacing w:after="0" w:line="2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The tax payment on intra-entity asset transfer in 2024 includes $0.3 million of interest that is included in cash paid for interest and other financing costs.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Non-GAAP Income from Operations and Non-GAAP Operating</w:t>
            </w:r>
          </w:p>
        </w:tc>
        <w:tc>
          <w:tcPr>
            <w:tcW w:w="340" w:type="dxa"/>
            <w:vAlign w:val="bottom"/>
          </w:tcPr>
          <w:p>
            <w:pPr>
              <w:spacing w:after="0"/>
              <w:rPr>
                <w:sz w:val="16"/>
                <w:szCs w:val="16"/>
                <w:color w:val="auto"/>
              </w:rPr>
            </w:pPr>
          </w:p>
        </w:tc>
        <w:tc>
          <w:tcPr>
            <w:tcW w:w="282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Year Ended</w:t>
            </w:r>
          </w:p>
        </w:tc>
        <w:tc>
          <w:tcPr>
            <w:tcW w:w="960" w:type="dxa"/>
            <w:vAlign w:val="bottom"/>
          </w:tcPr>
          <w:p>
            <w:pPr>
              <w:spacing w:after="0"/>
              <w:rPr>
                <w:sz w:val="16"/>
                <w:szCs w:val="16"/>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Margin</w:t>
            </w: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1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2024</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8,855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(9,168)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(6,856)</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44,502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40,714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191,813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163,515</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7,256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1,932</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34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3,113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3,113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6,070</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6,782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5,014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25,965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19,457</w:t>
            </w:r>
          </w:p>
        </w:tc>
      </w:tr>
      <w:tr>
        <w:trPr>
          <w:trHeight w:val="223"/>
        </w:trPr>
        <w:tc>
          <w:tcPr>
            <w:tcW w:w="5000" w:type="dxa"/>
            <w:vAlign w:val="bottom"/>
          </w:tcPr>
          <w:p>
            <w:pPr>
              <w:ind w:left="220"/>
              <w:spacing w:after="0"/>
              <w:rPr>
                <w:sz w:val="20"/>
                <w:szCs w:val="20"/>
                <w:color w:val="auto"/>
              </w:rPr>
            </w:pPr>
            <w:r>
              <w:rPr>
                <w:rFonts w:ascii="Arial" w:cs="Arial" w:eastAsia="Arial" w:hAnsi="Arial"/>
                <w:sz w:val="18"/>
                <w:szCs w:val="18"/>
                <w:color w:val="auto"/>
              </w:rPr>
              <w:t>Non-GAAP income from operations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63,693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59,351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218,979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184,118</w:t>
            </w:r>
          </w:p>
        </w:tc>
      </w:tr>
      <w:tr>
        <w:trPr>
          <w:trHeight w:val="21"/>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2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24"/>
        </w:trPr>
        <w:tc>
          <w:tcPr>
            <w:tcW w:w="3920" w:type="dxa"/>
            <w:vAlign w:val="bottom"/>
          </w:tcPr>
          <w:p>
            <w:pPr>
              <w:spacing w:after="0"/>
              <w:rPr>
                <w:sz w:val="20"/>
                <w:szCs w:val="20"/>
                <w:color w:val="auto"/>
              </w:rPr>
            </w:pPr>
            <w:r>
              <w:rPr>
                <w:rFonts w:ascii="Arial" w:cs="Arial" w:eastAsia="Arial" w:hAnsi="Arial"/>
                <w:sz w:val="18"/>
                <w:szCs w:val="18"/>
                <w:color w:val="auto"/>
              </w:rPr>
              <w:t>Operating margin</w:t>
            </w:r>
          </w:p>
        </w:tc>
        <w:tc>
          <w:tcPr>
            <w:tcW w:w="3020" w:type="dxa"/>
            <w:vAlign w:val="bottom"/>
          </w:tcPr>
          <w:p>
            <w:pPr>
              <w:jc w:val="right"/>
              <w:ind w:right="410"/>
              <w:spacing w:after="0"/>
              <w:rPr>
                <w:sz w:val="20"/>
                <w:szCs w:val="20"/>
                <w:color w:val="auto"/>
              </w:rPr>
            </w:pPr>
            <w:r>
              <w:rPr>
                <w:rFonts w:ascii="Arial" w:cs="Arial" w:eastAsia="Arial" w:hAnsi="Arial"/>
                <w:sz w:val="18"/>
                <w:szCs w:val="18"/>
                <w:color w:val="auto"/>
              </w:rPr>
              <w:t>3.4 %</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5.5 %</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(0.9)%</w:t>
            </w: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9"/>
        </w:trPr>
        <w:tc>
          <w:tcPr>
            <w:tcW w:w="392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3020" w:type="dxa"/>
            <w:vAlign w:val="bottom"/>
          </w:tcPr>
          <w:p>
            <w:pPr>
              <w:jc w:val="right"/>
              <w:ind w:right="410"/>
              <w:spacing w:after="0"/>
              <w:rPr>
                <w:sz w:val="20"/>
                <w:szCs w:val="20"/>
                <w:color w:val="auto"/>
              </w:rPr>
            </w:pPr>
            <w:r>
              <w:rPr>
                <w:rFonts w:ascii="Arial" w:cs="Arial" w:eastAsia="Arial" w:hAnsi="Arial"/>
                <w:sz w:val="18"/>
                <w:szCs w:val="18"/>
                <w:color w:val="auto"/>
              </w:rPr>
              <w:t>24.4 %</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25.2 %</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21.9 %</w:t>
            </w:r>
          </w:p>
        </w:tc>
        <w:tc>
          <w:tcPr>
            <w:tcW w:w="1080" w:type="dxa"/>
            <w:vAlign w:val="bottom"/>
          </w:tcPr>
          <w:p>
            <w:pPr>
              <w:jc w:val="right"/>
              <w:spacing w:after="0"/>
              <w:rPr>
                <w:sz w:val="20"/>
                <w:szCs w:val="20"/>
                <w:color w:val="auto"/>
              </w:rPr>
            </w:pPr>
            <w:r>
              <w:rPr>
                <w:rFonts w:ascii="Arial" w:cs="Arial" w:eastAsia="Arial" w:hAnsi="Arial"/>
                <w:sz w:val="18"/>
                <w:szCs w:val="18"/>
                <w:color w:val="auto"/>
              </w:rPr>
              <w:t>20.5 %</w:t>
            </w:r>
          </w:p>
        </w:tc>
      </w:tr>
      <w:tr>
        <w:trPr>
          <w:trHeight w:val="945"/>
        </w:trPr>
        <w:tc>
          <w:tcPr>
            <w:tcW w:w="3920" w:type="dxa"/>
            <w:vAlign w:val="bottom"/>
          </w:tcPr>
          <w:p>
            <w:pPr>
              <w:spacing w:after="0"/>
              <w:rPr>
                <w:sz w:val="24"/>
                <w:szCs w:val="24"/>
                <w:color w:val="auto"/>
              </w:rPr>
            </w:pPr>
          </w:p>
        </w:tc>
        <w:tc>
          <w:tcPr>
            <w:tcW w:w="3020" w:type="dxa"/>
            <w:vAlign w:val="bottom"/>
          </w:tcPr>
          <w:p>
            <w:pPr>
              <w:jc w:val="right"/>
              <w:ind w:right="1190"/>
              <w:spacing w:after="0"/>
              <w:rPr>
                <w:sz w:val="20"/>
                <w:szCs w:val="20"/>
                <w:color w:val="auto"/>
              </w:rPr>
            </w:pPr>
            <w:r>
              <w:rPr>
                <w:rFonts w:ascii="Arial" w:cs="Arial" w:eastAsia="Arial" w:hAnsi="Arial"/>
                <w:sz w:val="18"/>
                <w:szCs w:val="18"/>
                <w:color w:val="auto"/>
              </w:rPr>
              <w:t>9</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240"/>
          </w:cols>
          <w:pgMar w:left="320" w:top="1228"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Non-GAAP Net Income and Non-GAAP Earnings Per Share</w:t>
            </w:r>
          </w:p>
        </w:tc>
        <w:tc>
          <w:tcPr>
            <w:tcW w:w="320" w:type="dxa"/>
            <w:vAlign w:val="bottom"/>
          </w:tcPr>
          <w:p>
            <w:pPr>
              <w:spacing w:after="0"/>
              <w:rPr>
                <w:sz w:val="16"/>
                <w:szCs w:val="16"/>
                <w:color w:val="auto"/>
              </w:rPr>
            </w:pPr>
          </w:p>
        </w:tc>
        <w:tc>
          <w:tcPr>
            <w:tcW w:w="262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Year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(36,301)</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44,502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191,813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163,515</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line="230"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7,256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line="230"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25,965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19,457</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impact of acquisitions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line="230" w:lineRule="exact"/>
              <w:rPr>
                <w:sz w:val="20"/>
                <w:szCs w:val="20"/>
                <w:color w:val="auto"/>
              </w:rPr>
            </w:pPr>
            <w:r>
              <w:rPr>
                <w:rFonts w:ascii="Arial" w:cs="Arial" w:eastAsia="Arial" w:hAnsi="Arial"/>
                <w:sz w:val="18"/>
                <w:szCs w:val="18"/>
                <w:color w:val="auto"/>
              </w:rPr>
              <w:t>Tax impact of intra-entity asset transfer</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net income</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158,589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earnings per share,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line="230"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line="230"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impact of acquisitions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line="230" w:lineRule="exact"/>
              <w:rPr>
                <w:sz w:val="20"/>
                <w:szCs w:val="20"/>
                <w:color w:val="auto"/>
              </w:rPr>
            </w:pPr>
            <w:r>
              <w:rPr>
                <w:rFonts w:ascii="Arial" w:cs="Arial" w:eastAsia="Arial" w:hAnsi="Arial"/>
                <w:sz w:val="18"/>
                <w:szCs w:val="18"/>
                <w:color w:val="auto"/>
              </w:rPr>
              <w:t>Tax impact of intra-entity asset transfer</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Adjustment to diluted earnings per share</w:t>
            </w:r>
            <w:r>
              <w:rPr>
                <w:rFonts w:ascii="Arial" w:cs="Arial" w:eastAsia="Arial" w:hAnsi="Arial"/>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5460" w:type="dxa"/>
            <w:vAlign w:val="bottom"/>
          </w:tcPr>
          <w:p>
            <w:pPr>
              <w:ind w:left="220"/>
              <w:spacing w:after="0"/>
              <w:rPr>
                <w:sz w:val="20"/>
                <w:szCs w:val="20"/>
                <w:color w:val="auto"/>
              </w:rPr>
            </w:pPr>
            <w:r>
              <w:rPr>
                <w:rFonts w:ascii="Arial" w:cs="Arial" w:eastAsia="Arial" w:hAnsi="Arial"/>
                <w:sz w:val="18"/>
                <w:szCs w:val="18"/>
                <w:color w:val="auto"/>
              </w:rPr>
              <w:t>Non-GAAP earnings per share, diluted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55" w:right="339" w:bottom="1440" w:gutter="0" w:footer="0" w:header="0"/>
        </w:sectPr>
      </w:pPr>
    </w:p>
    <w:p>
      <w:pPr>
        <w:ind w:left="20"/>
        <w:spacing w:after="0" w:line="218" w:lineRule="auto"/>
        <w:rPr>
          <w:sz w:val="20"/>
          <w:szCs w:val="20"/>
          <w:color w:val="auto"/>
        </w:rPr>
      </w:pPr>
      <w:r>
        <w:rPr>
          <w:rFonts w:ascii="Arial" w:cs="Arial" w:eastAsia="Arial" w:hAnsi="Arial"/>
          <w:sz w:val="18"/>
          <w:szCs w:val="18"/>
          <w:color w:val="auto"/>
        </w:rPr>
        <w:t>Weighted-average shares used to compute GAAP net (loss)</w:t>
      </w:r>
    </w:p>
    <w:p>
      <w:pPr>
        <w:ind w:left="100"/>
        <w:spacing w:after="0"/>
        <w:rPr>
          <w:sz w:val="20"/>
          <w:szCs w:val="20"/>
          <w:color w:val="auto"/>
        </w:rPr>
      </w:pPr>
      <w:r>
        <w:rPr>
          <w:rFonts w:ascii="Arial" w:cs="Arial" w:eastAsia="Arial" w:hAnsi="Arial"/>
          <w:sz w:val="18"/>
          <w:szCs w:val="18"/>
          <w:color w:val="auto"/>
        </w:rPr>
        <w:t>earnings per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5" w:lineRule="exact"/>
        <w:rPr>
          <w:sz w:val="20"/>
          <w:szCs w:val="20"/>
          <w:color w:val="auto"/>
        </w:rPr>
      </w:pPr>
    </w:p>
    <w:p>
      <w:pPr>
        <w:ind w:left="100" w:right="20" w:hanging="80"/>
        <w:spacing w:after="0"/>
        <w:rPr>
          <w:sz w:val="20"/>
          <w:szCs w:val="20"/>
          <w:color w:val="auto"/>
        </w:rPr>
      </w:pPr>
      <w:r>
        <w:rPr>
          <w:rFonts w:ascii="Arial" w:cs="Arial" w:eastAsia="Arial" w:hAnsi="Arial"/>
          <w:sz w:val="18"/>
          <w:szCs w:val="18"/>
          <w:color w:val="auto"/>
        </w:rPr>
        <w:t>Weighted-average shares used to compute non-GAAP earnings per share, diluted</w:t>
      </w:r>
    </w:p>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0"/>
        <w:spacing w:after="0"/>
        <w:tabs>
          <w:tab w:leader="none" w:pos="1440" w:val="left"/>
          <w:tab w:leader="none" w:pos="2920" w:val="left"/>
          <w:tab w:leader="none" w:pos="4400" w:val="left"/>
        </w:tabs>
        <w:rPr>
          <w:sz w:val="20"/>
          <w:szCs w:val="20"/>
          <w:color w:val="auto"/>
        </w:rPr>
      </w:pPr>
      <w:r>
        <w:rPr>
          <w:rFonts w:ascii="Arial" w:cs="Arial" w:eastAsia="Arial" w:hAnsi="Arial"/>
          <w:sz w:val="18"/>
          <w:szCs w:val="18"/>
          <w:color w:val="auto"/>
        </w:rPr>
        <w:t>118,955</w:t>
      </w:r>
      <w:r>
        <w:rPr>
          <w:sz w:val="20"/>
          <w:szCs w:val="20"/>
          <w:color w:val="auto"/>
        </w:rPr>
        <w:tab/>
      </w:r>
      <w:r>
        <w:rPr>
          <w:rFonts w:ascii="Arial" w:cs="Arial" w:eastAsia="Arial" w:hAnsi="Arial"/>
          <w:sz w:val="18"/>
          <w:szCs w:val="18"/>
          <w:color w:val="auto"/>
        </w:rPr>
        <w:t>123,853</w:t>
      </w:r>
      <w:r>
        <w:rPr>
          <w:sz w:val="20"/>
          <w:szCs w:val="20"/>
          <w:color w:val="auto"/>
        </w:rPr>
        <w:tab/>
      </w:r>
      <w:r>
        <w:rPr>
          <w:rFonts w:ascii="Arial" w:cs="Arial" w:eastAsia="Arial" w:hAnsi="Arial"/>
          <w:sz w:val="18"/>
          <w:szCs w:val="18"/>
          <w:color w:val="auto"/>
        </w:rPr>
        <w:t>120,124</w:t>
      </w:r>
      <w:r>
        <w:rPr>
          <w:sz w:val="20"/>
          <w:szCs w:val="20"/>
          <w:color w:val="auto"/>
        </w:rPr>
        <w:tab/>
      </w:r>
      <w:r>
        <w:rPr>
          <w:rFonts w:ascii="Arial" w:cs="Arial" w:eastAsia="Arial" w:hAnsi="Arial"/>
          <w:sz w:val="17"/>
          <w:szCs w:val="17"/>
          <w:color w:val="auto"/>
        </w:rPr>
        <w:t>118,789</w:t>
      </w:r>
    </w:p>
    <w:p>
      <w:pPr>
        <w:spacing w:after="0" w:line="200" w:lineRule="exact"/>
        <w:rPr>
          <w:sz w:val="20"/>
          <w:szCs w:val="20"/>
          <w:color w:val="auto"/>
        </w:rPr>
      </w:pPr>
    </w:p>
    <w:p>
      <w:pPr>
        <w:spacing w:after="0" w:line="268" w:lineRule="exact"/>
        <w:rPr>
          <w:sz w:val="20"/>
          <w:szCs w:val="20"/>
          <w:color w:val="auto"/>
        </w:rPr>
      </w:pPr>
    </w:p>
    <w:p>
      <w:pPr>
        <w:spacing w:after="0"/>
        <w:tabs>
          <w:tab w:leader="none" w:pos="1440" w:val="left"/>
          <w:tab w:leader="none" w:pos="2920" w:val="left"/>
          <w:tab w:leader="none" w:pos="4400" w:val="left"/>
        </w:tabs>
        <w:rPr>
          <w:sz w:val="20"/>
          <w:szCs w:val="20"/>
          <w:color w:val="auto"/>
        </w:rPr>
      </w:pPr>
      <w:r>
        <w:rPr>
          <w:rFonts w:ascii="Arial" w:cs="Arial" w:eastAsia="Arial" w:hAnsi="Arial"/>
          <w:sz w:val="18"/>
          <w:szCs w:val="18"/>
          <w:color w:val="auto"/>
        </w:rPr>
        <w:t>120,259</w:t>
      </w:r>
      <w:r>
        <w:rPr>
          <w:sz w:val="20"/>
          <w:szCs w:val="20"/>
          <w:color w:val="auto"/>
        </w:rPr>
        <w:tab/>
      </w:r>
      <w:r>
        <w:rPr>
          <w:rFonts w:ascii="Arial" w:cs="Arial" w:eastAsia="Arial" w:hAnsi="Arial"/>
          <w:sz w:val="18"/>
          <w:szCs w:val="18"/>
          <w:color w:val="auto"/>
        </w:rPr>
        <w:t>123,853</w:t>
      </w:r>
      <w:r>
        <w:rPr>
          <w:sz w:val="20"/>
          <w:szCs w:val="20"/>
          <w:color w:val="auto"/>
        </w:rPr>
        <w:tab/>
      </w:r>
      <w:r>
        <w:rPr>
          <w:rFonts w:ascii="Arial" w:cs="Arial" w:eastAsia="Arial" w:hAnsi="Arial"/>
          <w:sz w:val="18"/>
          <w:szCs w:val="18"/>
          <w:color w:val="auto"/>
        </w:rPr>
        <w:t>122,308</w:t>
      </w:r>
      <w:r>
        <w:rPr>
          <w:sz w:val="20"/>
          <w:szCs w:val="20"/>
          <w:color w:val="auto"/>
        </w:rPr>
        <w:tab/>
      </w:r>
      <w:r>
        <w:rPr>
          <w:rFonts w:ascii="Arial" w:cs="Arial" w:eastAsia="Arial" w:hAnsi="Arial"/>
          <w:sz w:val="17"/>
          <w:szCs w:val="17"/>
          <w:color w:val="auto"/>
        </w:rPr>
        <w:t>123,370</w:t>
      </w:r>
    </w:p>
    <w:p>
      <w:pPr>
        <w:spacing w:after="0" w:line="283" w:lineRule="exact"/>
        <w:rPr>
          <w:sz w:val="20"/>
          <w:szCs w:val="20"/>
          <w:color w:val="auto"/>
        </w:rPr>
      </w:pPr>
    </w:p>
    <w:p>
      <w:pPr>
        <w:sectPr>
          <w:pgSz w:w="11900" w:h="16838" w:orient="portrait"/>
          <w:cols w:equalWidth="0" w:num="2">
            <w:col w:w="5440" w:space="720"/>
            <w:col w:w="5080"/>
          </w:cols>
          <w:pgMar w:left="320" w:top="955" w:right="339" w:bottom="1440" w:gutter="0" w:footer="0" w:header="0"/>
          <w:type w:val="continuous"/>
        </w:sectPr>
      </w:pPr>
    </w:p>
    <w:p>
      <w:pPr>
        <w:ind w:left="380" w:hanging="372"/>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tax impact of stock-based compensation is based on the tax treatment for the applicable tax jurisdictions.</w:t>
      </w:r>
    </w:p>
    <w:p>
      <w:pPr>
        <w:spacing w:after="0" w:line="72" w:lineRule="exact"/>
        <w:rPr>
          <w:rFonts w:ascii="Arial" w:cs="Arial" w:eastAsia="Arial" w:hAnsi="Arial"/>
          <w:sz w:val="16"/>
          <w:szCs w:val="16"/>
          <w:color w:val="auto"/>
        </w:rPr>
      </w:pPr>
    </w:p>
    <w:p>
      <w:pPr>
        <w:ind w:left="380" w:hanging="372"/>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tax impact of acquisition-related expenses and restructuring charges are not material.</w:t>
      </w:r>
    </w:p>
    <w:p>
      <w:pPr>
        <w:spacing w:after="0" w:line="59" w:lineRule="exact"/>
        <w:rPr>
          <w:rFonts w:ascii="Arial" w:cs="Arial" w:eastAsia="Arial" w:hAnsi="Arial"/>
          <w:sz w:val="16"/>
          <w:szCs w:val="16"/>
          <w:color w:val="auto"/>
        </w:rPr>
      </w:pPr>
    </w:p>
    <w:p>
      <w:pPr>
        <w:ind w:left="380" w:hanging="372"/>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tax impact of the amortization of acquired intangible assets is included in the tax impact of acquisitions.</w:t>
      </w:r>
    </w:p>
    <w:p>
      <w:pPr>
        <w:spacing w:after="0" w:line="59" w:lineRule="exact"/>
        <w:rPr>
          <w:rFonts w:ascii="Arial" w:cs="Arial" w:eastAsia="Arial" w:hAnsi="Arial"/>
          <w:sz w:val="16"/>
          <w:szCs w:val="16"/>
          <w:color w:val="auto"/>
        </w:rPr>
      </w:pPr>
    </w:p>
    <w:p>
      <w:pPr>
        <w:ind w:left="380" w:hanging="372"/>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tax impact of the intra-entity asset transfer is additional tax incurred related to the 2021 internal restructuring of Indegy.</w:t>
      </w:r>
    </w:p>
    <w:p>
      <w:pPr>
        <w:spacing w:after="0" w:line="72" w:lineRule="exact"/>
        <w:rPr>
          <w:rFonts w:ascii="Arial" w:cs="Arial" w:eastAsia="Arial" w:hAnsi="Arial"/>
          <w:sz w:val="16"/>
          <w:szCs w:val="16"/>
          <w:color w:val="auto"/>
        </w:rPr>
      </w:pPr>
    </w:p>
    <w:p>
      <w:pPr>
        <w:ind w:right="500" w:firstLine="8"/>
        <w:spacing w:after="0" w:line="286" w:lineRule="auto"/>
        <w:tabs>
          <w:tab w:leader="none" w:pos="3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adjustment to reconcile GAAP net loss per share, which excludes potentially dilutive shares, to non-GAAP earnings per share, which includes potentially dilutive shares, when applicable.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Non-GAAP Gross Profit and Non-GAAP Gross Margin</w:t>
            </w:r>
          </w:p>
        </w:tc>
        <w:tc>
          <w:tcPr>
            <w:tcW w:w="340" w:type="dxa"/>
            <w:vAlign w:val="bottom"/>
          </w:tcPr>
          <w:p>
            <w:pPr>
              <w:spacing w:after="0"/>
              <w:rPr>
                <w:sz w:val="16"/>
                <w:szCs w:val="16"/>
                <w:color w:val="auto"/>
              </w:rPr>
            </w:pPr>
          </w:p>
        </w:tc>
        <w:tc>
          <w:tcPr>
            <w:tcW w:w="282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Year Ended</w:t>
            </w:r>
          </w:p>
        </w:tc>
        <w:tc>
          <w:tcPr>
            <w:tcW w:w="960" w:type="dxa"/>
            <w:vAlign w:val="bottom"/>
          </w:tcPr>
          <w:p>
            <w:pPr>
              <w:spacing w:after="0"/>
              <w:rPr>
                <w:sz w:val="16"/>
                <w:szCs w:val="16"/>
                <w:color w:val="auto"/>
              </w:rPr>
            </w:pPr>
          </w:p>
        </w:tc>
      </w:tr>
      <w:tr>
        <w:trPr>
          <w:trHeight w:val="216"/>
        </w:trPr>
        <w:tc>
          <w:tcPr>
            <w:tcW w:w="5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1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2024</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205,243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184,292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780,468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700,353</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13,714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12,677</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6,782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5,014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25,965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19,457</w:t>
            </w:r>
          </w:p>
        </w:tc>
      </w:tr>
      <w:tr>
        <w:trPr>
          <w:trHeight w:val="223"/>
        </w:trPr>
        <w:tc>
          <w:tcPr>
            <w:tcW w:w="5000" w:type="dxa"/>
            <w:vAlign w:val="bottom"/>
          </w:tcPr>
          <w:p>
            <w:pPr>
              <w:ind w:left="220"/>
              <w:spacing w:after="0"/>
              <w:rPr>
                <w:sz w:val="20"/>
                <w:szCs w:val="20"/>
                <w:color w:val="auto"/>
              </w:rPr>
            </w:pPr>
            <w:r>
              <w:rPr>
                <w:rFonts w:ascii="Arial" w:cs="Arial" w:eastAsia="Arial" w:hAnsi="Arial"/>
                <w:sz w:val="18"/>
                <w:szCs w:val="18"/>
                <w:color w:val="auto"/>
              </w:rPr>
              <w:t>Non-GAAP gross profit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215,469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192,497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820,147</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732,487</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77.8 %</w:t>
            </w:r>
          </w:p>
        </w:tc>
      </w:tr>
      <w:tr>
        <w:trPr>
          <w:trHeight w:val="239"/>
        </w:trPr>
        <w:tc>
          <w:tcPr>
            <w:tcW w:w="500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82.7 %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81.7 %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82.1 %</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81.4 %</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55"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Non-GAAP Sales and Marketing Expense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7"/>
          </w:tcPr>
          <w:p>
            <w:pPr>
              <w:jc w:val="center"/>
              <w:ind w:right="48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1780" w:type="dxa"/>
            <w:vAlign w:val="bottom"/>
            <w:gridSpan w:val="3"/>
          </w:tcPr>
          <w:p>
            <w:pPr>
              <w:jc w:val="center"/>
              <w:ind w:left="533"/>
              <w:spacing w:after="0"/>
              <w:rPr>
                <w:sz w:val="20"/>
                <w:szCs w:val="20"/>
                <w:color w:val="auto"/>
              </w:rPr>
            </w:pPr>
            <w:r>
              <w:rPr>
                <w:rFonts w:ascii="Arial" w:cs="Arial" w:eastAsia="Arial" w:hAnsi="Arial"/>
                <w:sz w:val="16"/>
                <w:szCs w:val="16"/>
                <w:b w:val="1"/>
                <w:bCs w:val="1"/>
                <w:color w:val="auto"/>
                <w:w w:val="99"/>
              </w:rPr>
              <w:t>Year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5"/>
          </w:tcPr>
          <w:p>
            <w:pPr>
              <w:jc w:val="center"/>
              <w:ind w:left="513"/>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left="593"/>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w:t>
            </w:r>
          </w:p>
        </w:tc>
        <w:tc>
          <w:tcPr>
            <w:tcW w:w="36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106,727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95,348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416,949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395,385</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Less: Stock-based compensation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17,302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15,210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68,801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62,727</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Acquisition-related expenses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5000" w:type="dxa"/>
            <w:vAlign w:val="bottom"/>
          </w:tcPr>
          <w:p>
            <w:pPr>
              <w:ind w:left="220"/>
              <w:spacing w:after="0"/>
              <w:rPr>
                <w:sz w:val="20"/>
                <w:szCs w:val="20"/>
                <w:color w:val="auto"/>
              </w:rPr>
            </w:pPr>
            <w:r>
              <w:rPr>
                <w:rFonts w:ascii="Arial" w:cs="Arial" w:eastAsia="Arial" w:hAnsi="Arial"/>
                <w:sz w:val="18"/>
                <w:szCs w:val="18"/>
                <w:color w:val="auto"/>
              </w:rPr>
              <w:t>Non-GAAP sales and marketing expense</w:t>
            </w:r>
          </w:p>
        </w:tc>
        <w:tc>
          <w:tcPr>
            <w:tcW w:w="36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89,425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80,138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346,828</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332,606</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Non-GAAP sales and marketing expense % of revenue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0" w:type="dxa"/>
            <w:vAlign w:val="bottom"/>
          </w:tcPr>
          <w:p>
            <w:pPr>
              <w:spacing w:after="0"/>
              <w:rPr>
                <w:sz w:val="1"/>
                <w:szCs w:val="1"/>
                <w:color w:val="auto"/>
              </w:rPr>
            </w:pPr>
          </w:p>
        </w:tc>
      </w:tr>
      <w:tr>
        <w:trPr>
          <w:trHeight w:val="499"/>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Non-GAAP Research and Development Expense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7"/>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24"/>
                <w:szCs w:val="24"/>
                <w:color w:val="auto"/>
              </w:rPr>
            </w:pPr>
          </w:p>
        </w:tc>
        <w:tc>
          <w:tcPr>
            <w:tcW w:w="1780" w:type="dxa"/>
            <w:vAlign w:val="bottom"/>
            <w:gridSpan w:val="3"/>
          </w:tcPr>
          <w:p>
            <w:pPr>
              <w:jc w:val="center"/>
              <w:ind w:left="533"/>
              <w:spacing w:after="0"/>
              <w:rPr>
                <w:sz w:val="20"/>
                <w:szCs w:val="20"/>
                <w:color w:val="auto"/>
              </w:rPr>
            </w:pPr>
            <w:r>
              <w:rPr>
                <w:rFonts w:ascii="Arial" w:cs="Arial" w:eastAsia="Arial" w:hAnsi="Arial"/>
                <w:sz w:val="16"/>
                <w:szCs w:val="16"/>
                <w:b w:val="1"/>
                <w:bCs w:val="1"/>
                <w:color w:val="auto"/>
                <w:w w:val="99"/>
              </w:rPr>
              <w:t>Year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5"/>
          </w:tcPr>
          <w:p>
            <w:pPr>
              <w:jc w:val="center"/>
              <w:ind w:left="513"/>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left="593"/>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54,945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44,728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223,669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181,624</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Less: Stock-based compensation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14,101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12,261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56,542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47,656</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Acquisition-related expenses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1,778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000" w:type="dxa"/>
            <w:vAlign w:val="bottom"/>
          </w:tcPr>
          <w:p>
            <w:pPr>
              <w:ind w:left="220"/>
              <w:spacing w:after="0"/>
              <w:rPr>
                <w:sz w:val="20"/>
                <w:szCs w:val="20"/>
                <w:color w:val="auto"/>
              </w:rPr>
            </w:pPr>
            <w:r>
              <w:rPr>
                <w:rFonts w:ascii="Arial" w:cs="Arial" w:eastAsia="Arial" w:hAnsi="Arial"/>
                <w:sz w:val="18"/>
                <w:szCs w:val="18"/>
                <w:color w:val="auto"/>
              </w:rPr>
              <w:t>Non-GAAP research and development expense</w:t>
            </w: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40,840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32,467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165,349</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133,988</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shd w:val="clear" w:color="auto" w:fill="CCEEFF"/>
          </w:tcPr>
          <w:p>
            <w:pPr>
              <w:ind w:left="220"/>
              <w:spacing w:after="0" w:line="142" w:lineRule="exact"/>
              <w:rPr>
                <w:sz w:val="20"/>
                <w:szCs w:val="20"/>
                <w:color w:val="auto"/>
              </w:rPr>
            </w:pPr>
            <w:r>
              <w:rPr>
                <w:rFonts w:ascii="Arial" w:cs="Arial" w:eastAsia="Arial" w:hAnsi="Arial"/>
                <w:sz w:val="16"/>
                <w:szCs w:val="16"/>
                <w:i w:val="1"/>
                <w:iCs w:val="1"/>
                <w:color w:val="auto"/>
              </w:rPr>
              <w:t>Non-GAAP research and development expense % of</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revenue</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Non-GAAP General and Administrative Expense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7"/>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24"/>
                <w:szCs w:val="24"/>
                <w:color w:val="auto"/>
              </w:rPr>
            </w:pPr>
          </w:p>
        </w:tc>
        <w:tc>
          <w:tcPr>
            <w:tcW w:w="1780" w:type="dxa"/>
            <w:vAlign w:val="bottom"/>
            <w:gridSpan w:val="3"/>
          </w:tcPr>
          <w:p>
            <w:pPr>
              <w:jc w:val="center"/>
              <w:ind w:left="533"/>
              <w:spacing w:after="0"/>
              <w:rPr>
                <w:sz w:val="20"/>
                <w:szCs w:val="20"/>
                <w:color w:val="auto"/>
              </w:rPr>
            </w:pPr>
            <w:r>
              <w:rPr>
                <w:rFonts w:ascii="Arial" w:cs="Arial" w:eastAsia="Arial" w:hAnsi="Arial"/>
                <w:sz w:val="16"/>
                <w:szCs w:val="16"/>
                <w:b w:val="1"/>
                <w:bCs w:val="1"/>
                <w:color w:val="auto"/>
                <w:w w:val="99"/>
              </w:rPr>
              <w:t>Year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5"/>
          </w:tcPr>
          <w:p>
            <w:pPr>
              <w:jc w:val="center"/>
              <w:ind w:left="533"/>
              <w:spacing w:after="0"/>
              <w:rPr>
                <w:sz w:val="20"/>
                <w:szCs w:val="20"/>
                <w:color w:val="auto"/>
              </w:rPr>
            </w:pPr>
            <w:r>
              <w:rPr>
                <w:rFonts w:ascii="Arial" w:cs="Arial" w:eastAsia="Arial" w:hAnsi="Arial"/>
                <w:sz w:val="16"/>
                <w:szCs w:val="16"/>
                <w:b w:val="1"/>
                <w:bCs w:val="1"/>
                <w:color w:val="auto"/>
                <w:w w:val="99"/>
              </w:rPr>
              <w:t>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left="593"/>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40" w:type="dxa"/>
            <w:vAlign w:val="bottom"/>
            <w:gridSpan w:val="2"/>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31,603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145,905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124,130</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Less: Stock-based compensation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9,655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10,052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52,756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40,455</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Acquisition-related expenses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437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4,158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23"/>
        </w:trPr>
        <w:tc>
          <w:tcPr>
            <w:tcW w:w="5000" w:type="dxa"/>
            <w:vAlign w:val="bottom"/>
          </w:tcPr>
          <w:p>
            <w:pPr>
              <w:ind w:left="220"/>
              <w:spacing w:after="0"/>
              <w:rPr>
                <w:sz w:val="20"/>
                <w:szCs w:val="20"/>
                <w:color w:val="auto"/>
              </w:rPr>
            </w:pPr>
            <w:r>
              <w:rPr>
                <w:rFonts w:ascii="Arial" w:cs="Arial" w:eastAsia="Arial" w:hAnsi="Arial"/>
                <w:sz w:val="18"/>
                <w:szCs w:val="18"/>
                <w:color w:val="auto"/>
              </w:rPr>
              <w:t>Non-GAAP general and administrative expense</w:t>
            </w:r>
          </w:p>
        </w:tc>
        <w:tc>
          <w:tcPr>
            <w:tcW w:w="40" w:type="dxa"/>
            <w:vAlign w:val="bottom"/>
            <w:gridSpan w:val="2"/>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21,511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20,541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88,991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81,775</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000" w:type="dxa"/>
            <w:vAlign w:val="bottom"/>
            <w:shd w:val="clear" w:color="auto" w:fill="CCEEFF"/>
          </w:tcPr>
          <w:p>
            <w:pPr>
              <w:ind w:left="220"/>
              <w:spacing w:after="0" w:line="153" w:lineRule="exact"/>
              <w:rPr>
                <w:sz w:val="20"/>
                <w:szCs w:val="20"/>
                <w:color w:val="auto"/>
              </w:rPr>
            </w:pPr>
            <w:r>
              <w:rPr>
                <w:rFonts w:ascii="Arial" w:cs="Arial" w:eastAsia="Arial" w:hAnsi="Arial"/>
                <w:sz w:val="17"/>
                <w:szCs w:val="17"/>
                <w:i w:val="1"/>
                <w:iCs w:val="1"/>
                <w:color w:val="auto"/>
              </w:rPr>
              <w:t>Non-GAAP general and administrative expense % of</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33"/>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revenue</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55" w:right="339" w:bottom="1440" w:gutter="0" w:footer="0" w:header="0"/>
        </w:sectPr>
      </w:pPr>
    </w:p>
    <w:bookmarkStart w:id="14" w:name="page15"/>
    <w:bookmarkEnd w:id="14"/>
    <w:p>
      <w:pPr>
        <w:jc w:val="both"/>
        <w:spacing w:after="0" w:line="268" w:lineRule="auto"/>
        <w:rPr>
          <w:sz w:val="20"/>
          <w:szCs w:val="20"/>
          <w:color w:val="auto"/>
        </w:rPr>
      </w:pPr>
      <w:r>
        <w:rPr>
          <w:rFonts w:ascii="Arial" w:cs="Arial" w:eastAsia="Arial" w:hAnsi="Arial"/>
          <w:sz w:val="18"/>
          <w:szCs w:val="18"/>
          <w:color w:val="auto"/>
        </w:rPr>
        <w:t>The following adjustments to reconcile forecasted non-GAAP income from operations, non-GAAP net income, non-GAAP earnings per share, free cash flow and unlevered free cash flow are subject to a number of uncertainties and assumptions, each of which are inherently difficult to forecast. As a result, actual adjustments and GAAP results may differ materially.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Forecasted Non-GAAP Income from Operations</w:t>
            </w:r>
          </w:p>
        </w:tc>
        <w:tc>
          <w:tcPr>
            <w:tcW w:w="2340" w:type="dxa"/>
            <w:vAlign w:val="bottom"/>
            <w:gridSpan w:val="4"/>
          </w:tcPr>
          <w:p>
            <w:pPr>
              <w:jc w:val="center"/>
              <w:ind w:left="415"/>
              <w:spacing w:after="0"/>
              <w:rPr>
                <w:sz w:val="20"/>
                <w:szCs w:val="20"/>
                <w:color w:val="auto"/>
              </w:rPr>
            </w:pPr>
            <w:r>
              <w:rPr>
                <w:rFonts w:ascii="Arial" w:cs="Arial" w:eastAsia="Arial" w:hAnsi="Arial"/>
                <w:sz w:val="16"/>
                <w:szCs w:val="16"/>
                <w:b w:val="1"/>
                <w:bCs w:val="1"/>
                <w:color w:val="auto"/>
              </w:rPr>
              <w:t>Three Months Ending</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512"/>
              <w:spacing w:after="0"/>
              <w:rPr>
                <w:sz w:val="20"/>
                <w:szCs w:val="20"/>
                <w:color w:val="auto"/>
              </w:rPr>
            </w:pPr>
            <w:r>
              <w:rPr>
                <w:rFonts w:ascii="Arial" w:cs="Arial" w:eastAsia="Arial" w:hAnsi="Arial"/>
                <w:sz w:val="16"/>
                <w:szCs w:val="16"/>
                <w:b w:val="1"/>
                <w:bCs w:val="1"/>
                <w:color w:val="auto"/>
              </w:rPr>
              <w:t>Year Ending</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34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6"/>
                <w:szCs w:val="16"/>
                <w:b w:val="1"/>
                <w:bCs w:val="1"/>
                <w:color w:val="auto"/>
              </w:rPr>
              <w:t>March 31, 2026</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center"/>
              <w:ind w:right="171"/>
              <w:spacing w:after="0"/>
              <w:rPr>
                <w:sz w:val="20"/>
                <w:szCs w:val="20"/>
                <w:color w:val="auto"/>
              </w:rPr>
            </w:pPr>
            <w:r>
              <w:rPr>
                <w:rFonts w:ascii="Arial" w:cs="Arial" w:eastAsia="Arial" w:hAnsi="Arial"/>
                <w:sz w:val="16"/>
                <w:szCs w:val="16"/>
                <w:b w:val="1"/>
                <w:bCs w:val="1"/>
                <w:color w:val="auto"/>
              </w:rPr>
              <w:t>December 31, 2026</w:t>
            </w:r>
          </w:p>
        </w:tc>
        <w:tc>
          <w:tcPr>
            <w:tcW w:w="0" w:type="dxa"/>
            <w:vAlign w:val="bottom"/>
          </w:tcPr>
          <w:p>
            <w:pPr>
              <w:spacing w:after="0"/>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Low</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High</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Low</w:t>
            </w:r>
          </w:p>
        </w:tc>
        <w:tc>
          <w:tcPr>
            <w:tcW w:w="460" w:type="dxa"/>
            <w:vAlign w:val="bottom"/>
          </w:tcPr>
          <w:p>
            <w:pPr>
              <w:spacing w:after="0"/>
              <w:rPr>
                <w:sz w:val="18"/>
                <w:szCs w:val="18"/>
                <w:color w:val="auto"/>
              </w:rPr>
            </w:pPr>
          </w:p>
        </w:tc>
        <w:tc>
          <w:tcPr>
            <w:tcW w:w="900" w:type="dxa"/>
            <w:vAlign w:val="bottom"/>
          </w:tcPr>
          <w:p>
            <w:pPr>
              <w:jc w:val="right"/>
              <w:ind w:right="411"/>
              <w:spacing w:after="0"/>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Forecasted (loss) income from operations</w:t>
            </w:r>
          </w:p>
        </w:tc>
        <w:tc>
          <w:tcPr>
            <w:tcW w:w="860" w:type="dxa"/>
            <w:vAlign w:val="bottom"/>
            <w:tcBorders>
              <w:top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Forecasted stock-based compensation</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restructuring expense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Forecasted amortization of acquired intangible assets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Forecasted non-GAAP income from operations</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Forecasted Non-GAAP Net Income and Non-GAAP Earnings Per</w:t>
            </w:r>
          </w:p>
        </w:tc>
        <w:tc>
          <w:tcPr>
            <w:tcW w:w="2340" w:type="dxa"/>
            <w:vAlign w:val="bottom"/>
            <w:gridSpan w:val="4"/>
          </w:tcPr>
          <w:p>
            <w:pPr>
              <w:jc w:val="center"/>
              <w:ind w:left="415"/>
              <w:spacing w:after="0"/>
              <w:rPr>
                <w:sz w:val="20"/>
                <w:szCs w:val="20"/>
                <w:color w:val="auto"/>
              </w:rPr>
            </w:pPr>
            <w:r>
              <w:rPr>
                <w:rFonts w:ascii="Arial" w:cs="Arial" w:eastAsia="Arial" w:hAnsi="Arial"/>
                <w:sz w:val="16"/>
                <w:szCs w:val="16"/>
                <w:b w:val="1"/>
                <w:bCs w:val="1"/>
                <w:color w:val="auto"/>
              </w:rPr>
              <w:t>Three Months Ending</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center"/>
              <w:ind w:left="512"/>
              <w:spacing w:after="0"/>
              <w:rPr>
                <w:sz w:val="20"/>
                <w:szCs w:val="20"/>
                <w:color w:val="auto"/>
              </w:rPr>
            </w:pPr>
            <w:r>
              <w:rPr>
                <w:rFonts w:ascii="Arial" w:cs="Arial" w:eastAsia="Arial" w:hAnsi="Arial"/>
                <w:sz w:val="16"/>
                <w:szCs w:val="16"/>
                <w:b w:val="1"/>
                <w:bCs w:val="1"/>
                <w:color w:val="auto"/>
              </w:rPr>
              <w:t>Year Ending</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Share</w:t>
            </w:r>
          </w:p>
        </w:tc>
        <w:tc>
          <w:tcPr>
            <w:tcW w:w="234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6"/>
                <w:szCs w:val="16"/>
                <w:b w:val="1"/>
                <w:bCs w:val="1"/>
                <w:color w:val="auto"/>
              </w:rPr>
              <w:t>March 31, 2026</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center"/>
              <w:ind w:right="171"/>
              <w:spacing w:after="0"/>
              <w:rPr>
                <w:sz w:val="20"/>
                <w:szCs w:val="20"/>
                <w:color w:val="auto"/>
              </w:rPr>
            </w:pPr>
            <w:r>
              <w:rPr>
                <w:rFonts w:ascii="Arial" w:cs="Arial" w:eastAsia="Arial" w:hAnsi="Arial"/>
                <w:sz w:val="16"/>
                <w:szCs w:val="16"/>
                <w:b w:val="1"/>
                <w:bCs w:val="1"/>
                <w:color w:val="auto"/>
              </w:rPr>
              <w:t>December 31, 2026</w:t>
            </w:r>
          </w:p>
        </w:tc>
        <w:tc>
          <w:tcPr>
            <w:tcW w:w="0" w:type="dxa"/>
            <w:vAlign w:val="bottom"/>
          </w:tcPr>
          <w:p>
            <w:pPr>
              <w:spacing w:after="0"/>
              <w:rPr>
                <w:sz w:val="1"/>
                <w:szCs w:val="1"/>
                <w:color w:val="auto"/>
              </w:rPr>
            </w:pPr>
          </w:p>
        </w:tc>
      </w:tr>
      <w:tr>
        <w:trPr>
          <w:trHeight w:val="210"/>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share data)</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Low</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High</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Low</w:t>
            </w:r>
          </w:p>
        </w:tc>
        <w:tc>
          <w:tcPr>
            <w:tcW w:w="460" w:type="dxa"/>
            <w:vAlign w:val="bottom"/>
          </w:tcPr>
          <w:p>
            <w:pPr>
              <w:spacing w:after="0"/>
              <w:rPr>
                <w:sz w:val="18"/>
                <w:szCs w:val="18"/>
                <w:color w:val="auto"/>
              </w:rPr>
            </w:pPr>
          </w:p>
        </w:tc>
        <w:tc>
          <w:tcPr>
            <w:tcW w:w="900" w:type="dxa"/>
            <w:vAlign w:val="bottom"/>
          </w:tcPr>
          <w:p>
            <w:pPr>
              <w:jc w:val="right"/>
              <w:ind w:right="411"/>
              <w:spacing w:after="0"/>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Forecasted net (loss) income</w:t>
            </w:r>
            <w:r>
              <w:rPr>
                <w:rFonts w:ascii="Arial" w:cs="Arial" w:eastAsia="Arial" w:hAnsi="Arial"/>
                <w:sz w:val="23"/>
                <w:szCs w:val="23"/>
                <w:color w:val="auto"/>
                <w:vertAlign w:val="superscript"/>
              </w:rPr>
              <w:t>(1)</w:t>
            </w:r>
          </w:p>
        </w:tc>
        <w:tc>
          <w:tcPr>
            <w:tcW w:w="860" w:type="dxa"/>
            <w:vAlign w:val="bottom"/>
            <w:tcBorders>
              <w:top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Forecasted stock-based compensation</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tax impact of stock-based compensation</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Forecasted tax impact of acquisitions</w:t>
            </w:r>
          </w:p>
        </w:tc>
        <w:tc>
          <w:tcPr>
            <w:tcW w:w="8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restructuring expense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Forecasted amortization of acquired intangible assets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Forecasted non-GAAP net income</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Forecasted net (loss) earnings per share, diluted</w:t>
            </w:r>
            <w:r>
              <w:rPr>
                <w:rFonts w:ascii="Arial" w:cs="Arial" w:eastAsia="Arial" w:hAnsi="Arial"/>
                <w:sz w:val="23"/>
                <w:szCs w:val="23"/>
                <w:color w:val="auto"/>
                <w:vertAlign w:val="superscript"/>
              </w:rPr>
              <w:t>(1)</w:t>
            </w: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(0.10)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Forecasted stock-based compensation</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tax impact of stock-based compensation</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Forecasted tax impact of acquisitions</w:t>
            </w:r>
          </w:p>
        </w:tc>
        <w:tc>
          <w:tcPr>
            <w:tcW w:w="8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restructuring expense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Forecasted amortization of acquired intangible assets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Adjustment to diluted earnings per share</w:t>
            </w:r>
            <w:r>
              <w:rPr>
                <w:rFonts w:ascii="Arial" w:cs="Arial" w:eastAsia="Arial" w:hAnsi="Arial"/>
                <w:sz w:val="23"/>
                <w:szCs w:val="23"/>
                <w:color w:val="auto"/>
                <w:vertAlign w:val="superscript"/>
              </w:rPr>
              <w:t>(2)</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5460" w:type="dxa"/>
            <w:vAlign w:val="bottom"/>
          </w:tcPr>
          <w:p>
            <w:pPr>
              <w:ind w:left="220"/>
              <w:spacing w:after="0"/>
              <w:rPr>
                <w:sz w:val="20"/>
                <w:szCs w:val="20"/>
                <w:color w:val="auto"/>
              </w:rPr>
            </w:pPr>
            <w:r>
              <w:rPr>
                <w:rFonts w:ascii="Arial" w:cs="Arial" w:eastAsia="Arial" w:hAnsi="Arial"/>
                <w:sz w:val="18"/>
                <w:szCs w:val="18"/>
                <w:color w:val="auto"/>
              </w:rPr>
              <w:t>Forecasted non-GAAP earnings per share, diluted</w:t>
            </w:r>
          </w:p>
        </w:tc>
        <w:tc>
          <w:tcPr>
            <w:tcW w:w="86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31" w:right="339" w:bottom="1440" w:gutter="0" w:footer="0" w:header="0"/>
        </w:sectPr>
      </w:pPr>
    </w:p>
    <w:p>
      <w:pPr>
        <w:ind w:left="100" w:right="440" w:hanging="80"/>
        <w:spacing w:after="0" w:line="237" w:lineRule="auto"/>
        <w:rPr>
          <w:sz w:val="20"/>
          <w:szCs w:val="20"/>
          <w:color w:val="auto"/>
        </w:rPr>
      </w:pPr>
      <w:r>
        <w:rPr>
          <w:rFonts w:ascii="Arial" w:cs="Arial" w:eastAsia="Arial" w:hAnsi="Arial"/>
          <w:sz w:val="18"/>
          <w:szCs w:val="18"/>
          <w:color w:val="auto"/>
        </w:rPr>
        <w:t>Forecasted weighted-average shares used to compute GAAP net loss per share, diluted</w:t>
      </w:r>
    </w:p>
    <w:p>
      <w:pPr>
        <w:spacing w:after="0" w:line="4" w:lineRule="exact"/>
        <w:rPr>
          <w:sz w:val="20"/>
          <w:szCs w:val="20"/>
          <w:color w:val="auto"/>
        </w:rPr>
      </w:pPr>
    </w:p>
    <w:p>
      <w:pPr>
        <w:ind w:left="100" w:right="380" w:hanging="80"/>
        <w:spacing w:after="0"/>
        <w:rPr>
          <w:sz w:val="20"/>
          <w:szCs w:val="20"/>
          <w:color w:val="auto"/>
        </w:rPr>
      </w:pPr>
      <w:r>
        <w:rPr>
          <w:rFonts w:ascii="Arial" w:cs="Arial" w:eastAsia="Arial" w:hAnsi="Arial"/>
          <w:sz w:val="18"/>
          <w:szCs w:val="18"/>
          <w:color w:val="auto"/>
        </w:rPr>
        <w:t>Forecasted weighted-average shares used to compute non-GAAP earnings per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265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117.0</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117.0</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117.0</w:t>
            </w:r>
          </w:p>
        </w:tc>
        <w:tc>
          <w:tcPr>
            <w:tcW w:w="96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418"/>
        </w:trPr>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118.0</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118.0</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118.0</w:t>
            </w:r>
          </w:p>
        </w:tc>
        <w:tc>
          <w:tcPr>
            <w:tcW w:w="960" w:type="dxa"/>
            <w:vAlign w:val="bottom"/>
          </w:tcPr>
          <w:p>
            <w:pPr>
              <w:jc w:val="right"/>
              <w:spacing w:after="0"/>
              <w:rPr>
                <w:sz w:val="20"/>
                <w:szCs w:val="20"/>
                <w:color w:val="auto"/>
              </w:rPr>
            </w:pPr>
            <w:r>
              <w:rPr>
                <w:rFonts w:ascii="Arial" w:cs="Arial" w:eastAsia="Arial" w:hAnsi="Arial"/>
                <w:sz w:val="18"/>
                <w:szCs w:val="18"/>
                <w:color w:val="auto"/>
              </w:rPr>
              <w:t>118.0</w:t>
            </w:r>
          </w:p>
        </w:tc>
      </w:tr>
    </w:tbl>
    <w:p>
      <w:pPr>
        <w:spacing w:after="0" w:line="205" w:lineRule="exact"/>
        <w:rPr>
          <w:sz w:val="20"/>
          <w:szCs w:val="20"/>
          <w:color w:val="auto"/>
        </w:rPr>
      </w:pPr>
    </w:p>
    <w:p>
      <w:pPr>
        <w:sectPr>
          <w:pgSz w:w="11900" w:h="16838" w:orient="portrait"/>
          <w:cols w:equalWidth="0" w:num="2">
            <w:col w:w="5660" w:space="720"/>
            <w:col w:w="4860"/>
          </w:cols>
          <w:pgMar w:left="320" w:top="931" w:right="339" w:bottom="1440" w:gutter="0" w:footer="0" w:header="0"/>
          <w:type w:val="continuous"/>
        </w:sectPr>
      </w:pPr>
    </w:p>
    <w:p>
      <w:pPr>
        <w:ind w:right="380" w:firstLine="8"/>
        <w:spacing w:after="0" w:line="276" w:lineRule="auto"/>
        <w:tabs>
          <w:tab w:leader="none" w:pos="3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forecasted GAAP net loss assumes income tax expense of $4.2 million and $18.0 million in the three months ending March 31, 2026 and year ending December 31, 2026, respectively.</w:t>
      </w:r>
    </w:p>
    <w:p>
      <w:pPr>
        <w:spacing w:after="0" w:line="14" w:lineRule="exact"/>
        <w:rPr>
          <w:rFonts w:ascii="Arial" w:cs="Arial" w:eastAsia="Arial" w:hAnsi="Arial"/>
          <w:sz w:val="16"/>
          <w:szCs w:val="16"/>
          <w:color w:val="auto"/>
        </w:rPr>
      </w:pPr>
    </w:p>
    <w:p>
      <w:pPr>
        <w:ind w:right="720" w:firstLine="8"/>
        <w:spacing w:after="0" w:line="286" w:lineRule="auto"/>
        <w:tabs>
          <w:tab w:leader="none" w:pos="3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Adjustment to reconcile GAAP net loss per share, which excludes potentially dilutive shares, to non-GAAP earnings per share, which includes potentially dilutive shares.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31"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Forecasted Free Cash Flow and Unlevered Free Cash Flow</w:t>
            </w:r>
          </w:p>
        </w:tc>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Ending</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6"/>
                <w:szCs w:val="16"/>
                <w:b w:val="1"/>
                <w:bCs w:val="1"/>
                <w:color w:val="auto"/>
              </w:rPr>
              <w:t>December 31, 2026</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Low</w:t>
            </w:r>
          </w:p>
        </w:tc>
        <w:tc>
          <w:tcPr>
            <w:tcW w:w="460" w:type="dxa"/>
            <w:vAlign w:val="bottom"/>
          </w:tcPr>
          <w:p>
            <w:pPr>
              <w:spacing w:after="0"/>
              <w:rPr>
                <w:sz w:val="18"/>
                <w:szCs w:val="18"/>
                <w:color w:val="auto"/>
              </w:rPr>
            </w:pPr>
          </w:p>
        </w:tc>
        <w:tc>
          <w:tcPr>
            <w:tcW w:w="920" w:type="dxa"/>
            <w:vAlign w:val="bottom"/>
          </w:tcPr>
          <w:p>
            <w:pPr>
              <w:jc w:val="right"/>
              <w:ind w:right="411"/>
              <w:spacing w:after="0"/>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Forecasted net cash provided by operating activities</w:t>
            </w:r>
          </w:p>
        </w:tc>
        <w:tc>
          <w:tcPr>
            <w:tcW w:w="32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Forecasted purchases of property and equipment</w:t>
            </w:r>
          </w:p>
        </w:tc>
        <w:tc>
          <w:tcPr>
            <w:tcW w:w="3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capitalized software development costs</w:t>
            </w:r>
          </w:p>
        </w:tc>
        <w:tc>
          <w:tcPr>
            <w:tcW w:w="3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5120" w:type="dxa"/>
            <w:vAlign w:val="bottom"/>
          </w:tcPr>
          <w:p>
            <w:pPr>
              <w:ind w:left="220"/>
              <w:spacing w:after="0"/>
              <w:rPr>
                <w:sz w:val="20"/>
                <w:szCs w:val="20"/>
                <w:color w:val="auto"/>
              </w:rPr>
            </w:pPr>
            <w:r>
              <w:rPr>
                <w:rFonts w:ascii="Arial" w:cs="Arial" w:eastAsia="Arial" w:hAnsi="Arial"/>
                <w:sz w:val="18"/>
                <w:szCs w:val="18"/>
                <w:color w:val="auto"/>
              </w:rPr>
              <w:t>Forecasted free cash flow</w:t>
            </w:r>
          </w:p>
        </w:tc>
        <w:tc>
          <w:tcPr>
            <w:tcW w:w="3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cash paid for interest and other financing costs</w:t>
            </w:r>
          </w:p>
        </w:tc>
        <w:tc>
          <w:tcPr>
            <w:tcW w:w="3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5120" w:type="dxa"/>
            <w:vAlign w:val="bottom"/>
          </w:tcPr>
          <w:p>
            <w:pPr>
              <w:ind w:left="220"/>
              <w:spacing w:after="0"/>
              <w:rPr>
                <w:sz w:val="20"/>
                <w:szCs w:val="20"/>
                <w:color w:val="auto"/>
              </w:rPr>
            </w:pPr>
            <w:r>
              <w:rPr>
                <w:rFonts w:ascii="Arial" w:cs="Arial" w:eastAsia="Arial" w:hAnsi="Arial"/>
                <w:sz w:val="18"/>
                <w:szCs w:val="18"/>
                <w:color w:val="auto"/>
              </w:rPr>
              <w:t>Forecasted unlevered free cash flow</w:t>
            </w:r>
          </w:p>
        </w:tc>
        <w:tc>
          <w:tcPr>
            <w:tcW w:w="32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60" w:type="dxa"/>
            <w:vAlign w:val="bottom"/>
            <w:vMerge w:val="restart"/>
          </w:tcPr>
          <w:p>
            <w:pPr>
              <w:jc w:val="right"/>
              <w:ind w:right="257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56"/>
        </w:trPr>
        <w:tc>
          <w:tcPr>
            <w:tcW w:w="51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2026-02-04T15:37:44Z</dcterms:created>
  <dcterms:modified xsi:type="dcterms:W3CDTF">2026-02-04T15:37:44Z</dcterms:modified>
</cp:coreProperties>
</file>