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796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9673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Yoran Amit</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TENABLE HOLDINGS, INC.</w:t>
            </w:r>
          </w:p>
        </w:tc>
        <w:tc>
          <w:tcPr>
            <w:tcW w:w="12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6100 MERRIWEATHER DRIVE</w:t>
            </w:r>
          </w:p>
        </w:tc>
        <w:tc>
          <w:tcPr>
            <w:tcW w:w="12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21044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Tenable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TENB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02/23/2024</w:t>
            </w:r>
          </w:p>
        </w:tc>
        <w:tc>
          <w:tcPr>
            <w:tcW w:w="1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940" w:type="dxa"/>
            <w:vAlign w:val="bottom"/>
            <w:gridSpan w:val="3"/>
            <w:vMerge w:val="continue"/>
          </w:tcPr>
          <w:p>
            <w:pPr>
              <w:spacing w:after="0"/>
              <w:rPr>
                <w:sz w:val="10"/>
                <w:szCs w:val="10"/>
                <w:color w:val="auto"/>
              </w:rPr>
            </w:pPr>
          </w:p>
        </w:tc>
        <w:tc>
          <w:tcPr>
            <w:tcW w:w="1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President, CEO and Chairman</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800" w:type="dxa"/>
            <w:vAlign w:val="bottom"/>
          </w:tcPr>
          <w:p>
            <w:pPr>
              <w:jc w:val="center"/>
              <w:ind w:left="64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47"/>
              <w:spacing w:after="0"/>
              <w:rPr>
                <w:sz w:val="20"/>
                <w:szCs w:val="20"/>
                <w:color w:val="auto"/>
              </w:rPr>
            </w:pPr>
            <w:r>
              <w:rPr>
                <w:rFonts w:ascii="Times New Roman" w:cs="Times New Roman" w:eastAsia="Times New Roman" w:hAnsi="Times New Roman"/>
                <w:sz w:val="17"/>
                <w:szCs w:val="17"/>
                <w:color w:val="0000FF"/>
                <w:w w:val="98"/>
              </w:rPr>
              <w:t>02/23/2024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5,359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47.67</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346,339</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center"/>
              <w:ind w:left="647"/>
              <w:spacing w:after="0"/>
              <w:rPr>
                <w:sz w:val="20"/>
                <w:szCs w:val="20"/>
                <w:color w:val="auto"/>
              </w:rPr>
            </w:pPr>
            <w:r>
              <w:rPr>
                <w:rFonts w:ascii="Times New Roman" w:cs="Times New Roman" w:eastAsia="Times New Roman" w:hAnsi="Times New Roman"/>
                <w:sz w:val="17"/>
                <w:szCs w:val="17"/>
                <w:color w:val="0000FF"/>
                <w:w w:val="98"/>
              </w:rPr>
              <w:t>02/23/2024</w:t>
            </w:r>
          </w:p>
        </w:tc>
        <w:tc>
          <w:tcPr>
            <w:tcW w:w="10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3,314</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349,653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center"/>
              <w:ind w:left="647"/>
              <w:spacing w:after="0"/>
              <w:rPr>
                <w:sz w:val="20"/>
                <w:szCs w:val="20"/>
                <w:color w:val="auto"/>
              </w:rPr>
            </w:pPr>
            <w:r>
              <w:rPr>
                <w:rFonts w:ascii="Times New Roman" w:cs="Times New Roman" w:eastAsia="Times New Roman" w:hAnsi="Times New Roman"/>
                <w:sz w:val="17"/>
                <w:szCs w:val="17"/>
                <w:color w:val="0000FF"/>
                <w:w w:val="98"/>
              </w:rPr>
              <w:t>02/23/2024</w:t>
            </w:r>
          </w:p>
        </w:tc>
        <w:tc>
          <w:tcPr>
            <w:tcW w:w="10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9,381</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359,034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47"/>
              <w:spacing w:after="0"/>
              <w:rPr>
                <w:sz w:val="20"/>
                <w:szCs w:val="20"/>
                <w:color w:val="auto"/>
              </w:rPr>
            </w:pPr>
            <w:r>
              <w:rPr>
                <w:rFonts w:ascii="Times New Roman" w:cs="Times New Roman" w:eastAsia="Times New Roman" w:hAnsi="Times New Roman"/>
                <w:sz w:val="17"/>
                <w:szCs w:val="17"/>
                <w:color w:val="0000FF"/>
                <w:w w:val="98"/>
              </w:rPr>
              <w:t>02/26/2024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16,091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47.72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342,943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169,765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76"/>
        </w:trPr>
        <w:tc>
          <w:tcPr>
            <w:tcW w:w="24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5"/>
        </w:trPr>
        <w:tc>
          <w:tcPr>
            <w:tcW w:w="2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335,435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91"/>
        </w:trPr>
        <w:tc>
          <w:tcPr>
            <w:tcW w:w="2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245,947</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80" w:type="dxa"/>
            <w:vAlign w:val="bottom"/>
            <w:gridSpan w:val="9"/>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7"/>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60" w:type="dxa"/>
            <w:vAlign w:val="bottom"/>
          </w:tcPr>
          <w:p>
            <w:pPr>
              <w:spacing w:after="0"/>
              <w:rPr>
                <w:sz w:val="14"/>
                <w:szCs w:val="14"/>
                <w:color w:val="auto"/>
              </w:rPr>
            </w:pPr>
          </w:p>
        </w:tc>
        <w:tc>
          <w:tcPr>
            <w:tcW w:w="76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60" w:type="dxa"/>
            <w:vAlign w:val="bottom"/>
          </w:tcPr>
          <w:p>
            <w:pPr>
              <w:spacing w:after="0"/>
              <w:rPr>
                <w:sz w:val="11"/>
                <w:szCs w:val="11"/>
                <w:color w:val="auto"/>
              </w:rPr>
            </w:pPr>
          </w:p>
        </w:tc>
        <w:tc>
          <w:tcPr>
            <w:tcW w:w="760" w:type="dxa"/>
            <w:vAlign w:val="bottom"/>
            <w:tcBorders>
              <w:right w:val="single" w:sz="8" w:color="2C2C2C"/>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60" w:type="dxa"/>
            <w:vAlign w:val="bottom"/>
          </w:tcPr>
          <w:p>
            <w:pPr>
              <w:spacing w:after="0"/>
              <w:rPr>
                <w:sz w:val="11"/>
                <w:szCs w:val="11"/>
                <w:color w:val="auto"/>
              </w:rPr>
            </w:pPr>
          </w:p>
        </w:tc>
        <w:tc>
          <w:tcPr>
            <w:tcW w:w="760" w:type="dxa"/>
            <w:vAlign w:val="bottom"/>
            <w:tcBorders>
              <w:right w:val="single" w:sz="8" w:color="2C2C2C"/>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60" w:type="dxa"/>
            <w:vAlign w:val="bottom"/>
          </w:tcPr>
          <w:p>
            <w:pPr>
              <w:spacing w:after="0"/>
              <w:rPr>
                <w:sz w:val="11"/>
                <w:szCs w:val="11"/>
                <w:color w:val="auto"/>
              </w:rPr>
            </w:pPr>
          </w:p>
        </w:tc>
        <w:tc>
          <w:tcPr>
            <w:tcW w:w="760" w:type="dxa"/>
            <w:vAlign w:val="bottom"/>
            <w:tcBorders>
              <w:right w:val="single" w:sz="8" w:color="2C2C2C"/>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3,314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right"/>
              <w:ind w:right="176"/>
              <w:spacing w:after="0" w:line="129" w:lineRule="exact"/>
              <w:rPr>
                <w:sz w:val="20"/>
                <w:szCs w:val="20"/>
                <w:color w:val="auto"/>
              </w:rPr>
            </w:pPr>
            <w:r>
              <w:rPr>
                <w:rFonts w:ascii="Times New Roman" w:cs="Times New Roman" w:eastAsia="Times New Roman" w:hAnsi="Times New Roman"/>
                <w:sz w:val="13"/>
                <w:szCs w:val="13"/>
                <w:color w:val="0000FF"/>
              </w:rPr>
              <w:t>02/23/2024</w:t>
            </w:r>
          </w:p>
        </w:tc>
        <w:tc>
          <w:tcPr>
            <w:tcW w:w="1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3,314</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26,520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02/23/2024</w:t>
            </w:r>
          </w:p>
        </w:tc>
        <w:tc>
          <w:tcPr>
            <w:tcW w:w="110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9,381</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9,381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75,051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-2351405</wp:posOffset>
            </wp:positionV>
            <wp:extent cx="29210" cy="235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564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Trustee of the Amit Yoran GRAT B is Amit Yoran.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Trustee of the Amit Yoran GRAT A is Amit Yoran.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Trustees of the Amit Yoran 2020 Family Trust are Dov Yoran and David Redling.</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2023, the Compensation Committee of the Issuer's Board of Directors certified the achievement of the Performance Restricted Stock Units (PRSUs) granted on February 23, 2022 and determined a 106% payout for the measurement period based on the Issuer's fiscal year 2022 criteria. 25% of the shares underlying the PRSUs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44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02/26/2024</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3318" TargetMode="External"/><Relationship Id="rId13"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2024-02-27T18:08:28Z</dcterms:created>
  <dcterms:modified xsi:type="dcterms:W3CDTF">2024-02-27T18:08:28Z</dcterms:modified>
</cp:coreProperties>
</file>