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2"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-603250</wp:posOffset>
            </wp:positionV>
            <wp:extent cx="57150" cy="616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658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-603250</wp:posOffset>
            </wp:positionV>
            <wp:extent cx="57150" cy="616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65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640080</wp:posOffset>
            </wp:positionV>
            <wp:extent cx="6998335" cy="4824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4824095"/>
                    </a:xfrm>
                    <a:prstGeom prst="rect">
                      <a:avLst/>
                    </a:prstGeom>
                    <a:noFill/>
                  </pic:spPr>
                </pic:pic>
              </a:graphicData>
            </a:graphic>
          </wp:anchor>
        </w:drawing>
      </w:r>
    </w:p>
    <w:p>
      <w:pPr>
        <w:spacing w:after="0" w:line="1080" w:lineRule="exact"/>
        <w:rPr>
          <w:sz w:val="24"/>
          <w:szCs w:val="24"/>
          <w:color w:val="auto"/>
        </w:rPr>
      </w:pPr>
    </w:p>
    <w:p>
      <w:pPr>
        <w:sectPr>
          <w:pgSz w:w="11900" w:h="16838" w:orient="portrait"/>
          <w:cols w:equalWidth="0" w:num="2">
            <w:col w:w="2300" w:space="380"/>
            <w:col w:w="840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Thurmond Mark C.</w:t>
        </w:r>
      </w:hyperlink>
    </w:p>
    <w:p>
      <w:pPr>
        <w:spacing w:after="0" w:line="28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TENABLE HOLDINGS,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6100 MERRIWEATHER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Tenable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TENB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02/25/2026</w:t>
      </w:r>
    </w:p>
    <w:p>
      <w:pPr>
        <w:spacing w:after="0" w:line="20" w:lineRule="exact"/>
        <w:rPr>
          <w:sz w:val="24"/>
          <w:szCs w:val="24"/>
          <w:color w:val="auto"/>
        </w:rPr>
      </w:pPr>
      <w:r>
        <w:rPr>
          <w:sz w:val="24"/>
          <w:szCs w:val="24"/>
          <w:color w:val="auto"/>
        </w:rPr>
        <w:br w:type="column"/>
      </w:r>
    </w:p>
    <w:p>
      <w:pPr>
        <w:ind w:left="-2" w:right="720" w:firstLine="2"/>
        <w:spacing w:after="0" w:line="283" w:lineRule="auto"/>
        <w:tabs>
          <w:tab w:leader="none" w:pos="136"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678"/>
        <w:spacing w:after="0"/>
        <w:rPr>
          <w:sz w:val="20"/>
          <w:szCs w:val="20"/>
          <w:color w:val="auto"/>
        </w:rPr>
      </w:pPr>
      <w:r>
        <w:rPr>
          <w:rFonts w:ascii="Times New Roman" w:cs="Times New Roman" w:eastAsia="Times New Roman" w:hAnsi="Times New Roman"/>
          <w:sz w:val="16"/>
          <w:szCs w:val="16"/>
          <w:color w:val="0000FF"/>
        </w:rPr>
        <w:t>Co-Chief Executive Officer</w:t>
      </w:r>
    </w:p>
    <w:p>
      <w:pPr>
        <w:spacing w:after="0" w:line="522" w:lineRule="exact"/>
        <w:rPr>
          <w:sz w:val="24"/>
          <w:szCs w:val="24"/>
          <w:color w:val="auto"/>
        </w:rPr>
      </w:pPr>
    </w:p>
    <w:p>
      <w:pPr>
        <w:sectPr>
          <w:pgSz w:w="11900" w:h="16838" w:orient="portrait"/>
          <w:cols w:equalWidth="0" w:num="3">
            <w:col w:w="3180" w:space="720"/>
            <w:col w:w="3122" w:space="720"/>
            <w:col w:w="3338"/>
          </w:cols>
          <w:pgMar w:left="460" w:top="214" w:right="359" w:bottom="144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20" w:type="dxa"/>
            <w:vAlign w:val="bottom"/>
            <w:gridSpan w:val="6"/>
          </w:tcPr>
          <w:p>
            <w:pPr>
              <w:jc w:val="center"/>
              <w:ind w:right="219"/>
              <w:spacing w:after="0"/>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9"/>
          </w:tcPr>
          <w:p>
            <w:pPr>
              <w:ind w:left="2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COLUMBIA</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MD</w:t>
            </w: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21044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4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7"/>
          </w:tcPr>
          <w:p>
            <w:pPr>
              <w:ind w:left="160"/>
              <w:spacing w:after="0" w:line="131"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2"/>
                <w:szCs w:val="12"/>
                <w:color w:val="auto"/>
              </w:rPr>
              <w:t>(City)</w:t>
            </w:r>
          </w:p>
        </w:tc>
        <w:tc>
          <w:tcPr>
            <w:tcW w:w="5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100" w:type="dxa"/>
            <w:vAlign w:val="bottom"/>
            <w:gridSpan w:val="2"/>
          </w:tcPr>
          <w:p>
            <w:pPr>
              <w:ind w:left="2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4320" w:type="dxa"/>
            <w:vAlign w:val="bottom"/>
            <w:tcBorders>
              <w:bottom w:val="single" w:sz="8" w:color="2C2C2C"/>
            </w:tcBorders>
            <w:gridSpan w:val="7"/>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jc w:val="center"/>
              <w:ind w:left="63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2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4"/>
          </w:tcPr>
          <w:p>
            <w:pPr>
              <w:ind w:left="84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gridSpan w:val="2"/>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4"/>
          </w:tcPr>
          <w:p>
            <w:pPr>
              <w:jc w:val="center"/>
              <w:ind w:left="694"/>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20" w:type="dxa"/>
            <w:vAlign w:val="bottom"/>
            <w:gridSpan w:val="4"/>
          </w:tcPr>
          <w:p>
            <w:pPr>
              <w:jc w:val="center"/>
              <w:ind w:left="694"/>
              <w:spacing w:after="0"/>
              <w:rPr>
                <w:sz w:val="20"/>
                <w:szCs w:val="20"/>
                <w:color w:val="auto"/>
              </w:rPr>
            </w:pPr>
            <w:r>
              <w:rPr>
                <w:rFonts w:ascii="Times New Roman" w:cs="Times New Roman" w:eastAsia="Times New Roman" w:hAnsi="Times New Roman"/>
                <w:sz w:val="16"/>
                <w:szCs w:val="16"/>
                <w:color w:val="0000FF"/>
              </w:rPr>
              <w:t>02/25/2026</w:t>
            </w:r>
          </w:p>
        </w:tc>
        <w:tc>
          <w:tcPr>
            <w:tcW w:w="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0000FF"/>
              </w:rPr>
              <w:t>24,381</w:t>
            </w:r>
          </w:p>
        </w:tc>
        <w:tc>
          <w:tcPr>
            <w:tcW w:w="60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center"/>
              <w:ind w:right="9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180,056</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jc w:val="center"/>
              <w:ind w:left="694"/>
              <w:spacing w:after="0"/>
              <w:rPr>
                <w:sz w:val="20"/>
                <w:szCs w:val="20"/>
                <w:color w:val="auto"/>
              </w:rPr>
            </w:pPr>
            <w:r>
              <w:rPr>
                <w:rFonts w:ascii="Times New Roman" w:cs="Times New Roman" w:eastAsia="Times New Roman" w:hAnsi="Times New Roman"/>
                <w:sz w:val="16"/>
                <w:szCs w:val="16"/>
                <w:color w:val="0000FF"/>
              </w:rPr>
              <w:t>02/25/2026</w:t>
            </w:r>
          </w:p>
        </w:tc>
        <w:tc>
          <w:tcPr>
            <w:tcW w:w="6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11,789</w:t>
            </w:r>
            <w:r>
              <w:rPr>
                <w:rFonts w:ascii="Times New Roman" w:cs="Times New Roman" w:eastAsia="Times New Roman" w:hAnsi="Times New Roman"/>
                <w:sz w:val="20"/>
                <w:szCs w:val="20"/>
                <w:color w:val="008000"/>
                <w:vertAlign w:val="superscript"/>
              </w:rPr>
              <w:t>(1)</w:t>
            </w:r>
          </w:p>
        </w:tc>
        <w:tc>
          <w:tcPr>
            <w:tcW w:w="6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center"/>
              <w:ind w:right="5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19</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168,267</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8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0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4"/>
              </w:rPr>
              <w:t>Derivative</w:t>
            </w:r>
          </w:p>
        </w:tc>
        <w:tc>
          <w:tcPr>
            <w:tcW w:w="420" w:type="dxa"/>
            <w:vAlign w:val="bottom"/>
          </w:tcPr>
          <w:p>
            <w:pPr>
              <w:spacing w:after="0"/>
              <w:rPr>
                <w:sz w:val="10"/>
                <w:szCs w:val="10"/>
                <w:color w:val="auto"/>
              </w:rPr>
            </w:pP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of Securities</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4"/>
              </w:rPr>
              <w:t>Securities</w:t>
            </w:r>
          </w:p>
        </w:tc>
        <w:tc>
          <w:tcPr>
            <w:tcW w:w="420" w:type="dxa"/>
            <w:vAlign w:val="bottom"/>
          </w:tcPr>
          <w:p>
            <w:pPr>
              <w:spacing w:after="0"/>
              <w:rPr>
                <w:sz w:val="10"/>
                <w:szCs w:val="10"/>
                <w:color w:val="auto"/>
              </w:rPr>
            </w:pP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7"/>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right"/>
              <w:ind w:right="34"/>
              <w:spacing w:after="0"/>
              <w:rPr>
                <w:sz w:val="20"/>
                <w:szCs w:val="20"/>
                <w:color w:val="auto"/>
              </w:rPr>
            </w:pPr>
            <w:r>
              <w:rPr>
                <w:rFonts w:ascii="Times New Roman" w:cs="Times New Roman" w:eastAsia="Times New Roman" w:hAnsi="Times New Roman"/>
                <w:sz w:val="16"/>
                <w:szCs w:val="16"/>
                <w:color w:val="0000FF"/>
              </w:rPr>
              <w:t>24,381</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Restricted</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restart"/>
          </w:tcPr>
          <w:p>
            <w:pPr>
              <w:jc w:val="right"/>
              <w:ind w:right="158"/>
              <w:spacing w:after="0" w:line="137" w:lineRule="exact"/>
              <w:rPr>
                <w:sz w:val="20"/>
                <w:szCs w:val="20"/>
                <w:color w:val="auto"/>
              </w:rPr>
            </w:pPr>
            <w:r>
              <w:rPr>
                <w:rFonts w:ascii="Times New Roman" w:cs="Times New Roman" w:eastAsia="Times New Roman" w:hAnsi="Times New Roman"/>
                <w:sz w:val="12"/>
                <w:szCs w:val="12"/>
                <w:color w:val="0000FF"/>
              </w:rPr>
              <w:t>02/25/2026</w:t>
            </w: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jc w:val="center"/>
              <w:ind w:right="418"/>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620" w:type="dxa"/>
            <w:vAlign w:val="bottom"/>
          </w:tcPr>
          <w:p>
            <w:pPr>
              <w:spacing w:after="0"/>
              <w:rPr>
                <w:sz w:val="5"/>
                <w:szCs w:val="5"/>
                <w:color w:val="auto"/>
              </w:rPr>
            </w:pPr>
          </w:p>
        </w:tc>
        <w:tc>
          <w:tcPr>
            <w:tcW w:w="420" w:type="dxa"/>
            <w:vAlign w:val="bottom"/>
            <w:vMerge w:val="restart"/>
          </w:tcPr>
          <w:p>
            <w:pPr>
              <w:ind w:left="20"/>
              <w:spacing w:after="0" w:line="137" w:lineRule="exact"/>
              <w:rPr>
                <w:sz w:val="20"/>
                <w:szCs w:val="20"/>
                <w:color w:val="auto"/>
              </w:rPr>
            </w:pPr>
            <w:r>
              <w:rPr>
                <w:rFonts w:ascii="Times New Roman" w:cs="Times New Roman" w:eastAsia="Times New Roman" w:hAnsi="Times New Roman"/>
                <w:sz w:val="12"/>
                <w:szCs w:val="12"/>
                <w:color w:val="0000FF"/>
              </w:rPr>
              <w:t>24,381</w:t>
            </w: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right"/>
              <w:ind w:right="204"/>
              <w:spacing w:after="0" w:line="137" w:lineRule="exact"/>
              <w:rPr>
                <w:sz w:val="20"/>
                <w:szCs w:val="20"/>
                <w:color w:val="auto"/>
              </w:rPr>
            </w:pPr>
            <w:r>
              <w:rPr>
                <w:rFonts w:ascii="Times New Roman" w:cs="Times New Roman" w:eastAsia="Times New Roman" w:hAnsi="Times New Roman"/>
                <w:sz w:val="12"/>
                <w:szCs w:val="12"/>
                <w:color w:val="0000FF"/>
              </w:rPr>
              <w:t>73,147</w:t>
            </w:r>
          </w:p>
        </w:tc>
        <w:tc>
          <w:tcPr>
            <w:tcW w:w="6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5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200" w:type="dxa"/>
            <w:vAlign w:val="bottom"/>
          </w:tcPr>
          <w:p>
            <w:pPr>
              <w:spacing w:after="0"/>
              <w:rPr>
                <w:sz w:val="20"/>
                <w:szCs w:val="20"/>
                <w:color w:val="auto"/>
              </w:rPr>
            </w:pPr>
          </w:p>
        </w:tc>
        <w:tc>
          <w:tcPr>
            <w:tcW w:w="1020" w:type="dxa"/>
            <w:vAlign w:val="bottom"/>
          </w:tcPr>
          <w:p>
            <w:pPr>
              <w:jc w:val="right"/>
              <w:ind w:right="158"/>
              <w:spacing w:after="0"/>
              <w:rPr>
                <w:sz w:val="20"/>
                <w:szCs w:val="20"/>
                <w:color w:val="auto"/>
              </w:rPr>
            </w:pPr>
            <w:r>
              <w:rPr>
                <w:rFonts w:ascii="Times New Roman" w:cs="Times New Roman" w:eastAsia="Times New Roman" w:hAnsi="Times New Roman"/>
                <w:sz w:val="12"/>
                <w:szCs w:val="12"/>
                <w:color w:val="0000FF"/>
              </w:rPr>
              <w:t>02/26/2026</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center"/>
              <w:ind w:right="418"/>
              <w:spacing w:after="0"/>
              <w:rPr>
                <w:sz w:val="20"/>
                <w:szCs w:val="20"/>
                <w:color w:val="auto"/>
              </w:rPr>
            </w:pPr>
            <w:r>
              <w:rPr>
                <w:rFonts w:ascii="Times New Roman" w:cs="Times New Roman" w:eastAsia="Times New Roman" w:hAnsi="Times New Roman"/>
                <w:sz w:val="12"/>
                <w:szCs w:val="12"/>
                <w:color w:val="0000FF"/>
                <w:w w:val="91"/>
              </w:rPr>
              <w:t>A</w:t>
            </w: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341,847</w:t>
            </w:r>
          </w:p>
        </w:tc>
        <w:tc>
          <w:tcPr>
            <w:tcW w:w="420" w:type="dxa"/>
            <w:vAlign w:val="bottom"/>
          </w:tcPr>
          <w:p>
            <w:pPr>
              <w:spacing w:after="0"/>
              <w:rPr>
                <w:sz w:val="20"/>
                <w:szCs w:val="20"/>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9"/>
              </w:rPr>
              <w:t>341,847</w:t>
            </w:r>
          </w:p>
        </w:tc>
        <w:tc>
          <w:tcPr>
            <w:tcW w:w="40" w:type="dxa"/>
            <w:vAlign w:val="bottom"/>
          </w:tcPr>
          <w:p>
            <w:pPr>
              <w:spacing w:after="0"/>
              <w:rPr>
                <w:sz w:val="20"/>
                <w:szCs w:val="20"/>
                <w:color w:val="auto"/>
              </w:rPr>
            </w:pPr>
          </w:p>
        </w:tc>
        <w:tc>
          <w:tcPr>
            <w:tcW w:w="64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right"/>
              <w:ind w:right="184"/>
              <w:spacing w:after="0"/>
              <w:rPr>
                <w:sz w:val="20"/>
                <w:szCs w:val="20"/>
                <w:color w:val="auto"/>
              </w:rPr>
            </w:pPr>
            <w:r>
              <w:rPr>
                <w:rFonts w:ascii="Times New Roman" w:cs="Times New Roman" w:eastAsia="Times New Roman" w:hAnsi="Times New Roman"/>
                <w:sz w:val="12"/>
                <w:szCs w:val="12"/>
                <w:color w:val="0000FF"/>
              </w:rPr>
              <w:t>341,847</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 Units</w:t>
            </w: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ind w:left="12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-1871345</wp:posOffset>
            </wp:positionV>
            <wp:extent cx="28575" cy="1877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7706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40" w:right="280" w:hanging="4"/>
        <w:spacing w:after="0" w:line="276"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number of shares of Common Stock that have been withheld by the issuer to satisfy its income tax withholding and remittance obligations in connection with the net settlement of the Restricted Stock Units ("RSUs") and does not represent a sale.</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a contingent right to receive one share of Issuer common stock.</w:t>
      </w:r>
    </w:p>
    <w:p>
      <w:pPr>
        <w:spacing w:after="0" w:line="48"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February 25, 2026, the Compensation Committee of the Issuer's Board of Directors certified the achievement of the Performance Restricted Stock Units (PRSUs) granted on February 21, 2025 and determined a</w:t>
      </w:r>
    </w:p>
    <w:p>
      <w:pPr>
        <w:spacing w:after="0" w:line="12" w:lineRule="exact"/>
        <w:rPr>
          <w:rFonts w:ascii="Times New Roman" w:cs="Times New Roman" w:eastAsia="Times New Roman" w:hAnsi="Times New Roman"/>
          <w:sz w:val="12"/>
          <w:szCs w:val="12"/>
          <w:color w:val="008000"/>
        </w:rPr>
      </w:pPr>
    </w:p>
    <w:p>
      <w:pPr>
        <w:ind w:left="40" w:right="240"/>
        <w:spacing w:after="0" w:line="252" w:lineRule="auto"/>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97.2% payout for the measurement period based on the Issuer's fiscal year 2025 criteria. 25% of the shares underlying the PRSUs vested on February 25, 2026, with the remainder vesting in equal quarterly installments over 3 years, subject to the Reporting Person's continuous service with the Issuer as of the applicable vesting date, and subject to accelerated vesting in specified circumstances.</w:t>
      </w:r>
    </w:p>
    <w:p>
      <w:pPr>
        <w:spacing w:after="0" w:line="18" w:lineRule="exact"/>
        <w:rPr>
          <w:rFonts w:ascii="Times New Roman" w:cs="Times New Roman" w:eastAsia="Times New Roman" w:hAnsi="Times New Roman"/>
          <w:sz w:val="12"/>
          <w:szCs w:val="12"/>
          <w:color w:val="008000"/>
        </w:rPr>
      </w:pPr>
    </w:p>
    <w:p>
      <w:pPr>
        <w:ind w:left="40" w:right="200" w:hanging="4"/>
        <w:spacing w:after="0" w:line="276"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25% of the shares underlying the RSUs vest on February 22, 2027, with the remainder vesting in equal quarterly installments over 3 years, subject to the Reporting Person's continuous service with the Issuer as of the applicable vesting date, and subject to accelerated vesting in specified circumstances.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David Bartholomew,</w:t>
            </w:r>
          </w:p>
        </w:tc>
        <w:tc>
          <w:tcPr>
            <w:tcW w:w="460" w:type="dxa"/>
            <w:vAlign w:val="bottom"/>
          </w:tcPr>
          <w:p>
            <w:pPr>
              <w:spacing w:after="0"/>
              <w:rPr>
                <w:sz w:val="16"/>
                <w:szCs w:val="16"/>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w w:val="98"/>
              </w:rPr>
              <w:t>02/27/2026</w:t>
            </w:r>
          </w:p>
        </w:tc>
        <w:tc>
          <w:tcPr>
            <w:tcW w:w="0" w:type="dxa"/>
            <w:vAlign w:val="bottom"/>
          </w:tcPr>
          <w:p>
            <w:pPr>
              <w:spacing w:after="0"/>
              <w:rPr>
                <w:sz w:val="1"/>
                <w:szCs w:val="1"/>
                <w:color w:val="auto"/>
              </w:rPr>
            </w:pPr>
          </w:p>
        </w:tc>
      </w:tr>
      <w:tr>
        <w:trPr>
          <w:trHeight w:val="79"/>
        </w:trPr>
        <w:tc>
          <w:tcPr>
            <w:tcW w:w="2000" w:type="dxa"/>
            <w:vAlign w:val="bottom"/>
            <w:gridSpan w:val="3"/>
            <w:vMerge w:val="restart"/>
          </w:tcPr>
          <w:p>
            <w:pPr>
              <w:spacing w:after="0" w:line="178" w:lineRule="exact"/>
              <w:rPr>
                <w:sz w:val="20"/>
                <w:szCs w:val="20"/>
                <w:color w:val="auto"/>
              </w:rPr>
            </w:pPr>
            <w:r>
              <w:rPr>
                <w:rFonts w:ascii="Times New Roman" w:cs="Times New Roman" w:eastAsia="Times New Roman" w:hAnsi="Times New Roman"/>
                <w:sz w:val="16"/>
                <w:szCs w:val="16"/>
                <w:color w:val="0000FF"/>
              </w:rPr>
              <w:t>Attorney-in-Fact</w:t>
            </w: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0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880" w:hanging="4"/>
        <w:spacing w:after="0" w:line="323"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1579" TargetMode="External"/><Relationship Id="rId14" Type="http://schemas.openxmlformats.org/officeDocument/2006/relationships/hyperlink" Target="http://www.sec.gov/cgi-bin/browse-edgar?action=getcompany&amp;CIK=0001660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2026-02-27T17:22:16Z</dcterms:created>
  <dcterms:modified xsi:type="dcterms:W3CDTF">2026-02-27T17:22:16Z</dcterms:modified>
</cp:coreProperties>
</file>