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ENABLE</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7021 Columbia Gateway Drive, Suite 500</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Columbia, MD 21046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23, 2018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229" w:right="339" w:bottom="1440" w:gutter="0" w:footer="0" w:header="0"/>
        </w:sectPr>
      </w:pPr>
    </w:p>
    <w:p>
      <w:pPr>
        <w:spacing w:after="0" w:line="116"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Barbara Jacobs, Assistant Director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Christine Dietz, Assistant Chief Accountant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Jeff Kauten, Attorney-Advisor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Joyce Sweeney, Staff Accountant</w:t>
      </w:r>
    </w:p>
    <w:p>
      <w:pPr>
        <w:spacing w:after="0" w:line="112" w:lineRule="exact"/>
        <w:rPr>
          <w:sz w:val="24"/>
          <w:szCs w:val="24"/>
          <w:color w:val="auto"/>
        </w:rPr>
      </w:pPr>
    </w:p>
    <w:p>
      <w:pPr>
        <w:sectPr>
          <w:pgSz w:w="11900" w:h="16838" w:orient="portrait"/>
          <w:cols w:equalWidth="0" w:num="2">
            <w:col w:w="740" w:space="400"/>
            <w:col w:w="10180"/>
          </w:cols>
          <w:pgMar w:left="240" w:top="229" w:right="339" w:bottom="1440" w:gutter="0" w:footer="0" w:header="0"/>
          <w:type w:val="continuous"/>
        </w:sect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Tenable Holdings,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333-226002</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firstLine="456"/>
        <w:spacing w:after="0" w:line="303" w:lineRule="auto"/>
        <w:rPr>
          <w:sz w:val="20"/>
          <w:szCs w:val="20"/>
          <w:color w:val="auto"/>
        </w:rPr>
      </w:pPr>
      <w:r>
        <w:rPr>
          <w:rFonts w:ascii="Arial" w:cs="Arial" w:eastAsia="Arial" w:hAnsi="Arial"/>
          <w:sz w:val="16"/>
          <w:szCs w:val="16"/>
          <w:color w:val="auto"/>
        </w:rPr>
        <w:t>Tenable Holdings, Inc. (the “</w:t>
      </w:r>
      <w:r>
        <w:rPr>
          <w:rFonts w:ascii="Arial" w:cs="Arial" w:eastAsia="Arial" w:hAnsi="Arial"/>
          <w:sz w:val="16"/>
          <w:szCs w:val="16"/>
          <w:b w:val="1"/>
          <w:bCs w:val="1"/>
          <w:color w:val="auto"/>
        </w:rPr>
        <w:t>Registrant</w:t>
      </w:r>
      <w:r>
        <w:rPr>
          <w:rFonts w:ascii="Arial" w:cs="Arial" w:eastAsia="Arial" w:hAnsi="Arial"/>
          <w:sz w:val="16"/>
          <w:szCs w:val="16"/>
          <w:color w:val="auto"/>
        </w:rPr>
        <w:t>”) hereby requests that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take appropriate action to cause the above-referenced Registration Statement on Form S-1 to become effective on Wednesday, July 25, 2018, at 4:00 p.m., Eastern Time, or as soon thereafter as is practicable or at such later time as the Registrant may orally request via telephone call to the staff of the Commission. The Registrant hereby authorizes each of Eric Jensen and Brian Leaf of Cooley LLP, counsel to the Registrant, to make such request on its behalf.</w:t>
      </w:r>
    </w:p>
    <w:p>
      <w:pPr>
        <w:spacing w:after="0" w:line="155" w:lineRule="exact"/>
        <w:rPr>
          <w:sz w:val="24"/>
          <w:szCs w:val="24"/>
          <w:color w:val="auto"/>
        </w:rPr>
      </w:pPr>
    </w:p>
    <w:p>
      <w:pPr>
        <w:ind w:right="720" w:firstLine="456"/>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Eric Jensen of Cooley LLP, counsel to the Registrant, at (650) 843-5049, or in his absence, Brian Leaf at (703) 456-8053 or Madison Jones at (202) 728-7087.</w:t>
      </w:r>
    </w:p>
    <w:p>
      <w:pPr>
        <w:spacing w:after="0" w:line="17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320"/>
          </w:cols>
          <w:pgMar w:left="240" w:top="229" w:right="339" w:bottom="1440" w:gutter="0" w:footer="0" w:header="0"/>
          <w:type w:val="continuous"/>
        </w:sectPr>
      </w:pPr>
    </w:p>
    <w:bookmarkStart w:id="1" w:name="page2"/>
    <w:bookmarkEnd w:id="1"/>
    <w:p>
      <w:pPr>
        <w:ind w:left="6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ENABLE</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Amit Y.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-10160</wp:posOffset>
            </wp:positionV>
            <wp:extent cx="1342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239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Amit Y. Yoran</w:t>
      </w:r>
    </w:p>
    <w:p>
      <w:pPr>
        <w:spacing w:after="0" w:line="9"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ind w:left="460" w:right="6619" w:hanging="452"/>
        <w:spacing w:after="0" w:line="258" w:lineRule="auto"/>
        <w:tabs>
          <w:tab w:leader="none" w:pos="44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Stephen A. Riddick, </w:t>
      </w:r>
      <w:r>
        <w:rPr>
          <w:rFonts w:ascii="Arial" w:cs="Arial" w:eastAsia="Arial" w:hAnsi="Arial"/>
          <w:sz w:val="18"/>
          <w:szCs w:val="18"/>
          <w:i w:val="1"/>
          <w:iCs w:val="1"/>
          <w:color w:val="auto"/>
        </w:rPr>
        <w:t>Tenable Holdings, Inc.</w:t>
      </w:r>
      <w:r>
        <w:rPr>
          <w:rFonts w:ascii="Arial" w:cs="Arial" w:eastAsia="Arial" w:hAnsi="Arial"/>
          <w:sz w:val="18"/>
          <w:szCs w:val="18"/>
          <w:color w:val="auto"/>
        </w:rPr>
        <w:t xml:space="preserve"> Eric C. Jensen, </w:t>
      </w:r>
      <w:r>
        <w:rPr>
          <w:rFonts w:ascii="Arial" w:cs="Arial" w:eastAsia="Arial" w:hAnsi="Arial"/>
          <w:sz w:val="18"/>
          <w:szCs w:val="18"/>
          <w:i w:val="1"/>
          <w:iCs w:val="1"/>
          <w:color w:val="auto"/>
        </w:rPr>
        <w:t>Cooley LLP</w:t>
      </w:r>
    </w:p>
    <w:p>
      <w:pPr>
        <w:spacing w:after="0" w:line="1" w:lineRule="exact"/>
        <w:rPr>
          <w:rFonts w:ascii="Arial" w:cs="Arial" w:eastAsia="Arial" w:hAnsi="Arial"/>
          <w:sz w:val="18"/>
          <w:szCs w:val="18"/>
          <w:color w:val="auto"/>
        </w:rPr>
      </w:pPr>
    </w:p>
    <w:p>
      <w:pPr>
        <w:ind w:left="460" w:right="7499"/>
        <w:spacing w:after="0" w:line="281" w:lineRule="auto"/>
        <w:rPr>
          <w:rFonts w:ascii="Arial" w:cs="Arial" w:eastAsia="Arial" w:hAnsi="Arial"/>
          <w:sz w:val="18"/>
          <w:szCs w:val="18"/>
          <w:color w:val="auto"/>
        </w:rPr>
      </w:pPr>
      <w:r>
        <w:rPr>
          <w:rFonts w:ascii="Arial" w:cs="Arial" w:eastAsia="Arial" w:hAnsi="Arial"/>
          <w:sz w:val="16"/>
          <w:szCs w:val="16"/>
          <w:color w:val="auto"/>
        </w:rPr>
        <w:t xml:space="preserve">Brian F. Leaf, </w:t>
      </w:r>
      <w:r>
        <w:rPr>
          <w:rFonts w:ascii="Arial" w:cs="Arial" w:eastAsia="Arial" w:hAnsi="Arial"/>
          <w:sz w:val="16"/>
          <w:szCs w:val="16"/>
          <w:i w:val="1"/>
          <w:iCs w:val="1"/>
          <w:color w:val="auto"/>
        </w:rPr>
        <w:t>Cooley LLP</w:t>
      </w:r>
      <w:r>
        <w:rPr>
          <w:rFonts w:ascii="Arial" w:cs="Arial" w:eastAsia="Arial" w:hAnsi="Arial"/>
          <w:sz w:val="16"/>
          <w:szCs w:val="16"/>
          <w:color w:val="auto"/>
        </w:rPr>
        <w:t xml:space="preserve"> Madison A. Jones, </w:t>
      </w:r>
      <w:r>
        <w:rPr>
          <w:rFonts w:ascii="Arial" w:cs="Arial" w:eastAsia="Arial" w:hAnsi="Arial"/>
          <w:sz w:val="16"/>
          <w:szCs w:val="16"/>
          <w:i w:val="1"/>
          <w:iCs w:val="1"/>
          <w:color w:val="auto"/>
        </w:rPr>
        <w:t>Cooley LLP</w:t>
      </w:r>
    </w:p>
    <w:p>
      <w:pPr>
        <w:spacing w:after="0" w:line="1" w:lineRule="exact"/>
        <w:rPr>
          <w:rFonts w:ascii="Arial" w:cs="Arial" w:eastAsia="Arial" w:hAnsi="Arial"/>
          <w:sz w:val="18"/>
          <w:szCs w:val="18"/>
          <w:color w:val="auto"/>
        </w:rPr>
      </w:pPr>
    </w:p>
    <w:p>
      <w:pPr>
        <w:ind w:left="460" w:right="5339"/>
        <w:spacing w:after="0" w:line="281" w:lineRule="auto"/>
        <w:rPr>
          <w:rFonts w:ascii="Arial" w:cs="Arial" w:eastAsia="Arial" w:hAnsi="Arial"/>
          <w:sz w:val="18"/>
          <w:szCs w:val="18"/>
          <w:color w:val="auto"/>
        </w:rPr>
      </w:pPr>
      <w:r>
        <w:rPr>
          <w:rFonts w:ascii="Arial" w:cs="Arial" w:eastAsia="Arial" w:hAnsi="Arial"/>
          <w:sz w:val="16"/>
          <w:szCs w:val="16"/>
          <w:color w:val="auto"/>
        </w:rPr>
        <w:t xml:space="preserve">Michael C. Labriola, </w:t>
      </w:r>
      <w:r>
        <w:rPr>
          <w:rFonts w:ascii="Arial" w:cs="Arial" w:eastAsia="Arial" w:hAnsi="Arial"/>
          <w:sz w:val="16"/>
          <w:szCs w:val="16"/>
          <w:i w:val="1"/>
          <w:iCs w:val="1"/>
          <w:color w:val="auto"/>
        </w:rPr>
        <w:t>Wilson Sonsini Goodrich &amp; Rosati, P.C.</w:t>
      </w:r>
      <w:r>
        <w:rPr>
          <w:rFonts w:ascii="Arial" w:cs="Arial" w:eastAsia="Arial" w:hAnsi="Arial"/>
          <w:sz w:val="16"/>
          <w:szCs w:val="16"/>
          <w:color w:val="auto"/>
        </w:rPr>
        <w:t xml:space="preserve"> Mark R. Fitzgerald, </w:t>
      </w:r>
      <w:r>
        <w:rPr>
          <w:rFonts w:ascii="Arial" w:cs="Arial" w:eastAsia="Arial" w:hAnsi="Arial"/>
          <w:sz w:val="16"/>
          <w:szCs w:val="16"/>
          <w:i w:val="1"/>
          <w:iCs w:val="1"/>
          <w:color w:val="auto"/>
        </w:rPr>
        <w:t>Wilson Sonsini Goodrich &amp; Rosati, P.C.</w:t>
      </w:r>
      <w:r>
        <w:rPr>
          <w:rFonts w:ascii="Arial" w:cs="Arial" w:eastAsia="Arial" w:hAnsi="Arial"/>
          <w:sz w:val="16"/>
          <w:szCs w:val="16"/>
          <w:color w:val="auto"/>
        </w:rPr>
        <w:t xml:space="preserve"> Megan J. Baier, </w:t>
      </w:r>
      <w:r>
        <w:rPr>
          <w:rFonts w:ascii="Arial" w:cs="Arial" w:eastAsia="Arial" w:hAnsi="Arial"/>
          <w:sz w:val="16"/>
          <w:szCs w:val="16"/>
          <w:i w:val="1"/>
          <w:iCs w:val="1"/>
          <w:color w:val="auto"/>
        </w:rPr>
        <w:t>Wilson Sonsini Goodrich &amp; Rosati, P.C.</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Mark G.C. Bass, </w:t>
      </w:r>
      <w:r>
        <w:rPr>
          <w:rFonts w:ascii="Arial" w:cs="Arial" w:eastAsia="Arial" w:hAnsi="Arial"/>
          <w:sz w:val="18"/>
          <w:szCs w:val="18"/>
          <w:i w:val="1"/>
          <w:iCs w:val="1"/>
          <w:color w:val="auto"/>
        </w:rPr>
        <w:t>Wilson Sonsini Goodrich &amp; Rosati, P.C.</w:t>
      </w:r>
    </w:p>
    <w:p>
      <w:pPr>
        <w:spacing w:after="0" w:line="38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Signature Page to Acceleration Request</w:t>
      </w:r>
      <w:r>
        <w:rPr>
          <w:rFonts w:ascii="Arial" w:cs="Arial" w:eastAsia="Arial" w:hAnsi="Arial"/>
          <w:sz w:val="18"/>
          <w:szCs w:val="18"/>
          <w:color w:val="auto"/>
        </w:rPr>
        <w:t>]</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2019-12-08T14:50:24Z</dcterms:created>
  <dcterms:modified xsi:type="dcterms:W3CDTF">2019-12-08T14:50:24Z</dcterms:modified>
</cp:coreProperties>
</file>