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left"/>
        <w:rPr/>
      </w:pPr>
      <w:r>
        <w:rPr/>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SCHEDULE 14A INFORMATION</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Proxy Statement Pursuant to Section 14(a) of the Securities Exchange Act of 1934</w:t>
      </w:r>
    </w:p>
    <w:p>
      <w:pPr>
        <w:pStyle w:val="TextBody"/>
        <w:bidi w:val="0"/>
        <w:spacing w:lineRule="auto" w:line="288" w:before="0" w:after="120"/>
        <w:jc w:val="both"/>
        <w:rPr/>
      </w:pPr>
      <w:r>
        <w:rPr>
          <w:rFonts w:ascii="Arial;sans-serif" w:hAnsi="Arial;sans-serif"/>
          <w:b w:val="false"/>
          <w:color w:val="000000"/>
          <w:sz w:val="18"/>
        </w:rPr>
        <w:t>Filed by the Registrant    </w:t>
      </w:r>
      <w:r>
        <w:rPr>
          <w:color w:val="000000"/>
        </w:rPr>
        <w:t>☒</w:t>
      </w:r>
    </w:p>
    <w:p>
      <w:pPr>
        <w:pStyle w:val="TextBody"/>
        <w:bidi w:val="0"/>
        <w:spacing w:lineRule="auto" w:line="288" w:before="0" w:after="120"/>
        <w:jc w:val="both"/>
        <w:rPr/>
      </w:pPr>
      <w:r>
        <w:rPr>
          <w:rFonts w:ascii="Arial;sans-serif" w:hAnsi="Arial;sans-serif"/>
          <w:b w:val="false"/>
          <w:color w:val="000000"/>
          <w:sz w:val="18"/>
        </w:rPr>
        <w:t>Filed by a Party other than the Registrant    </w:t>
      </w:r>
      <w:r>
        <w:rPr>
          <w:color w:val="000000"/>
        </w:rPr>
        <w: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Check the appropriate box:</w:t>
      </w:r>
    </w:p>
    <w:p>
      <w:pPr>
        <w:pStyle w:val="TextBody"/>
        <w:bidi w:val="0"/>
        <w:spacing w:lineRule="auto" w:line="288" w:before="0" w:after="120"/>
        <w:jc w:val="both"/>
        <w:rPr/>
      </w:pPr>
      <w:r>
        <w:rPr>
          <w:color w:val="000000"/>
        </w:rPr>
        <w:t>☐    </w:t>
      </w:r>
      <w:r>
        <w:rPr>
          <w:rFonts w:ascii="Arial;sans-serif" w:hAnsi="Arial;sans-serif"/>
          <w:b w:val="false"/>
          <w:color w:val="000000"/>
          <w:sz w:val="18"/>
        </w:rPr>
        <w:t>Preliminary Proxy Statement</w:t>
      </w:r>
    </w:p>
    <w:p>
      <w:pPr>
        <w:pStyle w:val="TextBody"/>
        <w:bidi w:val="0"/>
        <w:spacing w:lineRule="auto" w:line="288" w:before="0" w:after="120"/>
        <w:jc w:val="both"/>
        <w:rPr/>
      </w:pPr>
      <w:r>
        <w:rPr>
          <w:color w:val="000000"/>
        </w:rPr>
        <w:t>☐    </w:t>
      </w:r>
      <w:r>
        <w:rPr>
          <w:rFonts w:ascii="Arial;sans-serif" w:hAnsi="Arial;sans-serif"/>
          <w:b w:val="false"/>
          <w:color w:val="000000"/>
          <w:sz w:val="18"/>
        </w:rPr>
        <w:t>Confidential, for Use of the Commission Only (as permitted by Rule 14a-6(e)(2))</w:t>
      </w:r>
    </w:p>
    <w:p>
      <w:pPr>
        <w:pStyle w:val="TextBody"/>
        <w:bidi w:val="0"/>
        <w:spacing w:lineRule="auto" w:line="288" w:before="0" w:after="60"/>
        <w:jc w:val="left"/>
        <w:rPr/>
      </w:pPr>
      <w:r>
        <w:rPr>
          <w:color w:val="000000"/>
        </w:rPr>
        <w:t>☒    </w:t>
      </w:r>
      <w:r>
        <w:rPr>
          <w:rFonts w:ascii="Arial;sans-serif" w:hAnsi="Arial;sans-serif"/>
          <w:b w:val="false"/>
          <w:color w:val="000000"/>
          <w:sz w:val="18"/>
        </w:rPr>
        <w:t>Definitive Proxy Statement</w:t>
      </w:r>
    </w:p>
    <w:p>
      <w:pPr>
        <w:pStyle w:val="TextBody"/>
        <w:bidi w:val="0"/>
        <w:spacing w:lineRule="auto" w:line="288" w:before="0" w:after="120"/>
        <w:jc w:val="both"/>
        <w:rPr/>
      </w:pPr>
      <w:r>
        <w:rPr>
          <w:color w:val="000000"/>
        </w:rPr>
        <w:t>☐    </w:t>
      </w:r>
      <w:r>
        <w:rPr>
          <w:rFonts w:ascii="Arial;sans-serif" w:hAnsi="Arial;sans-serif"/>
          <w:b w:val="false"/>
          <w:color w:val="000000"/>
          <w:sz w:val="18"/>
        </w:rPr>
        <w:t>Definitive Additional Materials</w:t>
      </w:r>
    </w:p>
    <w:p>
      <w:pPr>
        <w:pStyle w:val="TextBody"/>
        <w:bidi w:val="0"/>
        <w:spacing w:lineRule="auto" w:line="288" w:before="0" w:after="240"/>
        <w:jc w:val="both"/>
        <w:rPr/>
      </w:pPr>
      <w:r>
        <w:rPr>
          <w:color w:val="000000"/>
        </w:rPr>
        <w:t>☐    </w:t>
      </w:r>
      <w:r>
        <w:rPr>
          <w:rFonts w:ascii="Arial;sans-serif" w:hAnsi="Arial;sans-serif"/>
          <w:b w:val="false"/>
          <w:color w:val="000000"/>
          <w:sz w:val="18"/>
        </w:rPr>
        <w:t>Soliciting Material Pursuant to § 240.14a-12</w:t>
      </w:r>
    </w:p>
    <w:p>
      <w:pPr>
        <w:pStyle w:val="TextBody"/>
        <w:bidi w:val="0"/>
        <w:spacing w:lineRule="auto" w:line="288" w:before="0" w:after="60"/>
        <w:jc w:val="center"/>
        <w:rPr>
          <w:rFonts w:ascii="Arial;sans-serif" w:hAnsi="Arial;sans-serif"/>
          <w:b/>
          <w:color w:val="000000"/>
          <w:sz w:val="32"/>
        </w:rPr>
      </w:pPr>
      <w:r>
        <w:rPr>
          <w:rFonts w:ascii="Arial;sans-serif" w:hAnsi="Arial;sans-serif"/>
          <w:b/>
          <w:color w:val="000000"/>
          <w:sz w:val="32"/>
        </w:rPr>
        <w:t>Tenable Holdings, Inc.</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(Name of Registrant as Specified In Its Charter)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Payment of Filing Fee (Check the appropriate box)</w:t>
      </w:r>
    </w:p>
    <w:p>
      <w:pPr>
        <w:pStyle w:val="TextBody"/>
        <w:bidi w:val="0"/>
        <w:spacing w:lineRule="auto" w:line="288" w:before="0" w:after="60"/>
        <w:jc w:val="left"/>
        <w:rPr/>
      </w:pPr>
      <w:r>
        <w:rPr>
          <w:color w:val="000000"/>
        </w:rPr>
        <w:t>☒    </w:t>
      </w:r>
      <w:r>
        <w:rPr>
          <w:rFonts w:ascii="Arial;sans-serif" w:hAnsi="Arial;sans-serif"/>
          <w:b w:val="false"/>
          <w:color w:val="000000"/>
          <w:sz w:val="18"/>
        </w:rPr>
        <w:t>No fee required.</w:t>
      </w:r>
    </w:p>
    <w:p>
      <w:pPr>
        <w:pStyle w:val="TextBody"/>
        <w:bidi w:val="0"/>
        <w:spacing w:lineRule="auto" w:line="288" w:before="0" w:after="60"/>
        <w:jc w:val="both"/>
        <w:rPr/>
      </w:pPr>
      <w:r>
        <w:rPr>
          <w:color w:val="000000"/>
        </w:rPr>
        <w:t>☐    </w:t>
      </w:r>
      <w:r>
        <w:rPr>
          <w:rFonts w:ascii="Arial;sans-serif" w:hAnsi="Arial;sans-serif"/>
          <w:b w:val="false"/>
          <w:color w:val="000000"/>
          <w:sz w:val="18"/>
        </w:rPr>
        <w:t>Fee paid previously with preliminary materials.</w:t>
      </w:r>
    </w:p>
    <w:p>
      <w:pPr>
        <w:pStyle w:val="TextBody"/>
        <w:bidi w:val="0"/>
        <w:spacing w:lineRule="auto" w:line="288" w:before="0" w:after="120"/>
        <w:jc w:val="both"/>
        <w:rPr/>
      </w:pPr>
      <w:r>
        <w:rPr>
          <w:color w:val="000000"/>
        </w:rPr>
        <w:t>☐    </w:t>
      </w:r>
      <w:r>
        <w:rPr>
          <w:rFonts w:ascii="Arial;sans-serif" w:hAnsi="Arial;sans-serif"/>
          <w:b w:val="false"/>
          <w:color w:val="000000"/>
          <w:sz w:val="18"/>
        </w:rPr>
        <w:t>Fee computed on table in exhibit required by Item 25(b) per Exchange Act Rules 14a-6(i)(1) and 0-11.</w:t>
      </w:r>
    </w:p>
    <w:p>
      <w:pPr>
        <w:pStyle w:val="TextBody"/>
        <w:bidi w:val="0"/>
        <w:spacing w:before="0" w:after="12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firstLine="360"/>
        <w:jc w:val="center"/>
        <w:rPr/>
      </w:pPr>
      <w:r>
        <w:rPr/>
      </w:r>
    </w:p>
    <w:tbl>
      <w:tblPr>
        <w:tblW w:w="9146" w:type="dxa"/>
        <w:jc w:val="center"/>
        <w:tblInd w:w="0" w:type="dxa"/>
        <w:tblLayout w:type="fixed"/>
        <w:tblCellMar>
          <w:top w:w="28" w:type="dxa"/>
          <w:left w:w="28" w:type="dxa"/>
          <w:bottom w:w="28" w:type="dxa"/>
          <w:right w:w="28" w:type="dxa"/>
        </w:tblCellMar>
      </w:tblPr>
      <w:tblGrid>
        <w:gridCol w:w="2930"/>
        <w:gridCol w:w="2576"/>
        <w:gridCol w:w="3640"/>
      </w:tblGrid>
      <w:tr>
        <w:trPr/>
        <w:tc>
          <w:tcPr>
            <w:tcW w:w="2930"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91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0" cy="24860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5715000" cy="2486025"/>
                          </a:xfrm>
                          <a:prstGeom prst="rect">
                            <a:avLst/>
                          </a:prstGeom>
                        </pic:spPr>
                      </pic:pic>
                    </a:graphicData>
                  </a:graphic>
                </wp:inline>
              </w:drawing>
            </w:r>
          </w:p>
        </w:tc>
      </w:tr>
      <w:tr>
        <w:trPr/>
        <w:tc>
          <w:tcPr>
            <w:tcW w:w="91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0" cy="6572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715000" cy="657225"/>
                          </a:xfrm>
                          <a:prstGeom prst="rect">
                            <a:avLst/>
                          </a:prstGeom>
                        </pic:spPr>
                      </pic:pic>
                    </a:graphicData>
                  </a:graphic>
                </wp:inline>
              </w:drawing>
            </w:r>
          </w:p>
        </w:tc>
      </w:tr>
      <w:tr>
        <w:trPr/>
        <w:tc>
          <w:tcPr>
            <w:tcW w:w="91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981450" cy="41148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3981450" cy="411480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5"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firstLine="360"/>
        <w:jc w:val="right"/>
        <w:rPr/>
      </w:pPr>
      <w:r>
        <w:rPr/>
      </w:r>
    </w:p>
    <w:tbl>
      <w:tblPr>
        <w:tblW w:w="9308" w:type="dxa"/>
        <w:jc w:val="center"/>
        <w:tblInd w:w="0" w:type="dxa"/>
        <w:tblLayout w:type="fixed"/>
        <w:tblCellMar>
          <w:top w:w="28" w:type="dxa"/>
          <w:left w:w="28" w:type="dxa"/>
          <w:bottom w:w="28" w:type="dxa"/>
          <w:right w:w="28" w:type="dxa"/>
        </w:tblCellMar>
      </w:tblPr>
      <w:tblGrid>
        <w:gridCol w:w="1492"/>
        <w:gridCol w:w="1309"/>
        <w:gridCol w:w="1309"/>
        <w:gridCol w:w="1309"/>
        <w:gridCol w:w="1309"/>
        <w:gridCol w:w="1324"/>
        <w:gridCol w:w="368"/>
        <w:gridCol w:w="368"/>
        <w:gridCol w:w="520"/>
      </w:tblGrid>
      <w:tr>
        <w:trPr/>
        <w:tc>
          <w:tcPr>
            <w:tcW w:w="14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8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32"/>
              </w:rPr>
            </w:pPr>
            <w:r>
              <w:rPr>
                <w:rFonts w:ascii="Barlow Semi Bold;sans-serif" w:hAnsi="Barlow Semi Bold;sans-serif"/>
                <w:b w:val="false"/>
                <w:color w:val="041E42"/>
                <w:sz w:val="32"/>
              </w:rPr>
              <w:t>NOTICE OF ANNUAL MEETING OF STOCKHOLDERS</w:t>
            </w:r>
          </w:p>
        </w:tc>
        <w:tc>
          <w:tcPr>
            <w:tcW w:w="12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14375" cy="7143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714375" cy="714375"/>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665"/>
        <w:gridCol w:w="584"/>
        <w:gridCol w:w="592"/>
        <w:gridCol w:w="908"/>
        <w:gridCol w:w="908"/>
        <w:gridCol w:w="920"/>
        <w:gridCol w:w="1683"/>
        <w:gridCol w:w="1683"/>
        <w:gridCol w:w="2262"/>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WHEN</w:t>
            </w:r>
          </w:p>
        </w:tc>
        <w:tc>
          <w:tcPr>
            <w:tcW w:w="2736" w:type="dxa"/>
            <w:gridSpan w:val="3"/>
            <w:tcBorders>
              <w:top w:val="single" w:sz="8" w:space="0" w:color="041E42"/>
              <w:left w:val="single" w:sz="8" w:space="0" w:color="041E42"/>
            </w:tcBorders>
            <w:tcMar>
              <w:top w:w="3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WHERE</w:t>
            </w:r>
          </w:p>
        </w:tc>
        <w:tc>
          <w:tcPr>
            <w:tcW w:w="5628" w:type="dxa"/>
            <w:gridSpan w:val="3"/>
            <w:tcBorders>
              <w:top w:val="single" w:sz="8" w:space="0" w:color="041E42"/>
              <w:left w:val="single" w:sz="8" w:space="0" w:color="041E42"/>
            </w:tcBorders>
            <w:tcMar>
              <w:top w:w="3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RECORD DATE</w:t>
            </w:r>
          </w:p>
        </w:tc>
      </w:tr>
      <w:tr>
        <w:trPr/>
        <w:tc>
          <w:tcPr>
            <w:tcW w:w="1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Barlow;sans-serif" w:hAnsi="Barlow;sans-serif"/>
                <w:b w:val="false"/>
                <w:color w:val="041E42"/>
                <w:sz w:val="20"/>
              </w:rPr>
            </w:pPr>
            <w:r>
              <w:rPr>
                <w:rFonts w:ascii="Barlow;sans-serif" w:hAnsi="Barlow;sans-serif"/>
                <w:b w:val="false"/>
                <w:color w:val="041E42"/>
                <w:sz w:val="20"/>
              </w:rPr>
              <w:t>Wednesday, May 22, 2024</w:t>
            </w:r>
          </w:p>
        </w:tc>
        <w:tc>
          <w:tcPr>
            <w:tcW w:w="2736"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Via Webcast</w:t>
            </w:r>
          </w:p>
        </w:tc>
        <w:tc>
          <w:tcPr>
            <w:tcW w:w="5628"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0"/>
              <w:jc w:val="left"/>
              <w:rPr>
                <w:rFonts w:ascii="Barlow;sans-serif" w:hAnsi="Barlow;sans-serif"/>
                <w:b w:val="false"/>
                <w:color w:val="041E42"/>
                <w:sz w:val="20"/>
              </w:rPr>
            </w:pPr>
            <w:r>
              <w:rPr>
                <w:rFonts w:ascii="Barlow;sans-serif" w:hAnsi="Barlow;sans-serif"/>
                <w:b w:val="false"/>
                <w:color w:val="041E42"/>
                <w:sz w:val="20"/>
              </w:rPr>
              <w:t>March 28, 2024</w:t>
            </w:r>
          </w:p>
        </w:tc>
      </w:tr>
      <w:tr>
        <w:trPr/>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1:00 pm Eastern Time</w:t>
            </w:r>
          </w:p>
        </w:tc>
        <w:tc>
          <w:tcPr>
            <w:tcW w:w="2736"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https://www.proxydocs.com/TENB</w:t>
            </w:r>
          </w:p>
        </w:tc>
        <w:tc>
          <w:tcPr>
            <w:tcW w:w="5628" w:type="dxa"/>
            <w:gridSpan w:val="3"/>
            <w:tcBorders>
              <w:left w:val="single" w:sz="8" w:space="0" w:color="041E42"/>
            </w:tcBorders>
            <w:tcMar>
              <w:top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20"/>
              </w:rPr>
            </w:pPr>
            <w:r>
              <w:rPr>
                <w:rFonts w:ascii="Barlow;sans-serif" w:hAnsi="Barlow;sans-serif"/>
                <w:b w:val="false"/>
                <w:color w:val="041E42"/>
                <w:sz w:val="20"/>
              </w:rPr>
              <w:t>Only stockholders of record at the close of business on that date may vote at the Annual Meeting or any adjournment thereof.</w:t>
            </w:r>
          </w:p>
        </w:tc>
      </w:tr>
    </w:tbl>
    <w:tbl>
      <w:tblPr>
        <w:tblW w:w="10205" w:type="dxa"/>
        <w:jc w:val="left"/>
        <w:tblInd w:w="0" w:type="dxa"/>
        <w:tblLayout w:type="fixed"/>
        <w:tblCellMar>
          <w:top w:w="28" w:type="dxa"/>
          <w:left w:w="28" w:type="dxa"/>
          <w:bottom w:w="28" w:type="dxa"/>
          <w:right w:w="28" w:type="dxa"/>
        </w:tblCellMar>
      </w:tblPr>
      <w:tblGrid>
        <w:gridCol w:w="2351"/>
        <w:gridCol w:w="1874"/>
        <w:gridCol w:w="1880"/>
        <w:gridCol w:w="406"/>
        <w:gridCol w:w="406"/>
        <w:gridCol w:w="406"/>
        <w:gridCol w:w="475"/>
        <w:gridCol w:w="475"/>
        <w:gridCol w:w="477"/>
        <w:gridCol w:w="424"/>
        <w:gridCol w:w="424"/>
        <w:gridCol w:w="607"/>
      </w:tblGrid>
      <w:tr>
        <w:trPr/>
        <w:tc>
          <w:tcPr>
            <w:tcW w:w="2351"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ITEMS OF BUSINESS</w:t>
            </w:r>
          </w:p>
        </w:tc>
        <w:tc>
          <w:tcPr>
            <w:tcW w:w="26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BOARD VOTING RECOMMENDATION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20"/>
              </w:rPr>
            </w:pPr>
            <w:r>
              <w:rPr>
                <w:rFonts w:ascii="Barlow Semi Bold;sans-serif" w:hAnsi="Barlow Semi Bold;sans-serif"/>
                <w:b w:val="false"/>
                <w:color w:val="041E42"/>
                <w:sz w:val="20"/>
              </w:rPr>
              <w:t>PAGE REFERENCE</w:t>
            </w:r>
          </w:p>
        </w:tc>
      </w:tr>
      <w:tr>
        <w:trPr/>
        <w:tc>
          <w:tcPr>
            <w:tcW w:w="6105"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0"/>
              <w:jc w:val="left"/>
              <w:rPr>
                <w:rFonts w:ascii="Barlow;sans-serif" w:hAnsi="Barlow;sans-serif"/>
                <w:b w:val="false"/>
                <w:color w:val="041E42"/>
                <w:sz w:val="18"/>
              </w:rPr>
            </w:pPr>
            <w:r>
              <w:rPr>
                <w:rFonts w:ascii="Barlow;sans-serif" w:hAnsi="Barlow;sans-serif"/>
                <w:b w:val="false"/>
                <w:color w:val="041E42"/>
                <w:sz w:val="18"/>
              </w:rPr>
              <w:t>Electing the Board of Directors’ nominees, Arthur W. Coviello, Jr., George Alexander Tosheff and Margaret Keane, to the Board of Directors to hold office until the 2027 Annual Meeting of Stockholders.</w:t>
            </w:r>
          </w:p>
        </w:tc>
        <w:tc>
          <w:tcPr>
            <w:tcW w:w="1218" w:type="dxa"/>
            <w:gridSpan w:val="3"/>
            <w:tcBorders>
              <w:top w:val="single" w:sz="8" w:space="0" w:color="041E42"/>
            </w:tcBorders>
            <w:tcMar>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23825" cy="123825"/>
                          </a:xfrm>
                          <a:prstGeom prst="rect">
                            <a:avLst/>
                          </a:prstGeom>
                        </pic:spPr>
                      </pic:pic>
                    </a:graphicData>
                  </a:graphic>
                </wp:inline>
              </w:drawing>
            </w:r>
          </w:p>
        </w:tc>
        <w:tc>
          <w:tcPr>
            <w:tcW w:w="1427"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0"/>
              <w:jc w:val="left"/>
              <w:rPr/>
            </w:pPr>
            <w:r>
              <w:rPr>
                <w:rFonts w:ascii="Barlow Semi Bold;sans-serif" w:hAnsi="Barlow Semi Bold;sans-serif"/>
                <w:b w:val="false"/>
                <w:color w:val="041E42"/>
                <w:sz w:val="18"/>
              </w:rPr>
              <w:t>FOR</w:t>
            </w:r>
            <w:r>
              <w:rPr>
                <w:color w:val="041E42"/>
              </w:rPr>
              <w:t xml:space="preserve"> </w:t>
            </w:r>
            <w:r>
              <w:rPr>
                <w:rFonts w:ascii="Barlow;sans-serif" w:hAnsi="Barlow;sans-serif"/>
                <w:b w:val="false"/>
                <w:color w:val="041E42"/>
                <w:sz w:val="18"/>
              </w:rPr>
              <w:t>each director nominee</w:t>
            </w:r>
          </w:p>
        </w:tc>
        <w:tc>
          <w:tcPr>
            <w:tcW w:w="1455" w:type="dxa"/>
            <w:gridSpan w:val="3"/>
            <w:tcBorders>
              <w:top w:val="single" w:sz="8" w:space="0" w:color="041E42"/>
            </w:tcBorders>
            <w:tcMar>
              <w:top w:w="30" w:type="dxa"/>
              <w:left w:w="0" w:type="dxa"/>
              <w:bottom w:w="0" w:type="dxa"/>
              <w:right w:w="0" w:type="dxa"/>
            </w:tcMar>
            <w:vAlign w:val="center"/>
          </w:tcPr>
          <w:p>
            <w:pPr>
              <w:pStyle w:val="TableContents"/>
              <w:bidi w:val="0"/>
              <w:spacing w:lineRule="auto" w:line="240" w:before="0" w:after="0"/>
              <w:jc w:val="center"/>
              <w:rPr/>
            </w:pPr>
            <w:hyperlink w:anchor="i4745a22ced2644e19764f281b17b55e8_28">
              <w:r>
                <w:rPr>
                  <w:rStyle w:val="InternetLink"/>
                  <w:rFonts w:ascii="Barlow;sans-serif" w:hAnsi="Barlow;sans-serif"/>
                  <w:b w:val="false"/>
                  <w:color w:val="041E42"/>
                  <w:sz w:val="18"/>
                  <w:u w:val="single"/>
                </w:rPr>
                <w:t>16</w:t>
              </w:r>
            </w:hyperlink>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Barlow;sans-serif" w:hAnsi="Barlow;sans-serif"/>
                <w:b w:val="false"/>
                <w:color w:val="041E42"/>
                <w:sz w:val="18"/>
              </w:rPr>
            </w:pPr>
            <w:r>
              <w:rPr>
                <w:rFonts w:ascii="Barlow;sans-serif" w:hAnsi="Barlow;sans-serif"/>
                <w:b w:val="false"/>
                <w:color w:val="041E42"/>
                <w:sz w:val="18"/>
              </w:rPr>
              <w:t>Ratifying the selection by the Audit Committee of the Board of Directors of Ernst &amp; Young LLP as the independent registered public accounting firm of the Company for the year ending December 31, 2024.</w:t>
            </w:r>
          </w:p>
        </w:tc>
        <w:tc>
          <w:tcPr>
            <w:tcW w:w="12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23825" cy="123825"/>
                          </a:xfrm>
                          <a:prstGeom prst="rect">
                            <a:avLst/>
                          </a:prstGeom>
                        </pic:spPr>
                      </pic:pic>
                    </a:graphicData>
                  </a:graphic>
                </wp:inline>
              </w:drawing>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18"/>
              </w:rPr>
            </w:pPr>
            <w:r>
              <w:rPr>
                <w:rFonts w:ascii="Barlow Semi Bold;sans-serif" w:hAnsi="Barlow Semi Bold;sans-serif"/>
                <w:b w:val="false"/>
                <w:color w:val="041E42"/>
                <w:sz w:val="18"/>
              </w:rPr>
              <w:t>FOR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67">
              <w:r>
                <w:rPr>
                  <w:rStyle w:val="InternetLink"/>
                  <w:rFonts w:ascii="Barlow;sans-serif" w:hAnsi="Barlow;sans-serif"/>
                  <w:b w:val="false"/>
                  <w:color w:val="041E42"/>
                  <w:sz w:val="18"/>
                  <w:u w:val="single"/>
                </w:rPr>
                <w:t>32</w:t>
              </w:r>
            </w:hyperlink>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18"/>
              </w:rPr>
            </w:pPr>
            <w:r>
              <w:rPr>
                <w:rFonts w:ascii="Barlow;sans-serif" w:hAnsi="Barlow;sans-serif"/>
                <w:b w:val="false"/>
                <w:color w:val="041E42"/>
                <w:sz w:val="18"/>
              </w:rPr>
              <w:t>Approving, on a non-binding advisory basis, the compensation of the Company's Named Executive Officers as disclosed in this proxy statement.</w:t>
            </w:r>
          </w:p>
        </w:tc>
        <w:tc>
          <w:tcPr>
            <w:tcW w:w="12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 cy="1238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23825" cy="123825"/>
                          </a:xfrm>
                          <a:prstGeom prst="rect">
                            <a:avLst/>
                          </a:prstGeom>
                        </pic:spPr>
                      </pic:pic>
                    </a:graphicData>
                  </a:graphic>
                </wp:inline>
              </w:drawing>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Barlow Semi Bold;sans-serif" w:hAnsi="Barlow Semi Bold;sans-serif"/>
                <w:b w:val="false"/>
                <w:color w:val="041E42"/>
                <w:sz w:val="18"/>
              </w:rPr>
            </w:pPr>
            <w:r>
              <w:rPr>
                <w:rFonts w:ascii="Barlow Semi Bold;sans-serif" w:hAnsi="Barlow Semi Bold;sans-serif"/>
                <w:b w:val="false"/>
                <w:color w:val="041E42"/>
                <w:sz w:val="18"/>
              </w:rPr>
              <w:t>FOR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76">
              <w:r>
                <w:rPr>
                  <w:rStyle w:val="InternetLink"/>
                  <w:rFonts w:ascii="Barlow;sans-serif" w:hAnsi="Barlow;sans-serif"/>
                  <w:b w:val="false"/>
                  <w:color w:val="041E42"/>
                  <w:sz w:val="18"/>
                  <w:u w:val="single"/>
                </w:rPr>
                <w:t>34</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Barlow;sans-serif" w:hAnsi="Barlow;sans-serif"/>
                <w:b w:val="false"/>
                <w:color w:val="041E42"/>
                <w:sz w:val="18"/>
              </w:rPr>
            </w:pPr>
            <w:r>
              <w:rPr>
                <w:rFonts w:ascii="Barlow;sans-serif" w:hAnsi="Barlow;sans-serif"/>
                <w:b w:val="false"/>
                <w:color w:val="041E42"/>
                <w:sz w:val="18"/>
              </w:rPr>
              <w:t xml:space="preserve">Conducting any other business properly brought before the Annual Meeting, including any adjournments or postponements of the meeting. </w:t>
            </w:r>
          </w:p>
        </w:tc>
      </w:tr>
    </w:tbl>
    <w:p>
      <w:pPr>
        <w:pStyle w:val="TextBody"/>
        <w:bidi w:val="0"/>
        <w:spacing w:lineRule="auto" w:line="288" w:before="0" w:after="240"/>
        <w:jc w:val="left"/>
        <w:rPr>
          <w:rFonts w:ascii="Barlow;sans-serif" w:hAnsi="Barlow;sans-serif"/>
          <w:b w:val="false"/>
          <w:color w:val="041E42"/>
          <w:sz w:val="18"/>
        </w:rPr>
      </w:pPr>
      <w:r>
        <w:rPr>
          <w:rFonts w:ascii="Barlow;sans-serif" w:hAnsi="Barlow;sans-serif"/>
          <w:b w:val="false"/>
          <w:color w:val="041E42"/>
          <w:sz w:val="18"/>
        </w:rPr>
        <w:t>Each of these items of business is more fully described in the proxy statement accompanying this notice.</w:t>
      </w:r>
    </w:p>
    <w:tbl>
      <w:tblPr>
        <w:tblW w:w="10205" w:type="dxa"/>
        <w:jc w:val="center"/>
        <w:tblInd w:w="0" w:type="dxa"/>
        <w:tblLayout w:type="fixed"/>
        <w:tblCellMar>
          <w:top w:w="28" w:type="dxa"/>
          <w:left w:w="28" w:type="dxa"/>
          <w:bottom w:w="28" w:type="dxa"/>
          <w:right w:w="28" w:type="dxa"/>
        </w:tblCellMar>
      </w:tblPr>
      <w:tblGrid>
        <w:gridCol w:w="3484"/>
        <w:gridCol w:w="2780"/>
        <w:gridCol w:w="3941"/>
      </w:tblGrid>
      <w:tr>
        <w:trPr/>
        <w:tc>
          <w:tcPr>
            <w:tcW w:w="348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41E42"/>
              <w:left w:val="single" w:sz="8" w:space="0" w:color="041E42"/>
              <w:right w:val="single" w:sz="8" w:space="0" w:color="041E42"/>
            </w:tcBorders>
            <w:tcMar>
              <w:top w:w="30" w:type="dxa"/>
              <w:bottom w:w="0" w:type="dxa"/>
            </w:tcMar>
            <w:vAlign w:val="center"/>
          </w:tcPr>
          <w:p>
            <w:pPr>
              <w:pStyle w:val="TableContents"/>
              <w:bidi w:val="0"/>
              <w:spacing w:lineRule="auto" w:line="268" w:before="0" w:after="0"/>
              <w:jc w:val="center"/>
              <w:rPr>
                <w:rFonts w:ascii="Barlow Semi Bold;sans-serif" w:hAnsi="Barlow Semi Bold;sans-serif"/>
                <w:b/>
                <w:color w:val="041E42"/>
                <w:sz w:val="18"/>
              </w:rPr>
            </w:pPr>
            <w:r>
              <w:rPr>
                <w:rFonts w:ascii="Barlow Semi Bold;sans-serif" w:hAnsi="Barlow Semi Bold;sans-serif"/>
                <w:b/>
                <w:color w:val="041E42"/>
                <w:sz w:val="18"/>
              </w:rPr>
              <w:t>Important Notice Regarding the Availability of Proxy Materials for the Virtual Stockholders' Meeting to Be Held on Wednesday, May 22, 2024 at 1:00 p.m. Eastern Time.</w:t>
            </w:r>
          </w:p>
        </w:tc>
      </w:tr>
      <w:tr>
        <w:trPr/>
        <w:tc>
          <w:tcPr>
            <w:tcW w:w="10205" w:type="dxa"/>
            <w:gridSpan w:val="3"/>
            <w:tcBorders>
              <w:left w:val="single" w:sz="8" w:space="0" w:color="041E42"/>
              <w:bottom w:val="single" w:sz="8" w:space="0" w:color="041E42"/>
              <w:right w:val="single" w:sz="8" w:space="0" w:color="041E42"/>
            </w:tcBorders>
            <w:tcMar>
              <w:top w:w="0" w:type="dxa"/>
              <w:bottom w:w="30" w:type="dxa"/>
            </w:tcMar>
            <w:vAlign w:val="center"/>
          </w:tcPr>
          <w:p>
            <w:pPr>
              <w:pStyle w:val="TableContents"/>
              <w:bidi w:val="0"/>
              <w:spacing w:lineRule="auto" w:line="268" w:before="0" w:after="0"/>
              <w:jc w:val="center"/>
              <w:rPr>
                <w:rFonts w:ascii="Barlow;sans-serif" w:hAnsi="Barlow;sans-serif"/>
                <w:b w:val="false"/>
                <w:color w:val="041E42"/>
                <w:sz w:val="18"/>
              </w:rPr>
            </w:pPr>
            <w:r>
              <w:rPr>
                <w:rFonts w:ascii="Barlow;sans-serif" w:hAnsi="Barlow;sans-serif"/>
                <w:b w:val="false"/>
                <w:color w:val="041E42"/>
                <w:sz w:val="18"/>
              </w:rPr>
              <w:t xml:space="preserve">The proxy statement and annual report to shareholders </w:t>
            </w:r>
          </w:p>
          <w:p>
            <w:pPr>
              <w:pStyle w:val="TableContents"/>
              <w:bidi w:val="0"/>
              <w:spacing w:lineRule="auto" w:line="268" w:before="0" w:after="0"/>
              <w:jc w:val="center"/>
              <w:rPr>
                <w:rFonts w:ascii="Barlow;sans-serif" w:hAnsi="Barlow;sans-serif"/>
                <w:b w:val="false"/>
                <w:color w:val="041E42"/>
                <w:sz w:val="18"/>
              </w:rPr>
            </w:pPr>
            <w:r>
              <w:rPr>
                <w:rFonts w:ascii="Barlow;sans-serif" w:hAnsi="Barlow;sans-serif"/>
                <w:b w:val="false"/>
                <w:color w:val="041E42"/>
                <w:sz w:val="18"/>
              </w:rPr>
              <w:t>are available at https://www.proxydocs.com/TENB.</w:t>
            </w:r>
          </w:p>
        </w:tc>
      </w:tr>
    </w:tbl>
    <w:p>
      <w:pPr>
        <w:pStyle w:val="TextBody"/>
        <w:bidi w:val="0"/>
        <w:spacing w:lineRule="auto" w:line="288" w:before="0" w:after="120"/>
        <w:jc w:val="left"/>
        <w:rPr>
          <w:rFonts w:ascii="Barlow;sans-serif" w:hAnsi="Barlow;sans-serif"/>
          <w:b w:val="false"/>
          <w:color w:val="041E42"/>
          <w:sz w:val="18"/>
        </w:rPr>
      </w:pPr>
      <w:r>
        <w:rPr>
          <w:rFonts w:ascii="Barlow;sans-serif" w:hAnsi="Barlow;sans-serif"/>
          <w:b w:val="false"/>
          <w:color w:val="041E42"/>
          <w:sz w:val="18"/>
        </w:rPr>
        <w:t xml:space="preserve">By Order of the Board of Directors, </w:t>
      </w:r>
    </w:p>
    <w:p>
      <w:pPr>
        <w:pStyle w:val="TextBody"/>
        <w:bidi w:val="0"/>
        <w:spacing w:before="0" w:after="60"/>
        <w:jc w:val="left"/>
        <w:rPr/>
      </w:pPr>
      <w:r>
        <w:rPr/>
        <w:drawing>
          <wp:inline distT="0" distB="0" distL="0" distR="0">
            <wp:extent cx="1085850" cy="29527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85850" cy="295275"/>
                    </a:xfrm>
                    <a:prstGeom prst="rect">
                      <a:avLst/>
                    </a:prstGeom>
                  </pic:spPr>
                </pic:pic>
              </a:graphicData>
            </a:graphic>
          </wp:inline>
        </w:drawing>
      </w:r>
    </w:p>
    <w:p>
      <w:pPr>
        <w:pStyle w:val="TextBody"/>
        <w:bidi w:val="0"/>
        <w:spacing w:lineRule="auto" w:line="288" w:before="0" w:after="120"/>
        <w:jc w:val="left"/>
        <w:rPr/>
      </w:pPr>
      <w:r>
        <w:rPr>
          <w:rFonts w:ascii="Barlow;sans-serif" w:hAnsi="Barlow;sans-serif"/>
          <w:b w:val="false"/>
          <w:color w:val="041E42"/>
          <w:sz w:val="18"/>
        </w:rPr>
        <w:t>Michelle VonderHaar</w:t>
        <w:br/>
      </w:r>
      <w:r>
        <w:rPr>
          <w:rFonts w:ascii="Barlow;sans-serif" w:hAnsi="Barlow;sans-serif"/>
          <w:b w:val="false"/>
          <w:i/>
          <w:color w:val="041E42"/>
          <w:sz w:val="18"/>
        </w:rPr>
        <w:t>Chief Legal Officer and Corporate Secretary</w:t>
      </w:r>
    </w:p>
    <w:p>
      <w:pPr>
        <w:pStyle w:val="TextBody"/>
        <w:bidi w:val="0"/>
        <w:spacing w:lineRule="auto" w:line="288" w:before="0" w:after="240"/>
        <w:jc w:val="left"/>
        <w:rPr>
          <w:rFonts w:ascii="Barlow;sans-serif" w:hAnsi="Barlow;sans-serif"/>
          <w:b w:val="false"/>
          <w:color w:val="041E42"/>
          <w:sz w:val="18"/>
        </w:rPr>
      </w:pPr>
      <w:r>
        <w:rPr>
          <w:rFonts w:ascii="Barlow;sans-serif" w:hAnsi="Barlow;sans-serif"/>
          <w:b w:val="false"/>
          <w:color w:val="041E42"/>
          <w:sz w:val="18"/>
        </w:rPr>
        <w:t xml:space="preserve">Columbia, MD </w:t>
        <w:br/>
        <w:t xml:space="preserve">April 11, 2024 </w:t>
      </w:r>
    </w:p>
    <w:tbl>
      <w:tblPr>
        <w:tblW w:w="10205" w:type="dxa"/>
        <w:jc w:val="center"/>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41E42"/>
              <w:left w:val="single" w:sz="8" w:space="0" w:color="041E42"/>
              <w:bottom w:val="single" w:sz="8" w:space="0" w:color="041E42"/>
              <w:right w:val="single" w:sz="8" w:space="0" w:color="041E42"/>
            </w:tcBorders>
            <w:tcMar>
              <w:top w:w="30" w:type="dxa"/>
              <w:bottom w:w="30" w:type="dxa"/>
            </w:tcMar>
            <w:vAlign w:val="center"/>
          </w:tcPr>
          <w:p>
            <w:pPr>
              <w:pStyle w:val="TableContents"/>
              <w:bidi w:val="0"/>
              <w:spacing w:lineRule="auto" w:line="240" w:before="0" w:after="240"/>
              <w:jc w:val="left"/>
              <w:rPr>
                <w:rFonts w:ascii="Barlow Semi Bold;sans-serif" w:hAnsi="Barlow Semi Bold;sans-serif"/>
                <w:b/>
                <w:color w:val="041E42"/>
                <w:sz w:val="18"/>
              </w:rPr>
            </w:pPr>
            <w:r>
              <w:rPr>
                <w:rFonts w:ascii="Barlow Semi Bold;sans-serif" w:hAnsi="Barlow Semi Bold;sans-serif"/>
                <w:b/>
                <w:color w:val="041E42"/>
                <w:sz w:val="18"/>
              </w:rPr>
              <w:t>You are cordially invited to attend the virtual annual meeting. Whether or not you expect to attend the meeting, please vote over the telephone or the Internet as instructed in these materials as promptly as possible in order to ensure your representation at the meeting.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1"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240"/>
        <w:jc w:val="left"/>
        <w:rPr/>
      </w:pPr>
      <w:r>
        <w:rPr/>
      </w:r>
    </w:p>
    <w:tbl>
      <w:tblPr>
        <w:tblW w:w="9765" w:type="dxa"/>
        <w:jc w:val="center"/>
        <w:tblInd w:w="0" w:type="dxa"/>
        <w:tblLayout w:type="fixed"/>
        <w:tblCellMar>
          <w:top w:w="28" w:type="dxa"/>
          <w:left w:w="28" w:type="dxa"/>
          <w:bottom w:w="28" w:type="dxa"/>
          <w:right w:w="28" w:type="dxa"/>
        </w:tblCellMar>
      </w:tblPr>
      <w:tblGrid>
        <w:gridCol w:w="3316"/>
        <w:gridCol w:w="2924"/>
        <w:gridCol w:w="2939"/>
        <w:gridCol w:w="171"/>
        <w:gridCol w:w="171"/>
        <w:gridCol w:w="244"/>
      </w:tblGrid>
      <w:tr>
        <w:trPr/>
        <w:tc>
          <w:tcPr>
            <w:tcW w:w="3316"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CONTENTS</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4745a22ced2644e19764f281b17b55e8_25">
              <w:r>
                <w:rPr>
                  <w:rStyle w:val="InternetLink"/>
                  <w:rFonts w:ascii="Arial;sans-serif" w:hAnsi="Arial;sans-serif"/>
                  <w:b w:val="false"/>
                  <w:strike w:val="false"/>
                  <w:dstrike w:val="false"/>
                  <w:color w:val="000000"/>
                  <w:sz w:val="18"/>
                  <w:u w:val="none"/>
                  <w:effect w:val="none"/>
                </w:rPr>
                <w:t>QUESTIONS AND ANSWERS ABOUT THESE PROXY MATERIALS AND VOTING</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25">
              <w:r>
                <w:rPr>
                  <w:rStyle w:val="InternetLink"/>
                  <w:rFonts w:ascii="Arial;sans-serif" w:hAnsi="Arial;sans-serif"/>
                  <w:b w:val="false"/>
                  <w:strike w:val="false"/>
                  <w:dstrike w:val="false"/>
                  <w:color w:val="000000"/>
                  <w:sz w:val="18"/>
                  <w:u w:val="none"/>
                  <w:effect w:val="none"/>
                </w:rPr>
                <w:t>9</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28">
              <w:r>
                <w:rPr>
                  <w:rStyle w:val="InternetLink"/>
                  <w:rFonts w:ascii="Arial;sans-serif" w:hAnsi="Arial;sans-serif"/>
                  <w:b w:val="false"/>
                  <w:strike w:val="false"/>
                  <w:dstrike w:val="false"/>
                  <w:color w:val="000000"/>
                  <w:sz w:val="18"/>
                  <w:u w:val="none"/>
                  <w:effect w:val="none"/>
                </w:rPr>
                <w:t>PROPOSAL 1 ELECTION OF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28">
              <w:r>
                <w:rPr>
                  <w:rStyle w:val="InternetLink"/>
                  <w:rFonts w:ascii="Arial;sans-serif" w:hAnsi="Arial;sans-serif"/>
                  <w:b w:val="false"/>
                  <w:strike w:val="false"/>
                  <w:dstrike w:val="false"/>
                  <w:color w:val="000000"/>
                  <w:sz w:val="18"/>
                  <w:u w:val="none"/>
                  <w:effect w:val="none"/>
                </w:rPr>
                <w:t>16</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31">
              <w:r>
                <w:rPr>
                  <w:rStyle w:val="InternetLink"/>
                  <w:rFonts w:ascii="Arial;sans-serif" w:hAnsi="Arial;sans-serif"/>
                  <w:b w:val="false"/>
                  <w:strike w:val="false"/>
                  <w:dstrike w:val="false"/>
                  <w:color w:val="000000"/>
                  <w:sz w:val="18"/>
                  <w:u w:val="none"/>
                  <w:effect w:val="none"/>
                </w:rPr>
                <w:t>Information Regarding the Board of Directors and Corporate Governance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31">
              <w:r>
                <w:rPr>
                  <w:rStyle w:val="InternetLink"/>
                  <w:rFonts w:ascii="Arial;sans-serif" w:hAnsi="Arial;sans-serif"/>
                  <w:b w:val="false"/>
                  <w:strike w:val="false"/>
                  <w:dstrike w:val="false"/>
                  <w:color w:val="000000"/>
                  <w:sz w:val="18"/>
                  <w:u w:val="none"/>
                  <w:effect w:val="none"/>
                </w:rPr>
                <w:t>22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4745a22ced2644e19764f281b17b55e8_34">
              <w:r>
                <w:rPr>
                  <w:rStyle w:val="InternetLink"/>
                  <w:rFonts w:ascii="Arial;sans-serif" w:hAnsi="Arial;sans-serif"/>
                  <w:b w:val="false"/>
                  <w:strike w:val="false"/>
                  <w:dstrike w:val="false"/>
                  <w:color w:val="000000"/>
                  <w:sz w:val="18"/>
                  <w:u w:val="none"/>
                  <w:effect w:val="none"/>
                </w:rPr>
                <w:t>Independence of the Board of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34">
              <w:r>
                <w:rPr>
                  <w:rStyle w:val="InternetLink"/>
                  <w:rFonts w:ascii="Arial;sans-serif" w:hAnsi="Arial;sans-serif"/>
                  <w:b w:val="false"/>
                  <w:strike w:val="false"/>
                  <w:dstrike w:val="false"/>
                  <w:color w:val="000000"/>
                  <w:sz w:val="18"/>
                  <w:u w:val="none"/>
                  <w:effect w:val="none"/>
                </w:rPr>
                <w:t>22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4745a22ced2644e19764f281b17b55e8_37">
              <w:r>
                <w:rPr>
                  <w:rStyle w:val="InternetLink"/>
                  <w:rFonts w:ascii="Arial;sans-serif" w:hAnsi="Arial;sans-serif"/>
                  <w:b w:val="false"/>
                  <w:strike w:val="false"/>
                  <w:dstrike w:val="false"/>
                  <w:color w:val="000000"/>
                  <w:sz w:val="18"/>
                  <w:u w:val="none"/>
                  <w:effect w:val="none"/>
                </w:rPr>
                <w:t>Role of the Board in Risk Oversight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37">
              <w:r>
                <w:rPr>
                  <w:rStyle w:val="InternetLink"/>
                  <w:rFonts w:ascii="Arial;sans-serif" w:hAnsi="Arial;sans-serif"/>
                  <w:b w:val="false"/>
                  <w:strike w:val="false"/>
                  <w:dstrike w:val="false"/>
                  <w:color w:val="000000"/>
                  <w:sz w:val="18"/>
                  <w:u w:val="none"/>
                  <w:effect w:val="none"/>
                </w:rPr>
                <w:t>23</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4745a22ced2644e19764f281b17b55e8_40">
              <w:r>
                <w:rPr>
                  <w:rStyle w:val="InternetLink"/>
                  <w:rFonts w:ascii="Arial;sans-serif" w:hAnsi="Arial;sans-serif"/>
                  <w:b w:val="false"/>
                  <w:strike w:val="false"/>
                  <w:dstrike w:val="false"/>
                  <w:color w:val="000000"/>
                  <w:sz w:val="18"/>
                  <w:u w:val="none"/>
                  <w:effect w:val="none"/>
                </w:rPr>
                <w:t>Meetings of the Board of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40">
              <w:r>
                <w:rPr>
                  <w:rStyle w:val="InternetLink"/>
                  <w:rFonts w:ascii="Arial;sans-serif" w:hAnsi="Arial;sans-serif"/>
                  <w:b w:val="false"/>
                  <w:strike w:val="false"/>
                  <w:dstrike w:val="false"/>
                  <w:color w:val="000000"/>
                  <w:sz w:val="18"/>
                  <w:u w:val="none"/>
                  <w:effect w:val="none"/>
                </w:rPr>
                <w:t>24</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4745a22ced2644e19764f281b17b55e8_43">
              <w:r>
                <w:rPr>
                  <w:rStyle w:val="InternetLink"/>
                  <w:rFonts w:ascii="Arial;sans-serif" w:hAnsi="Arial;sans-serif"/>
                  <w:b w:val="false"/>
                  <w:strike w:val="false"/>
                  <w:dstrike w:val="false"/>
                  <w:color w:val="000000"/>
                  <w:sz w:val="18"/>
                  <w:u w:val="none"/>
                  <w:effect w:val="none"/>
                </w:rPr>
                <w:t>Information Regarding Committees of the Board of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43">
              <w:r>
                <w:rPr>
                  <w:rStyle w:val="InternetLink"/>
                  <w:rFonts w:ascii="Arial;sans-serif" w:hAnsi="Arial;sans-serif"/>
                  <w:b w:val="false"/>
                  <w:strike w:val="false"/>
                  <w:dstrike w:val="false"/>
                  <w:color w:val="000000"/>
                  <w:sz w:val="18"/>
                  <w:u w:val="none"/>
                  <w:effect w:val="none"/>
                </w:rPr>
                <w:t>24</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46">
              <w:r>
                <w:rPr>
                  <w:rStyle w:val="InternetLink"/>
                  <w:rFonts w:ascii="Arial;sans-serif" w:hAnsi="Arial;sans-serif"/>
                  <w:b w:val="false"/>
                  <w:strike w:val="false"/>
                  <w:dstrike w:val="false"/>
                  <w:color w:val="000000"/>
                  <w:sz w:val="18"/>
                  <w:u w:val="none"/>
                  <w:effect w:val="none"/>
                </w:rPr>
                <w:t>Audit Committee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46">
              <w:r>
                <w:rPr>
                  <w:rStyle w:val="InternetLink"/>
                  <w:rFonts w:ascii="Arial;sans-serif" w:hAnsi="Arial;sans-serif"/>
                  <w:b w:val="false"/>
                  <w:strike w:val="false"/>
                  <w:dstrike w:val="false"/>
                  <w:color w:val="000000"/>
                  <w:sz w:val="18"/>
                  <w:u w:val="none"/>
                  <w:effect w:val="none"/>
                </w:rPr>
                <w:t>24</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49">
              <w:r>
                <w:rPr>
                  <w:rStyle w:val="InternetLink"/>
                  <w:rFonts w:ascii="Arial;sans-serif" w:hAnsi="Arial;sans-serif"/>
                  <w:b w:val="false"/>
                  <w:strike w:val="false"/>
                  <w:dstrike w:val="false"/>
                  <w:color w:val="000000"/>
                  <w:sz w:val="18"/>
                  <w:u w:val="none"/>
                  <w:effect w:val="none"/>
                </w:rPr>
                <w:t>Compensation Committee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49">
              <w:r>
                <w:rPr>
                  <w:rStyle w:val="InternetLink"/>
                  <w:rFonts w:ascii="Arial;sans-serif" w:hAnsi="Arial;sans-serif"/>
                  <w:b w:val="false"/>
                  <w:strike w:val="false"/>
                  <w:dstrike w:val="false"/>
                  <w:color w:val="000000"/>
                  <w:sz w:val="18"/>
                  <w:u w:val="none"/>
                  <w:effect w:val="none"/>
                </w:rPr>
                <w:t>26</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52">
              <w:r>
                <w:rPr>
                  <w:rStyle w:val="InternetLink"/>
                  <w:rFonts w:ascii="Arial;sans-serif" w:hAnsi="Arial;sans-serif"/>
                  <w:b w:val="false"/>
                  <w:strike w:val="false"/>
                  <w:dstrike w:val="false"/>
                  <w:color w:val="000000"/>
                  <w:sz w:val="18"/>
                  <w:u w:val="none"/>
                  <w:effect w:val="none"/>
                </w:rPr>
                <w:t>Nominating and Corporate Governance Committee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52">
              <w:r>
                <w:rPr>
                  <w:rStyle w:val="InternetLink"/>
                  <w:rFonts w:ascii="Arial;sans-serif" w:hAnsi="Arial;sans-serif"/>
                  <w:b w:val="false"/>
                  <w:strike w:val="false"/>
                  <w:dstrike w:val="false"/>
                  <w:color w:val="000000"/>
                  <w:sz w:val="18"/>
                  <w:u w:val="none"/>
                  <w:effect w:val="none"/>
                </w:rPr>
                <w:t>28</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45a22ced2644e19764f281b17b55e8_55">
              <w:r>
                <w:rPr>
                  <w:rStyle w:val="InternetLink"/>
                  <w:rFonts w:ascii="Arial;sans-serif" w:hAnsi="Arial;sans-serif"/>
                  <w:b w:val="false"/>
                  <w:strike w:val="false"/>
                  <w:dstrike w:val="false"/>
                  <w:color w:val="000000"/>
                  <w:sz w:val="18"/>
                  <w:u w:val="none"/>
                  <w:effect w:val="none"/>
                </w:rPr>
                <w:t>Cybersecurity Risk Management Committee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55">
              <w:r>
                <w:rPr>
                  <w:rStyle w:val="InternetLink"/>
                  <w:rFonts w:ascii="Arial;sans-serif" w:hAnsi="Arial;sans-serif"/>
                  <w:b w:val="false"/>
                  <w:strike w:val="false"/>
                  <w:dstrike w:val="false"/>
                  <w:color w:val="000000"/>
                  <w:sz w:val="18"/>
                  <w:u w:val="none"/>
                  <w:effect w:val="none"/>
                </w:rPr>
                <w:t>27</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4745a22ced2644e19764f281b17b55e8_58">
              <w:r>
                <w:rPr>
                  <w:rStyle w:val="InternetLink"/>
                  <w:rFonts w:ascii="Arial;sans-serif" w:hAnsi="Arial;sans-serif"/>
                  <w:b w:val="false"/>
                  <w:strike w:val="false"/>
                  <w:dstrike w:val="false"/>
                  <w:color w:val="000000"/>
                  <w:sz w:val="18"/>
                  <w:u w:val="none"/>
                  <w:effect w:val="none"/>
                </w:rPr>
                <w:t>Stockholder Communications with the Board of Directors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58">
              <w:r>
                <w:rPr>
                  <w:rStyle w:val="InternetLink"/>
                  <w:rFonts w:ascii="Arial;sans-serif" w:hAnsi="Arial;sans-serif"/>
                  <w:b w:val="false"/>
                  <w:strike w:val="false"/>
                  <w:dstrike w:val="false"/>
                  <w:color w:val="000000"/>
                  <w:sz w:val="18"/>
                  <w:u w:val="none"/>
                  <w:effect w:val="none"/>
                </w:rPr>
                <w:t>30</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4745a22ced2644e19764f281b17b55e8_61">
              <w:r>
                <w:rPr>
                  <w:rStyle w:val="InternetLink"/>
                  <w:rFonts w:ascii="Arial;sans-serif" w:hAnsi="Arial;sans-serif"/>
                  <w:b w:val="false"/>
                  <w:strike w:val="false"/>
                  <w:dstrike w:val="false"/>
                  <w:color w:val="000000"/>
                  <w:sz w:val="18"/>
                  <w:u w:val="none"/>
                  <w:effect w:val="none"/>
                </w:rPr>
                <w:t>Code of Ethics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61">
              <w:r>
                <w:rPr>
                  <w:rStyle w:val="InternetLink"/>
                  <w:rFonts w:ascii="Arial;sans-serif" w:hAnsi="Arial;sans-serif"/>
                  <w:b w:val="false"/>
                  <w:strike w:val="false"/>
                  <w:dstrike w:val="false"/>
                  <w:color w:val="000000"/>
                  <w:sz w:val="18"/>
                  <w:u w:val="none"/>
                  <w:effect w:val="none"/>
                </w:rPr>
                <w:t>31</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45a22ced2644e19764f281b17b55e8_64">
              <w:r>
                <w:rPr>
                  <w:rStyle w:val="InternetLink"/>
                  <w:rFonts w:ascii="Arial;sans-serif" w:hAnsi="Arial;sans-serif"/>
                  <w:b w:val="false"/>
                  <w:strike w:val="false"/>
                  <w:dstrike w:val="false"/>
                  <w:color w:val="000000"/>
                  <w:sz w:val="18"/>
                  <w:u w:val="none"/>
                  <w:effect w:val="none"/>
                </w:rPr>
                <w:t>Hedging Policy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64">
              <w:r>
                <w:rPr>
                  <w:rStyle w:val="InternetLink"/>
                  <w:rFonts w:ascii="Arial;sans-serif" w:hAnsi="Arial;sans-serif"/>
                  <w:b w:val="false"/>
                  <w:strike w:val="false"/>
                  <w:dstrike w:val="false"/>
                  <w:color w:val="000000"/>
                  <w:sz w:val="18"/>
                  <w:u w:val="none"/>
                  <w:effect w:val="none"/>
                </w:rPr>
                <w:t>31</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4745a22ced2644e19764f281b17b55e8_67">
              <w:r>
                <w:rPr>
                  <w:rStyle w:val="InternetLink"/>
                  <w:rFonts w:ascii="Arial;sans-serif" w:hAnsi="Arial;sans-serif"/>
                  <w:b w:val="false"/>
                  <w:strike w:val="false"/>
                  <w:dstrike w:val="false"/>
                  <w:color w:val="000000"/>
                  <w:sz w:val="18"/>
                  <w:u w:val="none"/>
                  <w:effect w:val="none"/>
                </w:rPr>
                <w:t>PROPOSAL 2 RATIFICATION OF SELECTION OF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67">
              <w:r>
                <w:rPr>
                  <w:rStyle w:val="InternetLink"/>
                  <w:rFonts w:ascii="Arial;sans-serif" w:hAnsi="Arial;sans-serif"/>
                  <w:b w:val="false"/>
                  <w:strike w:val="false"/>
                  <w:dstrike w:val="false"/>
                  <w:color w:val="000000"/>
                  <w:sz w:val="18"/>
                  <w:u w:val="none"/>
                  <w:effect w:val="none"/>
                </w:rPr>
                <w:t>32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pPr>
            <w:hyperlink w:anchor="i4745a22ced2644e19764f281b17b55e8_70">
              <w:r>
                <w:rPr>
                  <w:rStyle w:val="InternetLink"/>
                  <w:rFonts w:ascii="Arial;sans-serif" w:hAnsi="Arial;sans-serif"/>
                  <w:b w:val="false"/>
                  <w:strike w:val="false"/>
                  <w:dstrike w:val="false"/>
                  <w:color w:val="000000"/>
                  <w:sz w:val="18"/>
                  <w:u w:val="none"/>
                  <w:effect w:val="none"/>
                </w:rPr>
                <w:t>Fees and Services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70">
              <w:r>
                <w:rPr>
                  <w:rStyle w:val="InternetLink"/>
                  <w:rFonts w:ascii="Arial;sans-serif" w:hAnsi="Arial;sans-serif"/>
                  <w:b w:val="false"/>
                  <w:strike w:val="false"/>
                  <w:dstrike w:val="false"/>
                  <w:color w:val="000000"/>
                  <w:sz w:val="18"/>
                  <w:u w:val="none"/>
                  <w:effect w:val="none"/>
                </w:rPr>
                <w:t>32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4745a22ced2644e19764f281b17b55e8_73">
              <w:r>
                <w:rPr>
                  <w:rStyle w:val="InternetLink"/>
                  <w:rFonts w:ascii="Arial;sans-serif" w:hAnsi="Arial;sans-serif"/>
                  <w:b w:val="false"/>
                  <w:strike w:val="false"/>
                  <w:dstrike w:val="false"/>
                  <w:color w:val="000000"/>
                  <w:sz w:val="18"/>
                  <w:u w:val="none"/>
                  <w:effect w:val="none"/>
                </w:rPr>
                <w:t>Pre-Approval Policies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73">
              <w:r>
                <w:rPr>
                  <w:rStyle w:val="InternetLink"/>
                  <w:rFonts w:ascii="Arial;sans-serif" w:hAnsi="Arial;sans-serif"/>
                  <w:b w:val="false"/>
                  <w:strike w:val="false"/>
                  <w:dstrike w:val="false"/>
                  <w:color w:val="000000"/>
                  <w:sz w:val="18"/>
                  <w:u w:val="none"/>
                  <w:effect w:val="none"/>
                </w:rPr>
                <w:t>33</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i4745a22ced2644e19764f281b17b55e8_76">
              <w:r>
                <w:rPr>
                  <w:rStyle w:val="InternetLink"/>
                  <w:rFonts w:ascii="Arial;sans-serif" w:hAnsi="Arial;sans-serif"/>
                  <w:b w:val="false"/>
                  <w:strike w:val="false"/>
                  <w:dstrike w:val="false"/>
                  <w:color w:val="000000"/>
                  <w:sz w:val="18"/>
                  <w:u w:val="none"/>
                  <w:effect w:val="none"/>
                </w:rPr>
                <w:t>PROPOSAL 3 ADVISORY VOTE TO APPROVE THE NAMED EXECUTIVE OFFICER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76">
              <w:r>
                <w:rPr>
                  <w:rStyle w:val="InternetLink"/>
                  <w:rFonts w:ascii="Arial;sans-serif" w:hAnsi="Arial;sans-serif"/>
                  <w:b w:val="false"/>
                  <w:strike w:val="false"/>
                  <w:dstrike w:val="false"/>
                  <w:color w:val="000000"/>
                  <w:sz w:val="18"/>
                  <w:u w:val="none"/>
                  <w:effect w:val="none"/>
                </w:rPr>
                <w:t>34</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45a22ced2644e19764f281b17b55e8_79">
              <w:r>
                <w:rPr>
                  <w:rStyle w:val="InternetLink"/>
                  <w:rFonts w:ascii="Arial;sans-serif" w:hAnsi="Arial;sans-serif"/>
                  <w:b w:val="false"/>
                  <w:strike w:val="false"/>
                  <w:dstrike w:val="false"/>
                  <w:color w:val="000000"/>
                  <w:sz w:val="18"/>
                  <w:u w:val="none"/>
                  <w:effect w:val="none"/>
                </w:rPr>
                <w:t>Corporate Social Responsibility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79">
              <w:r>
                <w:rPr>
                  <w:rStyle w:val="InternetLink"/>
                  <w:rFonts w:ascii="Arial;sans-serif" w:hAnsi="Arial;sans-serif"/>
                  <w:b w:val="false"/>
                  <w:strike w:val="false"/>
                  <w:dstrike w:val="false"/>
                  <w:color w:val="000000"/>
                  <w:sz w:val="18"/>
                  <w:u w:val="none"/>
                  <w:effect w:val="none"/>
                </w:rPr>
                <w:t>35</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82">
              <w:r>
                <w:rPr>
                  <w:rStyle w:val="InternetLink"/>
                  <w:rFonts w:ascii="Arial;sans-serif" w:hAnsi="Arial;sans-serif"/>
                  <w:b w:val="false"/>
                  <w:strike w:val="false"/>
                  <w:dstrike w:val="false"/>
                  <w:color w:val="000000"/>
                  <w:sz w:val="18"/>
                  <w:u w:val="none"/>
                  <w:effect w:val="none"/>
                </w:rPr>
                <w:t>Executive Officers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82">
              <w:r>
                <w:rPr>
                  <w:rStyle w:val="InternetLink"/>
                  <w:rFonts w:ascii="Arial;sans-serif" w:hAnsi="Arial;sans-serif"/>
                  <w:b w:val="false"/>
                  <w:strike w:val="false"/>
                  <w:dstrike w:val="false"/>
                  <w:color w:val="000000"/>
                  <w:sz w:val="18"/>
                  <w:u w:val="none"/>
                  <w:effect w:val="none"/>
                </w:rPr>
                <w:t>40</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85">
              <w:r>
                <w:rPr>
                  <w:rStyle w:val="InternetLink"/>
                  <w:rFonts w:ascii="Arial;sans-serif" w:hAnsi="Arial;sans-serif"/>
                  <w:b w:val="false"/>
                  <w:strike w:val="false"/>
                  <w:dstrike w:val="false"/>
                  <w:color w:val="000000"/>
                  <w:sz w:val="18"/>
                  <w:u w:val="none"/>
                  <w:effect w:val="none"/>
                </w:rPr>
                <w:t>Security Ownership of Certain Beneficial Owners and Management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85">
              <w:r>
                <w:rPr>
                  <w:rStyle w:val="InternetLink"/>
                  <w:rFonts w:ascii="Arial;sans-serif" w:hAnsi="Arial;sans-serif"/>
                  <w:b w:val="false"/>
                  <w:strike w:val="false"/>
                  <w:dstrike w:val="false"/>
                  <w:color w:val="000000"/>
                  <w:sz w:val="18"/>
                  <w:u w:val="none"/>
                  <w:effect w:val="none"/>
                </w:rPr>
                <w:t>42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91">
              <w:r>
                <w:rPr>
                  <w:rStyle w:val="InternetLink"/>
                  <w:rFonts w:ascii="Arial;sans-serif" w:hAnsi="Arial;sans-serif"/>
                  <w:b w:val="false"/>
                  <w:strike w:val="false"/>
                  <w:dstrike w:val="false"/>
                  <w:color w:val="000000"/>
                  <w:sz w:val="18"/>
                  <w:u w:val="none"/>
                  <w:effect w:val="none"/>
                </w:rPr>
                <w:t>Executive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91">
              <w:r>
                <w:rPr>
                  <w:rStyle w:val="InternetLink"/>
                  <w:rFonts w:ascii="Arial;sans-serif" w:hAnsi="Arial;sans-serif"/>
                  <w:b w:val="false"/>
                  <w:strike w:val="false"/>
                  <w:dstrike w:val="false"/>
                  <w:color w:val="000000"/>
                  <w:sz w:val="18"/>
                  <w:u w:val="none"/>
                  <w:effect w:val="none"/>
                </w:rPr>
                <w:t>45</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97">
              <w:r>
                <w:rPr>
                  <w:rStyle w:val="InternetLink"/>
                  <w:rFonts w:ascii="Arial;sans-serif" w:hAnsi="Arial;sans-serif"/>
                  <w:b w:val="false"/>
                  <w:strike w:val="false"/>
                  <w:dstrike w:val="false"/>
                  <w:color w:val="000000"/>
                  <w:sz w:val="18"/>
                  <w:u w:val="none"/>
                  <w:effect w:val="none"/>
                </w:rPr>
                <w:t>Executive Summary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97">
              <w:r>
                <w:rPr>
                  <w:rStyle w:val="InternetLink"/>
                  <w:rFonts w:ascii="Arial;sans-serif" w:hAnsi="Arial;sans-serif"/>
                  <w:b w:val="false"/>
                  <w:strike w:val="false"/>
                  <w:dstrike w:val="false"/>
                  <w:color w:val="000000"/>
                  <w:sz w:val="18"/>
                  <w:u w:val="none"/>
                  <w:effect w:val="none"/>
                </w:rPr>
                <w:t>45</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00">
              <w:r>
                <w:rPr>
                  <w:rStyle w:val="InternetLink"/>
                  <w:rFonts w:ascii="Arial;sans-serif" w:hAnsi="Arial;sans-serif"/>
                  <w:b w:val="false"/>
                  <w:strike w:val="false"/>
                  <w:dstrike w:val="false"/>
                  <w:color w:val="000000"/>
                  <w:sz w:val="18"/>
                  <w:u w:val="none"/>
                  <w:effect w:val="none"/>
                </w:rPr>
                <w:t>Executive Compensation Philosophy and Objectives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00">
              <w:r>
                <w:rPr>
                  <w:rStyle w:val="InternetLink"/>
                  <w:rFonts w:ascii="Arial;sans-serif" w:hAnsi="Arial;sans-serif"/>
                  <w:b w:val="false"/>
                  <w:strike w:val="false"/>
                  <w:dstrike w:val="false"/>
                  <w:color w:val="000000"/>
                  <w:sz w:val="18"/>
                  <w:u w:val="none"/>
                  <w:effect w:val="none"/>
                </w:rPr>
                <w:t>48</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45a22ced2644e19764f281b17b55e8_103">
              <w:r>
                <w:rPr>
                  <w:rStyle w:val="InternetLink"/>
                  <w:rFonts w:ascii="Arial;sans-serif" w:hAnsi="Arial;sans-serif"/>
                  <w:b w:val="false"/>
                  <w:strike w:val="false"/>
                  <w:dstrike w:val="false"/>
                  <w:color w:val="000000"/>
                  <w:sz w:val="18"/>
                  <w:u w:val="none"/>
                  <w:effect w:val="none"/>
                </w:rPr>
                <w:t>Compensation Elements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03">
              <w:r>
                <w:rPr>
                  <w:rStyle w:val="InternetLink"/>
                  <w:rFonts w:ascii="Arial;sans-serif" w:hAnsi="Arial;sans-serif"/>
                  <w:b w:val="false"/>
                  <w:strike w:val="false"/>
                  <w:dstrike w:val="false"/>
                  <w:color w:val="000000"/>
                  <w:sz w:val="18"/>
                  <w:u w:val="none"/>
                  <w:effect w:val="none"/>
                </w:rPr>
                <w:t>50</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06">
              <w:r>
                <w:rPr>
                  <w:rStyle w:val="InternetLink"/>
                  <w:rFonts w:ascii="Arial;sans-serif" w:hAnsi="Arial;sans-serif"/>
                  <w:b w:val="false"/>
                  <w:strike w:val="false"/>
                  <w:dstrike w:val="false"/>
                  <w:color w:val="000000"/>
                  <w:sz w:val="18"/>
                  <w:u w:val="none"/>
                  <w:effect w:val="none"/>
                </w:rPr>
                <w:t>Compensation-Setting Process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06">
              <w:r>
                <w:rPr>
                  <w:rStyle w:val="InternetLink"/>
                  <w:rFonts w:ascii="Arial;sans-serif" w:hAnsi="Arial;sans-serif"/>
                  <w:b w:val="false"/>
                  <w:strike w:val="false"/>
                  <w:dstrike w:val="false"/>
                  <w:color w:val="000000"/>
                  <w:sz w:val="18"/>
                  <w:u w:val="none"/>
                  <w:effect w:val="none"/>
                </w:rPr>
                <w:t>59</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09">
              <w:r>
                <w:rPr>
                  <w:rStyle w:val="InternetLink"/>
                  <w:rFonts w:ascii="Arial;sans-serif" w:hAnsi="Arial;sans-serif"/>
                  <w:b w:val="false"/>
                  <w:strike w:val="false"/>
                  <w:dstrike w:val="false"/>
                  <w:color w:val="000000"/>
                  <w:sz w:val="18"/>
                  <w:u w:val="none"/>
                  <w:effect w:val="none"/>
                </w:rPr>
                <w:t>Employment Arrangements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09">
              <w:r>
                <w:rPr>
                  <w:rStyle w:val="InternetLink"/>
                  <w:rFonts w:ascii="Arial;sans-serif" w:hAnsi="Arial;sans-serif"/>
                  <w:b w:val="false"/>
                  <w:strike w:val="false"/>
                  <w:dstrike w:val="false"/>
                  <w:color w:val="000000"/>
                  <w:sz w:val="18"/>
                  <w:u w:val="none"/>
                  <w:effect w:val="none"/>
                </w:rPr>
                <w:t>61</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12">
              <w:r>
                <w:rPr>
                  <w:rStyle w:val="InternetLink"/>
                  <w:rFonts w:ascii="Arial;sans-serif" w:hAnsi="Arial;sans-serif"/>
                  <w:b w:val="false"/>
                  <w:strike w:val="false"/>
                  <w:dstrike w:val="false"/>
                  <w:color w:val="000000"/>
                  <w:sz w:val="18"/>
                  <w:u w:val="none"/>
                  <w:effect w:val="none"/>
                </w:rPr>
                <w:t>Post-Employment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12">
              <w:r>
                <w:rPr>
                  <w:rStyle w:val="InternetLink"/>
                  <w:rFonts w:ascii="Arial;sans-serif" w:hAnsi="Arial;sans-serif"/>
                  <w:b w:val="false"/>
                  <w:strike w:val="false"/>
                  <w:dstrike w:val="false"/>
                  <w:color w:val="000000"/>
                  <w:sz w:val="18"/>
                  <w:u w:val="none"/>
                  <w:effect w:val="none"/>
                </w:rPr>
                <w:t>62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ind w:left="0" w:right="0" w:hanging="990"/>
              <w:jc w:val="left"/>
              <w:rPr/>
            </w:pPr>
            <w:r>
              <w:rPr>
                <w:color w:val="000000"/>
              </w:rPr>
              <w:t> </w:t>
            </w:r>
            <w:hyperlink w:anchor="i4745a22ced2644e19764f281b17b55e8_115">
              <w:r>
                <w:rPr>
                  <w:rStyle w:val="InternetLink"/>
                  <w:rFonts w:ascii="Arial;sans-serif" w:hAnsi="Arial;sans-serif"/>
                  <w:b w:val="false"/>
                  <w:strike w:val="false"/>
                  <w:dstrike w:val="false"/>
                  <w:color w:val="000000"/>
                  <w:sz w:val="18"/>
                  <w:u w:val="none"/>
                  <w:effect w:val="none"/>
                </w:rPr>
                <w:t>Other Compensation Policies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15">
              <w:r>
                <w:rPr>
                  <w:rStyle w:val="InternetLink"/>
                  <w:rFonts w:ascii="Arial;sans-serif" w:hAnsi="Arial;sans-serif"/>
                  <w:b w:val="false"/>
                  <w:strike w:val="false"/>
                  <w:dstrike w:val="false"/>
                  <w:color w:val="000000"/>
                  <w:sz w:val="18"/>
                  <w:u w:val="none"/>
                  <w:effect w:val="none"/>
                </w:rPr>
                <w:t>62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ind w:left="0" w:right="0" w:hanging="990"/>
              <w:jc w:val="left"/>
              <w:rPr/>
            </w:pPr>
            <w:r>
              <w:rPr>
                <w:color w:val="000000"/>
              </w:rPr>
              <w:t> </w:t>
            </w:r>
            <w:hyperlink w:anchor="i4745a22ced2644e19764f281b17b55e8_118">
              <w:r>
                <w:rPr>
                  <w:rStyle w:val="InternetLink"/>
                  <w:rFonts w:ascii="Arial;sans-serif" w:hAnsi="Arial;sans-serif"/>
                  <w:b w:val="false"/>
                  <w:strike w:val="false"/>
                  <w:dstrike w:val="false"/>
                  <w:color w:val="000000"/>
                  <w:sz w:val="18"/>
                  <w:u w:val="none"/>
                  <w:effect w:val="none"/>
                </w:rPr>
                <w:t>Tax and Accounting Considerations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18">
              <w:r>
                <w:rPr>
                  <w:rStyle w:val="InternetLink"/>
                  <w:rFonts w:ascii="Arial;sans-serif" w:hAnsi="Arial;sans-serif"/>
                  <w:b w:val="false"/>
                  <w:strike w:val="false"/>
                  <w:dstrike w:val="false"/>
                  <w:color w:val="000000"/>
                  <w:sz w:val="18"/>
                  <w:u w:val="none"/>
                  <w:effect w:val="none"/>
                </w:rPr>
                <w:t>63</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21">
              <w:r>
                <w:rPr>
                  <w:rStyle w:val="InternetLink"/>
                  <w:rFonts w:ascii="Arial;sans-serif" w:hAnsi="Arial;sans-serif"/>
                  <w:b w:val="false"/>
                  <w:strike w:val="false"/>
                  <w:dstrike w:val="false"/>
                  <w:color w:val="000000"/>
                  <w:sz w:val="18"/>
                  <w:u w:val="none"/>
                  <w:effect w:val="none"/>
                </w:rPr>
                <w:t>Summary Compensation Table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21">
              <w:r>
                <w:rPr>
                  <w:rStyle w:val="InternetLink"/>
                  <w:rFonts w:ascii="Arial;sans-serif" w:hAnsi="Arial;sans-serif"/>
                  <w:b w:val="false"/>
                  <w:strike w:val="false"/>
                  <w:dstrike w:val="false"/>
                  <w:color w:val="000000"/>
                  <w:sz w:val="18"/>
                  <w:u w:val="none"/>
                  <w:effect w:val="none"/>
                </w:rPr>
                <w:t>64</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24">
              <w:r>
                <w:rPr>
                  <w:rStyle w:val="InternetLink"/>
                  <w:rFonts w:ascii="Arial;sans-serif" w:hAnsi="Arial;sans-serif"/>
                  <w:b w:val="false"/>
                  <w:strike w:val="false"/>
                  <w:dstrike w:val="false"/>
                  <w:color w:val="000000"/>
                  <w:sz w:val="18"/>
                  <w:u w:val="none"/>
                  <w:effect w:val="none"/>
                </w:rPr>
                <w:t>Grants of Plan-Based Awards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24">
              <w:r>
                <w:rPr>
                  <w:rStyle w:val="InternetLink"/>
                  <w:rFonts w:ascii="Arial;sans-serif" w:hAnsi="Arial;sans-serif"/>
                  <w:b w:val="false"/>
                  <w:strike w:val="false"/>
                  <w:dstrike w:val="false"/>
                  <w:color w:val="000000"/>
                  <w:sz w:val="18"/>
                  <w:u w:val="none"/>
                  <w:effect w:val="none"/>
                </w:rPr>
                <w:t>65</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27">
              <w:r>
                <w:rPr>
                  <w:rStyle w:val="InternetLink"/>
                  <w:rFonts w:ascii="Arial;sans-serif" w:hAnsi="Arial;sans-serif"/>
                  <w:b w:val="false"/>
                  <w:strike w:val="false"/>
                  <w:dstrike w:val="false"/>
                  <w:color w:val="000000"/>
                  <w:sz w:val="18"/>
                  <w:u w:val="none"/>
                  <w:effect w:val="none"/>
                </w:rPr>
                <w:t>Outstanding Equity Awards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27">
              <w:r>
                <w:rPr>
                  <w:rStyle w:val="InternetLink"/>
                  <w:rFonts w:ascii="Arial;sans-serif" w:hAnsi="Arial;sans-serif"/>
                  <w:b w:val="false"/>
                  <w:strike w:val="false"/>
                  <w:dstrike w:val="false"/>
                  <w:color w:val="000000"/>
                  <w:sz w:val="18"/>
                  <w:u w:val="none"/>
                  <w:effect w:val="none"/>
                </w:rPr>
                <w:t>66</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30">
              <w:r>
                <w:rPr>
                  <w:rStyle w:val="InternetLink"/>
                  <w:rFonts w:ascii="Arial;sans-serif" w:hAnsi="Arial;sans-serif"/>
                  <w:b w:val="false"/>
                  <w:strike w:val="false"/>
                  <w:dstrike w:val="false"/>
                  <w:color w:val="000000"/>
                  <w:sz w:val="18"/>
                  <w:u w:val="none"/>
                  <w:effect w:val="none"/>
                </w:rPr>
                <w:t>Options Exercised and Stock Vested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30">
              <w:r>
                <w:rPr>
                  <w:rStyle w:val="InternetLink"/>
                  <w:rFonts w:ascii="Arial;sans-serif" w:hAnsi="Arial;sans-serif"/>
                  <w:b w:val="false"/>
                  <w:strike w:val="false"/>
                  <w:dstrike w:val="false"/>
                  <w:color w:val="000000"/>
                  <w:sz w:val="18"/>
                  <w:u w:val="none"/>
                  <w:effect w:val="none"/>
                </w:rPr>
                <w:t>67</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33">
              <w:r>
                <w:rPr>
                  <w:rStyle w:val="InternetLink"/>
                  <w:rFonts w:ascii="Arial;sans-serif" w:hAnsi="Arial;sans-serif"/>
                  <w:b w:val="false"/>
                  <w:strike w:val="false"/>
                  <w:dstrike w:val="false"/>
                  <w:color w:val="000000"/>
                  <w:sz w:val="18"/>
                  <w:u w:val="none"/>
                  <w:effect w:val="none"/>
                </w:rPr>
                <w:t>Employment Agreements with Our Named Executive Officers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33">
              <w:r>
                <w:rPr>
                  <w:rStyle w:val="InternetLink"/>
                  <w:rFonts w:ascii="Arial;sans-serif" w:hAnsi="Arial;sans-serif"/>
                  <w:b w:val="false"/>
                  <w:strike w:val="false"/>
                  <w:dstrike w:val="false"/>
                  <w:color w:val="000000"/>
                  <w:sz w:val="18"/>
                  <w:u w:val="none"/>
                  <w:effect w:val="none"/>
                </w:rPr>
                <w:t>68</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36">
              <w:r>
                <w:rPr>
                  <w:rStyle w:val="InternetLink"/>
                  <w:rFonts w:ascii="Arial;sans-serif" w:hAnsi="Arial;sans-serif"/>
                  <w:b w:val="false"/>
                  <w:strike w:val="false"/>
                  <w:dstrike w:val="false"/>
                  <w:color w:val="000000"/>
                  <w:sz w:val="18"/>
                  <w:u w:val="none"/>
                  <w:effect w:val="none"/>
                </w:rPr>
                <w:t>Potential Payments Upon Termination or Change in Control</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36">
              <w:r>
                <w:rPr>
                  <w:rStyle w:val="InternetLink"/>
                  <w:rFonts w:ascii="Arial;sans-serif" w:hAnsi="Arial;sans-serif"/>
                  <w:b w:val="false"/>
                  <w:strike w:val="false"/>
                  <w:dstrike w:val="false"/>
                  <w:color w:val="000000"/>
                  <w:sz w:val="18"/>
                  <w:u w:val="none"/>
                  <w:effect w:val="none"/>
                </w:rPr>
                <w:t>69</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45a22ced2644e19764f281b17b55e8_139">
              <w:r>
                <w:rPr>
                  <w:rStyle w:val="InternetLink"/>
                  <w:rFonts w:ascii="Arial;sans-serif" w:hAnsi="Arial;sans-serif"/>
                  <w:b w:val="false"/>
                  <w:strike w:val="false"/>
                  <w:dstrike w:val="false"/>
                  <w:color w:val="000000"/>
                  <w:sz w:val="18"/>
                  <w:u w:val="none"/>
                  <w:effect w:val="none"/>
                </w:rPr>
                <w:t>CEO Pay Ratio</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39">
              <w:r>
                <w:rPr>
                  <w:rStyle w:val="InternetLink"/>
                  <w:rFonts w:ascii="Arial;sans-serif" w:hAnsi="Arial;sans-serif"/>
                  <w:b w:val="false"/>
                  <w:strike w:val="false"/>
                  <w:dstrike w:val="false"/>
                  <w:color w:val="000000"/>
                  <w:sz w:val="18"/>
                  <w:u w:val="none"/>
                  <w:effect w:val="none"/>
                </w:rPr>
                <w:t>70</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45a22ced2644e19764f281b17b55e8_142">
              <w:r>
                <w:rPr>
                  <w:rStyle w:val="InternetLink"/>
                  <w:rFonts w:ascii="Arial;sans-serif" w:hAnsi="Arial;sans-serif"/>
                  <w:b w:val="false"/>
                  <w:strike w:val="false"/>
                  <w:dstrike w:val="false"/>
                  <w:color w:val="000000"/>
                  <w:sz w:val="18"/>
                  <w:u w:val="none"/>
                  <w:effect w:val="none"/>
                </w:rPr>
                <w:t>Pay versus Performance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42">
              <w:r>
                <w:rPr>
                  <w:rStyle w:val="InternetLink"/>
                  <w:rFonts w:ascii="Arial;sans-serif" w:hAnsi="Arial;sans-serif"/>
                  <w:b w:val="false"/>
                  <w:strike w:val="false"/>
                  <w:dstrike w:val="false"/>
                  <w:color w:val="000000"/>
                  <w:sz w:val="18"/>
                  <w:u w:val="none"/>
                  <w:effect w:val="none"/>
                </w:rPr>
                <w:t>72</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148">
              <w:r>
                <w:rPr>
                  <w:rStyle w:val="InternetLink"/>
                  <w:rFonts w:ascii="Arial;sans-serif" w:hAnsi="Arial;sans-serif"/>
                  <w:b w:val="false"/>
                  <w:strike w:val="false"/>
                  <w:dstrike w:val="false"/>
                  <w:color w:val="000000"/>
                  <w:sz w:val="18"/>
                  <w:u w:val="none"/>
                  <w:effect w:val="none"/>
                </w:rPr>
                <w:t>Director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48">
              <w:r>
                <w:rPr>
                  <w:rStyle w:val="InternetLink"/>
                  <w:rFonts w:ascii="Arial;sans-serif" w:hAnsi="Arial;sans-serif"/>
                  <w:b w:val="false"/>
                  <w:strike w:val="false"/>
                  <w:dstrike w:val="false"/>
                  <w:color w:val="000000"/>
                  <w:sz w:val="18"/>
                  <w:u w:val="none"/>
                  <w:effect w:val="none"/>
                </w:rPr>
                <w:t>76</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151">
              <w:r>
                <w:rPr>
                  <w:rStyle w:val="InternetLink"/>
                  <w:rFonts w:ascii="Arial;sans-serif" w:hAnsi="Arial;sans-serif"/>
                  <w:b w:val="false"/>
                  <w:strike w:val="false"/>
                  <w:dstrike w:val="false"/>
                  <w:color w:val="000000"/>
                  <w:sz w:val="18"/>
                  <w:u w:val="none"/>
                  <w:effect w:val="none"/>
                </w:rPr>
                <w:t>Securities Authorized for Issuance Under Equity Compensation Plans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51">
              <w:r>
                <w:rPr>
                  <w:rStyle w:val="InternetLink"/>
                  <w:rFonts w:ascii="Arial;sans-serif" w:hAnsi="Arial;sans-serif"/>
                  <w:b w:val="false"/>
                  <w:strike w:val="false"/>
                  <w:dstrike w:val="false"/>
                  <w:color w:val="000000"/>
                  <w:sz w:val="18"/>
                  <w:u w:val="none"/>
                  <w:effect w:val="none"/>
                </w:rPr>
                <w:t>78</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154">
              <w:r>
                <w:rPr>
                  <w:rStyle w:val="InternetLink"/>
                  <w:rFonts w:ascii="Arial;sans-serif" w:hAnsi="Arial;sans-serif"/>
                  <w:b w:val="false"/>
                  <w:strike w:val="false"/>
                  <w:dstrike w:val="false"/>
                  <w:color w:val="000000"/>
                  <w:sz w:val="18"/>
                  <w:u w:val="none"/>
                  <w:effect w:val="none"/>
                </w:rPr>
                <w:t>Transactions With Related Persons and Indemnification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54">
              <w:r>
                <w:rPr>
                  <w:rStyle w:val="InternetLink"/>
                  <w:rFonts w:ascii="Arial;sans-serif" w:hAnsi="Arial;sans-serif"/>
                  <w:b w:val="false"/>
                  <w:strike w:val="false"/>
                  <w:dstrike w:val="false"/>
                  <w:color w:val="000000"/>
                  <w:sz w:val="18"/>
                  <w:u w:val="none"/>
                  <w:effect w:val="none"/>
                </w:rPr>
                <w:t>79</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57">
              <w:r>
                <w:rPr>
                  <w:rStyle w:val="InternetLink"/>
                  <w:rFonts w:ascii="Arial;sans-serif" w:hAnsi="Arial;sans-serif"/>
                  <w:b w:val="false"/>
                  <w:strike w:val="false"/>
                  <w:dstrike w:val="false"/>
                  <w:color w:val="000000"/>
                  <w:sz w:val="18"/>
                  <w:u w:val="none"/>
                  <w:effect w:val="none"/>
                </w:rPr>
                <w:t>Related-Person Transactions Policy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57">
              <w:r>
                <w:rPr>
                  <w:rStyle w:val="InternetLink"/>
                  <w:rFonts w:ascii="Arial;sans-serif" w:hAnsi="Arial;sans-serif"/>
                  <w:b w:val="false"/>
                  <w:strike w:val="false"/>
                  <w:dstrike w:val="false"/>
                  <w:color w:val="000000"/>
                  <w:sz w:val="18"/>
                  <w:u w:val="none"/>
                  <w:effect w:val="none"/>
                </w:rPr>
                <w:t>79</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60">
              <w:r>
                <w:rPr>
                  <w:rStyle w:val="InternetLink"/>
                  <w:rFonts w:ascii="Arial;sans-serif" w:hAnsi="Arial;sans-serif"/>
                  <w:b w:val="false"/>
                  <w:strike w:val="false"/>
                  <w:dstrike w:val="false"/>
                  <w:color w:val="000000"/>
                  <w:sz w:val="18"/>
                  <w:u w:val="none"/>
                  <w:effect w:val="none"/>
                </w:rPr>
                <w:t>Certain Related Person Transactions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60">
              <w:r>
                <w:rPr>
                  <w:rStyle w:val="InternetLink"/>
                  <w:rFonts w:ascii="Arial;sans-serif" w:hAnsi="Arial;sans-serif"/>
                  <w:b w:val="false"/>
                  <w:strike w:val="false"/>
                  <w:dstrike w:val="false"/>
                  <w:color w:val="000000"/>
                  <w:sz w:val="18"/>
                  <w:u w:val="none"/>
                  <w:effect w:val="none"/>
                </w:rPr>
                <w:t>79</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45"/>
              <w:jc w:val="left"/>
              <w:rPr/>
            </w:pPr>
            <w:hyperlink w:anchor="i4745a22ced2644e19764f281b17b55e8_163">
              <w:r>
                <w:rPr>
                  <w:rStyle w:val="InternetLink"/>
                  <w:rFonts w:ascii="Arial;sans-serif" w:hAnsi="Arial;sans-serif"/>
                  <w:b w:val="false"/>
                  <w:strike w:val="false"/>
                  <w:dstrike w:val="false"/>
                  <w:color w:val="000000"/>
                  <w:sz w:val="18"/>
                  <w:u w:val="none"/>
                  <w:effect w:val="none"/>
                </w:rPr>
                <w:t>Indemnification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63">
              <w:r>
                <w:rPr>
                  <w:rStyle w:val="InternetLink"/>
                  <w:rFonts w:ascii="Arial;sans-serif" w:hAnsi="Arial;sans-serif"/>
                  <w:b w:val="false"/>
                  <w:strike w:val="false"/>
                  <w:dstrike w:val="false"/>
                  <w:color w:val="000000"/>
                  <w:sz w:val="18"/>
                  <w:u w:val="none"/>
                  <w:effect w:val="none"/>
                </w:rPr>
                <w:t>80</w:t>
              </w:r>
            </w:hyperlink>
          </w:p>
        </w:tc>
      </w:tr>
      <w:tr>
        <w:trPr/>
        <w:tc>
          <w:tcPr>
            <w:tcW w:w="9179"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166">
              <w:r>
                <w:rPr>
                  <w:rStyle w:val="InternetLink"/>
                  <w:rFonts w:ascii="Arial;sans-serif" w:hAnsi="Arial;sans-serif"/>
                  <w:b w:val="false"/>
                  <w:strike w:val="false"/>
                  <w:dstrike w:val="false"/>
                  <w:color w:val="000000"/>
                  <w:sz w:val="18"/>
                  <w:u w:val="none"/>
                  <w:effect w:val="none"/>
                </w:rPr>
                <w:t>Householding of Proxy Materials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66">
              <w:r>
                <w:rPr>
                  <w:rStyle w:val="InternetLink"/>
                  <w:rFonts w:ascii="Arial;sans-serif" w:hAnsi="Arial;sans-serif"/>
                  <w:b w:val="false"/>
                  <w:strike w:val="false"/>
                  <w:dstrike w:val="false"/>
                  <w:color w:val="000000"/>
                  <w:sz w:val="18"/>
                  <w:u w:val="none"/>
                  <w:effect w:val="none"/>
                </w:rPr>
                <w:t>81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2"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240"/>
        <w:jc w:val="left"/>
        <w:rPr/>
      </w:pPr>
      <w:r>
        <w:rPr/>
      </w:r>
    </w:p>
    <w:tbl>
      <w:tblPr>
        <w:tblW w:w="4526" w:type="dxa"/>
        <w:jc w:val="center"/>
        <w:tblInd w:w="0" w:type="dxa"/>
        <w:tblLayout w:type="fixed"/>
        <w:tblCellMar>
          <w:top w:w="28" w:type="dxa"/>
          <w:left w:w="28" w:type="dxa"/>
          <w:bottom w:w="28" w:type="dxa"/>
          <w:right w:w="28" w:type="dxa"/>
        </w:tblCellMar>
      </w:tblPr>
      <w:tblGrid>
        <w:gridCol w:w="1506"/>
        <w:gridCol w:w="1324"/>
        <w:gridCol w:w="1324"/>
        <w:gridCol w:w="109"/>
        <w:gridCol w:w="109"/>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169">
              <w:r>
                <w:rPr>
                  <w:rStyle w:val="InternetLink"/>
                  <w:rFonts w:ascii="Arial;sans-serif" w:hAnsi="Arial;sans-serif"/>
                  <w:b w:val="false"/>
                  <w:strike w:val="false"/>
                  <w:dstrike w:val="false"/>
                  <w:color w:val="000000"/>
                  <w:sz w:val="18"/>
                  <w:u w:val="none"/>
                  <w:effect w:val="non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69">
              <w:r>
                <w:rPr>
                  <w:rStyle w:val="InternetLink"/>
                  <w:rFonts w:ascii="Arial;sans-serif" w:hAnsi="Arial;sans-serif"/>
                  <w:b w:val="false"/>
                  <w:strike w:val="false"/>
                  <w:dstrike w:val="false"/>
                  <w:color w:val="000000"/>
                  <w:sz w:val="18"/>
                  <w:u w:val="none"/>
                  <w:effect w:val="none"/>
                </w:rPr>
                <w:t>82</w:t>
              </w:r>
            </w:hyperlink>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720"/>
              <w:jc w:val="left"/>
              <w:rPr/>
            </w:pPr>
            <w:hyperlink w:anchor="i4745a22ced2644e19764f281b17b55e8_172">
              <w:r>
                <w:rPr>
                  <w:rStyle w:val="InternetLink"/>
                  <w:rFonts w:ascii="Arial;sans-serif" w:hAnsi="Arial;sans-serif"/>
                  <w:b w:val="false"/>
                  <w:strike w:val="false"/>
                  <w:dstrike w:val="false"/>
                  <w:color w:val="000000"/>
                  <w:sz w:val="18"/>
                  <w:u w:val="none"/>
                  <w:effect w:val="none"/>
                </w:rPr>
                <w:t>Appendix: Reconciliation of Non-GAAP Measures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45a22ced2644e19764f281b17b55e8_172">
              <w:r>
                <w:rPr>
                  <w:rStyle w:val="InternetLink"/>
                  <w:rFonts w:ascii="Arial;sans-serif" w:hAnsi="Arial;sans-serif"/>
                  <w:b w:val="false"/>
                  <w:strike w:val="false"/>
                  <w:dstrike w:val="false"/>
                  <w:color w:val="000000"/>
                  <w:sz w:val="18"/>
                  <w:u w:val="none"/>
                  <w:effect w:val="none"/>
                </w:rPr>
                <w:t>83</w:t>
              </w:r>
            </w:hyperlink>
          </w:p>
        </w:tc>
      </w:tr>
    </w:tbl>
    <w:p>
      <w:pPr>
        <w:pStyle w:val="TextBody"/>
        <w:bidi w:val="0"/>
        <w:spacing w:before="0" w:after="20"/>
        <w:jc w:val="center"/>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This proxy statement contains forward-looking statements within the meaning of Section 27A of the Securities Act of 1933, as amended, and Section 21E of the Securities Exchange Act of 1934, as amended. All statements regarding performance, events, developments or achievements that we expect or anticipate will occur in the future, including statements expressing our general views about future operating results and our corporate social responsibility and diversity and inclusion progress, plans and goals, are forward-looking statements. The inclusion of environmental, diversity and social-related statements is not an indication that these are material to investors or required to be disclosed in our filings with the SEC. In addition, such statements may be based on standards for measuring progress that are still developing, processes that continue to evolve and assumptions that are subject to change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Forward-looking statements are subject to certain risks and uncertainties that could cause our actual results to differ materially from historical experience and our present expectations or projections. These risks and uncertainties include, but are not limited to, those described in Item 1A, Risk Factors, in our Annual Report on Form 10-K for the year ended December 31, 2023 and those set forth in our future filings with the SEC. We disclaim and do not undertake any obligation to update, revise, or withdraw any forward-looking statements, whether as a result of new information, future events, or otherwise, except as required by applicable law or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3"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To Our Stockholders,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manage our company on the simple, powerful principle that what we do matters to the world. In a year where artificial intelligence took center stage and geopolitical tensions dominated the headlines and disrupted supply chains, our mission to help organizations understand and reduce cyber risk has never been more critical. The communities where we live, the government agencies on which we rely and the enterprises that power the global economy all depend on cybersecurity. And they are increasingly turning to Tenable to understand where they are exposed and how to reduce risk. This is a pivotal time and Tenable is at the center of it.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stakeholders – customers, partners, employees and investors – drive our every decision. Complex times call for radical simplicity and in 2023 we seized an opportunity to help more organizations consolidate multiple use cases and products on a single, unified platform. Today, Tenable One, our Exposure Management platform, is helping over a thousand customers protect their most vulnerable and crucial assets. We’re adding critical asset coverage to the platform, integrating cloud and operational technology ("OT") security, bringing even more context and actionable insights. We’re innovating in cloud security, cutting through the complexity so security teams can quickly identify elusive problems and remediate them fast. We are helping our customers make better, faster and more informed business decisions based on cyber risk.</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our customers and partners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helps organizations understand and reduce risk and we believe we do it better than anyone. Given our focus on operationalizing preventative security, our solutions constitute a strategic advantage in a world where regulators are increasingly requiring disclosures on board oversight and management’s role in assessing and managing material risks from cybersecurity threats. That’s why approximately 44,000 customers rely on us to stay ahead of bad actors. Together with our global network of partners, we are uniquely positioned to help customers see and understand their continuously expanding attack surface, from the cloud to the network and everywhere in between. For example, Tenable Cloud Security, our cloud-native application protection platform (CNAPP) technology, delivers unparalleled insights into identities and access and is integrated into Tenable One. Tenable One is also the first and only exposure management platform that provides holistic visibility into assets across IT and OT environments, a key differentiator as CISOs are increasingly accountable for securing both.</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our employees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Tenable’s employees fuel our ambition and cement our reputation as a trusted cybersecurity innovator. We have worked diligently to build the company into a career destination – the kind of place where passionate high achievers can do their best work, feel supported and know that they are truly making a difference. We’re giving our people the tools and investments they need – tuition reimbursement, mentorship programs, advanced certification options and more – so they can level up their skills and focus on solving some of the thorniest cybersecurity challenges. We continue to invest in superb total rewards packages, with equity grants, generous time off, an employee stock purchase plan, volunteer days and more. In 2024, we introduced a full-service mental health benefit for employees and their families, with free therapy, coaching and work-life services. We believe that every investment in our people comes back to us many times over. We will continue to innovate in this space, developing and supporting our people so they can focus on delivering results that exceed expectations.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4"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Over the years, we have built trusted and candid relationships with our stockholders. We continuously reach-out, engage and solicit feedback from our investors on a myriad of topics because understanding what is top of mind from our investors and how we are perceived by the financial community is important to us. In 2023, we met with a majority of our top 25 active investors, as well as over 100 firms in total, an achievement that puts us well above average for midcap companies in investor engagement. In those conversations, we heard from a number of investors that they value Tenable for our balanced-growth approach and competitive position. In 2023, we delivered: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of $873.3 million, a 12%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operating margin of 15%, a 500 basis point improvement year-over-year*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Unlevered free cash flow of $175.4 million, a 37% increase year-over-year*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our results in 2023 reflect our ability to balance growth with profitability. We will continue to invest to take and win share which will position us well for long-term success. And, as we scale the business, we will continue to work closely with these critical stakeholders.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commitment to corporate social responsibility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care deeply about the places where we live and work. That responsibility begins with environmental stewardship. Our energy consumption and usage within data centers is an important component of the day-to-day operations of our business which is why Tenable outsources its data center needs primarily to Amazon Web Services ("AWS"). AWS, in addition to carefully choosing data center locations to mitigate environmental risk, has a long-term commitment to use 100% renewable energy. We continue to track our scope 1 and scope 2 emissions and have begun a process to identify and track scope 3 emissions. As ever, our employees are our most critical catalysts for change. Our Green Initiatives group shares best practices for an environmentally conscious lifestyle, builds global support for initiatives within Tenable and leads campaigns, such as trash clean-ups, sustainable lifestyle pledges and tree-planting initiatives.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hold ourselves accountable for increasing representation in our workforce of historically underrepresented communities, cultivating a more inclusive culture and engaging more impactfully in the global communities that surround us. We believe that the greater diversity of our employees, partners and customers leads to a greater diversity of ideas and creativity as well as better performance.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conclusion, we are pleased with our performance in 2023. We continued to execute on our roadmap, expanding our market leadership in exposure management and scaling our business by capturing large market opportunities in cloud security. We look forward to continuing to build on this great foundation.</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60"/>
        <w:jc w:val="left"/>
        <w:rPr/>
      </w:pPr>
      <w:r>
        <w:rPr/>
        <w:drawing>
          <wp:inline distT="0" distB="0" distL="0" distR="0">
            <wp:extent cx="952500" cy="29527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952500" cy="295275"/>
                    </a:xfrm>
                    <a:prstGeom prst="rect">
                      <a:avLst/>
                    </a:prstGeom>
                  </pic:spPr>
                </pic:pic>
              </a:graphicData>
            </a:graphic>
          </wp:inline>
        </w:drawing>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Amit Yoran</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Chairman &amp; CEO</w:t>
      </w:r>
    </w:p>
    <w:p>
      <w:pPr>
        <w:pStyle w:val="TextBody"/>
        <w:bidi w:val="0"/>
        <w:spacing w:before="0" w:after="60"/>
        <w:jc w:val="left"/>
        <w:rPr/>
      </w:pPr>
      <w:r>
        <w:rPr/>
      </w:r>
    </w:p>
    <w:p>
      <w:pPr>
        <w:pStyle w:val="TextBody"/>
        <w:bidi w:val="0"/>
        <w:spacing w:lineRule="auto" w:line="288" w:before="0" w:after="60"/>
        <w:jc w:val="left"/>
        <w:rPr/>
      </w:pPr>
      <w:r>
        <w:rPr>
          <w:rFonts w:ascii="Arial;sans-serif" w:hAnsi="Arial;sans-serif"/>
          <w:b w:val="false"/>
          <w:color w:val="000000"/>
          <w:sz w:val="16"/>
        </w:rPr>
        <w:t>*Refer to the Appendix for reconciliations of these non-GAAP measures to comparable GAAP measures</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6"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Business Overview - 2023 Highlights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a leading provider of exposure management solutions. Exposure management is an effective discipline for measuring, comparing and reducing cybersecurity risk in today's complex environments, spanning cloud resources, IT, OT and IoT assets, and more.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order to be effective, an exposure management platform must extend beyond traditional vulnerability management, which concentrates on the discovery and remediation of publicly disclosed Common Vulnerabilities and Exposures. The platform must include information about configuration issues, vulnerabilities and attack paths across a spectrum of assets and technologies — including cloud configurations and deployments; identity solutions, such as Active Directory; and web applications.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2023 business and financial highlights were as follows: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Launched new AI-fueled identity security into our Exposure Management Platform.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Unveiled new OT security functionality to provide broader protection for operational technology, critical infrastructure and industrial control systems and to make it easier to secure and maintain governance of the entire attack surface.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Acquired Ermetic, Ltd. ("Ermetic"), an integrated cloud-native application protection platform (CNAPP) company with industry leading cloud infrastructure entitlement management (CIEM), to deliver market-leading contextual risk visibility, prioritization and remediation across infrastructure and identities, for total consideration of $243.8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Received numerous awards and distinctions including recognition as a "Leader" in both the GigaOm Radar for Operational Technology (OT) Security and “The Forrester Wave™: Vulnerability Risk Management," and named Best Security Company and Best Risk/Policy Management Solution of the Year (for Tenable One) in the 2023 SC Awards.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Recognized globally as a premier employer of choice.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Announced that our Board of Directors approved the repurchase of up to an aggregate of $100 million of our common stock.</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was $798.7 million, a 17%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was $873.3 million, a 12%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loss from operations was $52.2 million, compared to $67.8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Non-GAAP income from operations was $121.0 million, compared to $67.7 million in 2022.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was $78.3 million, compared to $92.2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per share was $0.68, compared to $0.83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was $97.2 million, compared to $44.3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was $0.80, compared to $0.38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Cash and cash equivalents and short-term investments were $474.0 million at December 31, 2023, compared to $567.4 million at December 31,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cash provided by operating activities was $149.9 million, compared to $131.2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Unlevered free cash flow was $175.4 million, compared to $128.1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Repurchased 0.4 million shares of our common stock for $14.9 million.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Refer to the Appendix for reconciliations of non-GAAP measures to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7"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center"/>
        <w:rPr/>
      </w:pPr>
      <w:r>
        <w:rPr>
          <w:rFonts w:ascii="Arial;sans-serif" w:hAnsi="Arial;sans-serif"/>
          <w:b/>
          <w:color w:val="000000"/>
          <w:sz w:val="20"/>
        </w:rPr>
        <w:t>TENABLE HOLDINGS, INC</w:t>
      </w:r>
      <w:r>
        <w:rPr>
          <w:rFonts w:ascii="Arial;sans-serif" w:hAnsi="Arial;sans-serif"/>
          <w:b/>
          <w:color w:val="800080"/>
          <w:sz w:val="20"/>
        </w:rPr>
        <w:t>.</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6100 Merriweather Drive, 12th Floor</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Columbia, Maryland 21044</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PROXY STATEMENT</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FOR THE 2024 ANNUAL MEETING OF STOCKHOLDERS</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 xml:space="preserve">May 22, 2024 </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QUESTIONS AND ANSWERS ABOUT THESE PROXY MATERIALS AND VOTING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Why did I receive a notice regarding the availability of proxy materials on the Internet?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Directors" or the "Board") of Tenable Holdings, Inc. (sometimes referred to as the “Company” or “Tenable”) is soliciting your proxy to vote at the 2024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intend to mail the Notice on or about April 11, 2024 to all stockholders of record entitled to vote at the Annual Meeting.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Will I receive any other proxy materials by mail?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may, at our discretion, elect to send you a proxy card. We may also send you a second Notice on or after April 24, 2024.</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do I attend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Annual Meeting will be a virtual stockholder meeting through which you can listen to the meeting and vote online. The Annual Meeting can be accessed by visiting https://www.proxydocs.com/TENB and entering your control number which is included in the proxy materials mailed to you. Upon completing your registration, you will receive further instructions via email, including a unique link that will allow you access to the Annual Meeting. We recommend that you log in a few minutes before the Annual Meeting to ensure that you are logged in when the meeting starts. Online check-in will begin at approximately 12:45 p.m. Eastern Time. Information on how to vote online during the Annual Meeting is discussed below.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Stockholders attending the virtual meeting will be afforded the same rights and opportunities to participate as they would at an in-person meeting, however any questions will need to be submitted in advance of the meeting. In accordance with the rules of conduct, we ask that you limit your submission to one brief question or comment prior to the meeting that is relevant to the Annual Meeting or our business and that such remarks are respectful of your fellow stockholders and meeting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18"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Who can vote at the Annual Meeting?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Only stockholders of record at the close of business on March 28, 2024 (the "Record Date") will be entitled to vote at the Annual Meeting. On the Record Date, there were 118,743,082 shares of the Company's common stock outstanding and entitled to vote.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on March 28, 2024 your shares were registered directly in your name with Tenable’s transfer agent, Equiniti Trust Company, LLC (formerly American Stock Transfer &amp; Trust Company, LLC), then you are a stockholder of record with respect to those shares and the Notice was sent directly to you by the Company. As a stockholder of record, you may vote online during the meeting or vote by proxy. Whether or not you plan to attend the Annual Meeting, we urge you to vote by proxy using a proxy card that you may request or that we may elect to deliver at a later time or vote by proxy over the telephone or Internet as instructed below to ensure your vote is counted.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Beneficial Owner: Shares Registered in the Name of a Broker or Bank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on March 28, 2024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that organization on how to vote the shares in your account. You will receive instructions from the organization that you must follow in order to submit your voting instructions and have your shares voted at the Annual Meeting. You are also invited to attend the Annual Meeting. However, since you are not the stockholder of record, you may not vote your shares online during the Annual Meeting unless you request and obtain a valid proxy from the organization.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am I voting on?</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There are three matters scheduled for a vote: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Election of three directors (Proposal 1);</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Ratification of selection by the Audit Committee of the Board of Directors of Ernst &amp; Young LLP as independent registered public accounting firm of the Company for the year ending December 31, 2024 (Proposal 2);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Advisory approval, on a non-binding basis, of the compensation of our Named Executive Officers as disclosed in this proxy statement (Proposal 3).</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if another matter is properly brought before the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do I vote?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You may either vote “For” all the nominees to the Board of Directors or you may “Withhold” your vote for any nominee you specify. For Proposals 2 and 3, you may vote “For” or “Against” or "Abstain" from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9"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are a stockholder of record, you may vote online during the Annual Meeting, vote by proxy using a proxy card that you may request or that we may elect to deliver at a later time,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To vote online during the meeting, access the Annual Meeting by visiting www.proxypush.com/TENB and entering your control number which is included in the proxy materials mailed to you. Please have your Notice in hand when you access the website and follow the instructions.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To vote using the proxy card, simply complete, sign and date the proxy card that may be delivered and return it promptly in the envelope provided. If you return your signed proxy card to us before the Annual Meeting, we will vote your shares as you direct.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To vote over the telephone, dial toll-free 866-230-6244 using a touch-tone phone and follow the recorded instructions. You will be asked to provide the control number from the Notice. To ensure your vote is counted, your telephone vote must be received either prior to the start of the meeting or, if you are attending the meeting, before the polls close during the meeting.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To vote through the Internet, go to www.proxypush.com/TENB</w:t>
      </w:r>
      <w:r>
        <w:rPr>
          <w:color w:val="000000"/>
        </w:rPr>
        <w:t xml:space="preserve"> </w:t>
      </w:r>
      <w:r>
        <w:rPr>
          <w:rFonts w:ascii="Arial;sans-serif" w:hAnsi="Arial;sans-serif"/>
          <w:b w:val="false"/>
          <w:color w:val="000000"/>
          <w:sz w:val="20"/>
        </w:rPr>
        <w:t>to complete an electronic proxy card. You will be asked to provide the control number from the Notice. To ensure your vote is counted, your Internet vote must be received either prior to the start of the meeting or, if you are attending the meeting, before the polls close during the meeting.</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Beneficial Owner: Shares Registered in the Name of Broker or Bank</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If you are a beneficial owner of shares registered in the name of your broker, bank or other agent, you should have received a Notice containing voting instructions from that organization rather than from Tenable. Simply follow the voting instructions in the Notice to ensure that your vote is counted. To vote online during the Annual Meeting, you must obtain a valid proxy from your broker, bank or other agent. Follow the instructions from your broker, bank or other agent included with these proxy materials, or contact that organization to request a proxy form.</w: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many votes do I have?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each matter to be voted upon, you have one vote for each share of common stock you own as of March 28, 2024.</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If I am a stockholder of record and I do not vote, or if I return a proxy card or otherwise vote without giving specific voting instructions, what happens?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are a stockholder of record and do not vote by completing your proxy card, by telephone, through the Internet or online during the Annual Meeting, your shares will not be voted.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you return a signed and dated proxy card or otherwise vote without marking voting selections, your shares will be voted, as applicable, “For” the election of all nominees for director, “For” the ratification of Ernst &amp; Young LLP as independent auditors for the year ending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0"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"For" the approval of, on a non-binding advisory basis, the compensation of our Named Executive Officers. If any other matter is properly presented at the meeting, your proxy holder (one of the individuals named on your proxy card) will vote your shares using his or her best judgment.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If I am a beneficial owner of shares held in street name and I do not provide my broker or bank with voting instructions, what happens?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under applicable rules, but not with respect to “non-routine” matters. Proposals 1 and 3 are considered to be “non-routine” under applicable rules, meaning that your broker may not vote your shares on those proposals in the absence of your voting instructions. However, Proposal 2 is considered to be “routine” under applicable rules, meaning that if you do not return voting instructions to your broker by its deadline, your shares may be voted by your broker in its discretion on Proposal 2.</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Who is paying for this proxy solicitation?</w:t>
      </w:r>
    </w:p>
    <w:p>
      <w:pPr>
        <w:pStyle w:val="TextBody"/>
        <w:bidi w:val="0"/>
        <w:spacing w:lineRule="auto" w:line="288" w:before="0" w:after="240"/>
        <w:ind w:left="0" w:right="0" w:firstLine="360"/>
        <w:jc w:val="left"/>
        <w:rPr/>
      </w:pPr>
      <w:r>
        <w:rPr>
          <w:rFonts w:ascii="Arial;sans-serif" w:hAnsi="Arial;sans-serif"/>
          <w:b w:val="false"/>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r>
        <w:rPr>
          <w:color w:val="00000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does it mean if I receive more than one Notice?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receive more than one Notice, your shares may be registered in more than one name or in different accounts. Please follow the voting instructions on the Notice to ensure that all of your shares are voted.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Can I change my vote after submitting my proxy?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Stockholder of Record: Shares Registered in Your Name</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Yes. You can revoke your proxy at any time before the final vote at the Annual Meeting. If you are the record holder of your shares, you may revoke your proxy in any one of the following ways: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You may submit another properly completed proxy card with a later date.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You may grant a subsequent proxy by telephone or through the Internet.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You may send a timely written notice that you are revoking your proxy to Tenable Holdings, Inc., Attention: Corporate Secretary at 6100 Merriweather Drive, 12th Floor, Columbia, Maryland 21044.</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You may attend the Annual Meeting and vote online. Simply attending the Annual Meeting will not, by itself, revoke your proxy.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1"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Your most current proxy card or telephone or Internet proxy is the one that is counted.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Beneficial Owner: Shares Registered in the Name of Broker or Bank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your shares are held by your broker, bank or other agent, you should follow the instructions provided by your broker, bank or other agent.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When are stockholder proposals and director nominations due for next year’s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be considered for inclusion in next year’s proxy materials, your proposal must be submitted in writing by December 12, 2024, to 6100 Merriweather Drive, 12th Floor, Columbia, Maryland 21044. If you wish to nominate an individual for election at, or bring business other than through a stockholder proposal before, the 2025 Annual Meeting of Stockholders, you must deliver your notice to our Corporate Secretary at the address above between January 22, 2025 and February 21, 2025. Your notice to the Corporate Secretary must set forth information specified in our bylaws, including your name and address and the class and number of shares of our stock that you beneficially own. In addition to satisfying the foregoing requirements under Tenable's bylaws, to comply with the universal proxy rules, stockholders who intend to solicit proxies in support of director nominees other than Tenable's nominees must provide notice that sets forth the information required by Rule 14a-19(b) under the Securities Exchange Act of 1934, as amended (the "Exchange Act").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propose to bring business before an annual meeting of stockholders other than a director nomination, your notice must also include, as to each matter proposed, the following: (1) a brief description of the business desired to be brought before such annual meeting, (2) the text of the proposal or business (including the text of any resolutions proposed for consideration and in the event that such business includes a proposal to amend the bylaws, the language of the proposed amendment), (3) the reasons for conducting that business at the annual meeting, and (4)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(5) a questionnaire with respect to the background, qualifications, stock ownership and independence of the person and a written representation or agreement that the person is not and will not become a party to any voting commitment, and (6) any other information concerning the person as would be required to be disclosed in a proxy statement soliciting proxies for the election of that person as a director in an election contest (even if an election contest is not involved and whether or not proxies are being or will be solicited), or that is otherwise required to be disclosed or provided to the Company pursuant to Section 14 of the Exchange Act, and the rules and regulations promulgated under the Exchange Act, including the person's written consent to being named in a proxy statement, associated proxy card and other filings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more information, and more detailed requirements about advance notice of stockholder proposals and director nominations, please refer to our Second Amended and Restated Bylaws, filed as Exhibit 3.1 to our Current Report on Form 8-K (File No. 001-38600), filed with the SEC on November 15,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2"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are votes counted?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Votes will be counted by the inspector of election appointed for the meeting, who will separately count, for Proposal 1, the proposal to elect directors, votes “For,” “Withhold” and broker non-votes (described below); for Proposal 2, the proposal to ratify our independent auditors, votes “For,” “Against” and “Abstain”; and, for Proposal 3, the proposal to approve, on a non-binding advisory basis, the compensation of our Named Executive Officers, ”For," "Against" and “Abstain” and broker non-votes. If you “Abstain” it will be counted towards the vote total for Proposals 2 and 3. For Proposal 2 and 3, it will have the same effect as “Against” votes. Broker non-votes on Proposals 1 and 3 will have no effect and will not be counted toward the vote total for those proposals. We do not expect broker non-votes on Proposal 2.</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are “broker non-votes”?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"broker non-vote" occurs when your broker submits a proxy for the meeting with respect to "routine" matters but does not vote on "non-routine" matters because you did not provide voting instructions on such "non-routine" matters. These un-voted shares with respect to the "non-routine matters" are counted as “broker non-votes.” Proposals 1 and 3 are considered to be “non-routine” under applicable rules and we therefore expect broker non-votes on these proposals. However, as Proposal 2 is considered “routine” under applicable rules, we do not expect broker non-votes on this proposal.</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many votes are needed to approve each proposal?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Proposal 1, the election of directors, the three nominees receiving the most “For” votes from the holders of shares present online at the meeting or represented by proxy and entitled to vote on the election of directors will be elected. Only votes “For” will affect the outcome. Broker non-votes will have no effect.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be approved, Proposal 2, ratification of the selection of Ernst &amp; Young LLP as the Company’s independent registered public accounting firm for 2024, must receive “For” votes from the holders of a majority of shares present online at the meeting or represented by proxy and entitled to vote on the matter. If you “Abstain” from voting, it will have the same effect as an “Against” vote. Since brokers have the authority to vote on your behalf with respect to Proposal 2, we do not expect broker non-votes on this proposal.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Proposal 3, advisory approval of the compensation of our Named Executive Officers will be considered to be approved if it receives "For" votes from the holders of a majority of the shares present online at the meeting or represented by proxy and entitled to vote thereon to be approved. If you “Abstain” from voting, it will have the same effect as an “Against” vote on this proposal. Broker non-votes will have no effect.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is the quorum requirement?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quorum of stockholders is necessary to hold a valid meeting. A quorum will be present if stockholders holding at least a majority of the voting power of the outstanding shares entitled to vote are present online at the meeting or represented by proxy. On the Record Date, there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3"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Arial;sans-serif" w:hAnsi="Arial;sans-serif"/>
          <w:b w:val="false"/>
          <w:color w:val="000000"/>
          <w:sz w:val="20"/>
        </w:rPr>
        <w:t>118,743,082 shares outstanding and entitled to vote.</w:t>
      </w:r>
      <w:r>
        <w:rPr>
          <w:color w:val="000000"/>
        </w:rPr>
        <w:t xml:space="preserve"> </w:t>
      </w:r>
      <w:r>
        <w:rPr>
          <w:rFonts w:ascii="Arial;sans-serif" w:hAnsi="Arial;sans-serif"/>
          <w:b w:val="false"/>
          <w:color w:val="000000"/>
          <w:sz w:val="20"/>
        </w:rPr>
        <w:t>Thus, the holders of 59,371,542 shares must be present online at the meeting or represented by proxy at the meeting to have a quorum.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Abstentions and broker non-votes will be counted towards the quorum requirement. If there is no quorum, the chairperson of the meeting or the holders of a majority of shares present online at the meeting or represented by proxy may adjourn the meeting to another date.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Will a list of record stockholders as of the Record Date be available?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Upon request, a list of our record stockholders as of the close of business on the Record Date will be made available to stockholders. In addition, for the ten days ending the day prior to the Annual Meeting, the list will be available upon request for examination by any stockholder of record for a legally valid purpose. To access the list of record stockholders beginning May 12, 2024 and until the Annual Meeting, stockholders should email David Bartholomew, Deputy General Counsel, at dbartholomew@tenable.com.</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do I ask a question at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Only stockholders of record as of March 28, 2024 may submit questions or comments in advance of the virtual stockholders meeting, not during. If you would like to submit a question or comment, you may do so prior to 5:00 p.m. Eastern Time on May 20, 2024 by following the instructions in your registration documents on https://www.proxydocs.com/TENB.</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help ensure that we have a productive and efficient meeting, and in fairness to all stockholders in attendance, you will also find posted our rules of conduct for the Annual Meeting when you log in prior to the start of the Annual Meeting. Our management may group pre-submitted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What do I do if I have technical difficulties in connection with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you encounter any difficulties accessing the virtual meeting during the check-in or meeting time, please call the technical support number that will be posted on the Annual Meeting login page. Technical support will be available beginning at approximately 12:00 p.m. Eastern Time on May 22, 2024.</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How can I find out the results of the voting at the Annual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4"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PROPOSAL 1</w:t>
      </w:r>
    </w:p>
    <w:p>
      <w:pPr>
        <w:pStyle w:val="TextBody"/>
        <w:bidi w:val="0"/>
        <w:spacing w:lineRule="auto" w:line="288" w:before="0" w:after="240"/>
        <w:ind w:left="0" w:right="0" w:firstLine="360"/>
        <w:jc w:val="center"/>
        <w:rPr/>
      </w:pPr>
      <w:r>
        <w:rPr>
          <w:rFonts w:ascii="Arial;sans-serif" w:hAnsi="Arial;sans-serif"/>
          <w:b/>
          <w:color w:val="000000"/>
          <w:sz w:val="20"/>
        </w:rPr>
        <w:t>ELECTION OF DIRECTORS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Tenable’s Board of Directors is divided into three classes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currently consists of nine members. There are three directors in the class whose term of office expires in 2024. Mr. Coviello was previously elected by Tenable's stockholders. Ms. Keane and Mr. Tosheff were recommended to the Board by a member of senior management, nominated by the Nominating and Corporate Governance Committee, and elected by the Board. If elected at the Annual Meeting, each of these nominees would serve until the 2027 Annual Meeting of Stockholders and until their successor has been duly elected and qualified, or, if sooner, until the director’s death, resignation or removal. It is the Company’s policy to invite and encourage directors and nominees for director to attend each annual meeting of stockholders. In 2023, all of our then-serving directors attended the Annual Meeting.</w:t>
      </w:r>
    </w:p>
    <w:p>
      <w:pPr>
        <w:pStyle w:val="TextBody"/>
        <w:bidi w:val="0"/>
        <w:spacing w:lineRule="auto" w:line="288" w:before="0" w:after="240"/>
        <w:ind w:left="0" w:right="0" w:firstLine="360"/>
        <w:jc w:val="left"/>
        <w:rPr/>
      </w:pPr>
      <w:r>
        <w:rPr>
          <w:rFonts w:ascii="Arial;sans-serif" w:hAnsi="Arial;sans-serif"/>
          <w:b w:val="false"/>
          <w:color w:val="000000"/>
          <w:sz w:val="20"/>
        </w:rPr>
        <w:t>Directors are elected by a plurality of the votes of the holders of shares present online at the meeting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w:t>
      </w:r>
      <w:r>
        <w:rPr>
          <w:color w:val="000000"/>
        </w:rPr>
        <w:t xml:space="preserve"> </w:t>
      </w:r>
      <w:r>
        <w:rPr>
          <w:rFonts w:ascii="Arial;sans-serif" w:hAnsi="Arial;sans-serif"/>
          <w:b w:val="false"/>
          <w:color w:val="000000"/>
          <w:sz w:val="20"/>
        </w:rPr>
        <w:t>nominees named below. If any nominee becomes unavailable for election as a result of an unexpected occurrence, shares that would have been voted for that nominee will instead be voted for the election of a substitute nominee proposed by the Board. Each person nominated for election has agreed to serve if elected. The Company’s management has no reason to believe that any nominee will be unable to serve.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reflects certain diversity information regarding our directors based on self-identification by each director. </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Board Diversity Matrix (as of March 28, 2024)</w:t>
      </w:r>
    </w:p>
    <w:tbl>
      <w:tblPr>
        <w:tblW w:w="5236" w:type="dxa"/>
        <w:jc w:val="left"/>
        <w:tblInd w:w="0" w:type="dxa"/>
        <w:tblLayout w:type="fixed"/>
        <w:tblCellMar>
          <w:top w:w="28" w:type="dxa"/>
          <w:left w:w="28" w:type="dxa"/>
          <w:bottom w:w="28" w:type="dxa"/>
          <w:right w:w="28" w:type="dxa"/>
        </w:tblCellMar>
      </w:tblPr>
      <w:tblGrid>
        <w:gridCol w:w="1400"/>
        <w:gridCol w:w="1232"/>
        <w:gridCol w:w="1237"/>
        <w:gridCol w:w="260"/>
        <w:gridCol w:w="260"/>
        <w:gridCol w:w="261"/>
        <w:gridCol w:w="171"/>
        <w:gridCol w:w="171"/>
        <w:gridCol w:w="244"/>
      </w:tblGrid>
      <w:tr>
        <w:trPr/>
        <w:tc>
          <w:tcPr>
            <w:tcW w:w="140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Female</w:t>
            </w:r>
          </w:p>
        </w:tc>
        <w:tc>
          <w:tcPr>
            <w:tcW w:w="58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Male</w:t>
            </w:r>
          </w:p>
        </w:tc>
      </w:tr>
      <w:tr>
        <w:trPr/>
        <w:tc>
          <w:tcPr>
            <w:tcW w:w="386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Directors</w:t>
            </w:r>
          </w:p>
        </w:tc>
        <w:tc>
          <w:tcPr>
            <w:tcW w:w="1367" w:type="dxa"/>
            <w:gridSpan w:val="6"/>
            <w:tcBorders>
              <w:top w:val="single" w:sz="8" w:space="0" w:color="000000"/>
              <w:left w:val="single" w:sz="8" w:space="0" w:color="000000"/>
              <w:bottom w:val="single" w:sz="8" w:space="0" w:color="000000"/>
              <w:right w:val="single" w:sz="8" w:space="0" w:color="000000"/>
            </w:tcBorders>
            <w:shd w:fill="BFE4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r>
        <w:trPr/>
        <w:tc>
          <w:tcPr>
            <w:tcW w:w="5236" w:type="dxa"/>
            <w:gridSpan w:val="9"/>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 Gender Identity</w:t>
            </w:r>
          </w:p>
        </w:tc>
      </w:tr>
      <w:tr>
        <w:trPr/>
        <w:tc>
          <w:tcPr>
            <w:tcW w:w="386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Directors</w:t>
            </w:r>
          </w:p>
        </w:tc>
        <w:tc>
          <w:tcPr>
            <w:tcW w:w="781"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586" w:type="dxa"/>
            <w:gridSpan w:val="3"/>
            <w:tcBorders>
              <w:top w:val="single" w:sz="8" w:space="0" w:color="000000"/>
              <w:left w:val="single" w:sz="8" w:space="0" w:color="000000"/>
              <w:bottom w:val="single" w:sz="8" w:space="0" w:color="000000"/>
              <w:right w:val="single" w:sz="8" w:space="0" w:color="000000"/>
            </w:tcBorders>
            <w:shd w:fill="BFE4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5236" w:type="dxa"/>
            <w:gridSpan w:val="9"/>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 Demographic Background</w:t>
            </w:r>
          </w:p>
        </w:tc>
      </w:tr>
      <w:tr>
        <w:trPr/>
        <w:tc>
          <w:tcPr>
            <w:tcW w:w="3869"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African American or Black</w:t>
            </w:r>
          </w:p>
        </w:tc>
        <w:tc>
          <w:tcPr>
            <w:tcW w:w="78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586"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38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White</w:t>
            </w:r>
          </w:p>
        </w:tc>
        <w:tc>
          <w:tcPr>
            <w:tcW w:w="7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58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3869"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Did Not Disclose Demographic Background</w:t>
            </w:r>
          </w:p>
        </w:tc>
        <w:tc>
          <w:tcPr>
            <w:tcW w:w="1367" w:type="dxa"/>
            <w:gridSpan w:val="6"/>
            <w:tcBorders>
              <w:top w:val="single" w:sz="8" w:space="0" w:color="000000"/>
              <w:left w:val="single" w:sz="8" w:space="0" w:color="000000"/>
              <w:bottom w:val="single" w:sz="8" w:space="0" w:color="000000"/>
              <w:right w:val="single" w:sz="8" w:space="0" w:color="000000"/>
            </w:tcBorders>
            <w:shd w:fill="BFE4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Board Diversity Matrix as of March 30, 2023 can be found in our proxy statement for the 2023 Annual Meeting filed with the SEC on April 12, 2023.</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5"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lists the skills and experience that our Nominating and Corporate Governance Committee and Board consider important for our directors to have given our current business and future market opportunities, and the directors who we believe possess them:</w:t>
      </w:r>
    </w:p>
    <w:tbl>
      <w:tblPr>
        <w:tblW w:w="10205" w:type="dxa"/>
        <w:jc w:val="left"/>
        <w:tblInd w:w="0" w:type="dxa"/>
        <w:tblLayout w:type="fixed"/>
        <w:tblCellMar>
          <w:top w:w="28" w:type="dxa"/>
          <w:left w:w="28" w:type="dxa"/>
          <w:bottom w:w="28" w:type="dxa"/>
          <w:right w:w="28" w:type="dxa"/>
        </w:tblCellMar>
      </w:tblPr>
      <w:tblGrid>
        <w:gridCol w:w="1530"/>
        <w:gridCol w:w="1181"/>
        <w:gridCol w:w="1184"/>
        <w:gridCol w:w="265"/>
        <w:gridCol w:w="265"/>
        <w:gridCol w:w="266"/>
        <w:gridCol w:w="250"/>
        <w:gridCol w:w="250"/>
        <w:gridCol w:w="251"/>
        <w:gridCol w:w="195"/>
        <w:gridCol w:w="195"/>
        <w:gridCol w:w="196"/>
        <w:gridCol w:w="250"/>
        <w:gridCol w:w="250"/>
        <w:gridCol w:w="251"/>
        <w:gridCol w:w="220"/>
        <w:gridCol w:w="220"/>
        <w:gridCol w:w="221"/>
        <w:gridCol w:w="255"/>
        <w:gridCol w:w="255"/>
        <w:gridCol w:w="256"/>
        <w:gridCol w:w="250"/>
        <w:gridCol w:w="250"/>
        <w:gridCol w:w="251"/>
        <w:gridCol w:w="195"/>
        <w:gridCol w:w="195"/>
        <w:gridCol w:w="196"/>
        <w:gridCol w:w="193"/>
        <w:gridCol w:w="193"/>
        <w:gridCol w:w="276"/>
      </w:tblGrid>
      <w:tr>
        <w:trPr/>
        <w:tc>
          <w:tcPr>
            <w:tcW w:w="15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89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Coviello</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Higgins</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Howe</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Huffard</w:t>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Keane</w:t>
            </w:r>
          </w:p>
        </w:tc>
        <w:tc>
          <w:tcPr>
            <w:tcW w:w="7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Seawell</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Tosheff</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Vicks</w:t>
            </w:r>
          </w:p>
        </w:tc>
        <w:tc>
          <w:tcPr>
            <w:tcW w:w="6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Yoran</w:t>
            </w:r>
          </w:p>
        </w:tc>
      </w:tr>
      <w:tr>
        <w:trPr/>
        <w:tc>
          <w:tcPr>
            <w:tcW w:w="389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Cybersecurity Experience</w:t>
            </w:r>
          </w:p>
        </w:tc>
        <w:tc>
          <w:tcPr>
            <w:tcW w:w="7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Enterprise SaaS Experience</w:t>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CEO/COO Management Experience</w:t>
            </w:r>
          </w:p>
        </w:tc>
        <w:tc>
          <w:tcPr>
            <w:tcW w:w="7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Operations Experience</w:t>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Business Development Experience </w:t>
            </w:r>
          </w:p>
        </w:tc>
        <w:tc>
          <w:tcPr>
            <w:tcW w:w="7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Moving Innovation Through to Commercialization</w:t>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Relationships with the DoD and/or other Relevant Agencies</w:t>
            </w:r>
          </w:p>
        </w:tc>
        <w:tc>
          <w:tcPr>
            <w:tcW w:w="79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2"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 Markets Experience</w:t>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Financial Reporting, Accounting and Internal Controls Experience</w:t>
            </w:r>
          </w:p>
        </w:tc>
        <w:tc>
          <w:tcPr>
            <w:tcW w:w="7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2" w:type="dxa"/>
            <w:gridSpan w:val="3"/>
            <w:tcBorders>
              <w:top w:val="single" w:sz="8" w:space="0" w:color="000000"/>
              <w:left w:val="single" w:sz="8" w:space="0" w:color="000000"/>
              <w:right w:val="single" w:sz="8" w:space="0" w:color="000000"/>
            </w:tcBorders>
            <w:shd w:fill="BFE4FF" w:val="clear"/>
            <w:tcMar>
              <w:bottom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Board/Corporate Governance Experience</w:t>
            </w:r>
          </w:p>
        </w:tc>
        <w:tc>
          <w:tcPr>
            <w:tcW w:w="7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89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Human Resources/Executive Compensation</w:t>
            </w:r>
          </w:p>
        </w:tc>
        <w:tc>
          <w:tcPr>
            <w:tcW w:w="79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left w:val="single" w:sz="8" w:space="0" w:color="000000"/>
              <w:right w:val="single" w:sz="8" w:space="0" w:color="000000"/>
            </w:tcBorders>
            <w:shd w:fill="BFE4FF" w:val="clear"/>
            <w:tcMar>
              <w:bottom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and/or Risk Management Experience</w:t>
            </w:r>
          </w:p>
        </w:tc>
        <w:tc>
          <w:tcPr>
            <w:tcW w:w="79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62"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6"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CLASS III NOMINEES FOR ELECTION FOR A THREE-YEAR TERM EXPIRING AT THE 2027 ANNUAL MEETING</w:t>
      </w:r>
    </w:p>
    <w:p>
      <w:pPr>
        <w:pStyle w:val="TextBody"/>
        <w:bidi w:val="0"/>
        <w:spacing w:lineRule="auto" w:line="288" w:before="0" w:after="240"/>
        <w:ind w:left="0" w:right="0" w:firstLine="360"/>
        <w:jc w:val="left"/>
        <w:rPr/>
      </w:pPr>
      <w:r>
        <w:rPr>
          <w:rFonts w:ascii="Arial;sans-serif" w:hAnsi="Arial;sans-serif"/>
          <w:b w:val="false"/>
          <w:color w:val="000000"/>
          <w:sz w:val="20"/>
        </w:rPr>
        <w:t>The following is a brief biography of each nominee for director and a discussion of the specific experience, qualifications, attributes or skills of each nominee that led the Nominating and Corporate Governance Committee of the Board of Directors</w:t>
      </w:r>
      <w:r>
        <w:rPr>
          <w:color w:val="000000"/>
        </w:rPr>
        <w:t xml:space="preserve"> </w:t>
      </w:r>
      <w:r>
        <w:rPr>
          <w:rFonts w:ascii="Arial;sans-serif" w:hAnsi="Arial;sans-serif"/>
          <w:b w:val="false"/>
          <w:color w:val="000000"/>
          <w:sz w:val="20"/>
        </w:rPr>
        <w:t>to recommend that person as a nominee for director, as of the date of this proxy statement.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Nominating and Corporate Governance Committee seeks to assemble a board of directors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Committee views as critical to the effective functioning of the Board. To provide a mix of experience and perspective on the Board, the Committee also takes into account gender, age, and ethnic diversity. The brief biographies below include information, as of the date of this proxy statement, regarding the specific and particular experience, qualifications, attributes or skills of each director or nominee that led the Committee to believe that that nominee should continue to serve on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27"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580"/>
        <w:gridCol w:w="510"/>
        <w:gridCol w:w="511"/>
        <w:gridCol w:w="2515"/>
        <w:gridCol w:w="2515"/>
        <w:gridCol w:w="357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Arthur W. Coviello, Jr.</w:t>
            </w:r>
            <w:r>
              <w:rPr>
                <w:rFonts w:ascii="Arial;sans-serif" w:hAnsi="Arial;sans-serif"/>
                <w:b w:val="false"/>
                <w:i/>
                <w:color w:val="000000"/>
                <w:sz w:val="20"/>
              </w:rPr>
              <w:t>, age 70</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Arthur W. Coviello, Jr. has served as a member of our Board of Directors since February 2018 and as our Lead Independent Director since February 2022. Mr. Coviello has served as Managing Partner of Syn Ventures, a venture capital fund, since June 2021. Mr. Coviello has served on the Board of Directors of Synchrony Financial ("Synchrony") since November 2015. Mr. Coviello was previously a venture partner at Rally Ventures, LLC, a position he held from May 2015 to July 2022, and previously was on the boards of directors of FireEye/Mandiant, Inc. from December 2020 to October 2022, and Epiphany Technology Acquisition Corp. from November 2020 to January 2023. Mr. Coviello received a B.B.A. with a concentration in Accounting from the University of Massachusetts. Our Board of Directors believes that Mr. Coviello is qualified to serve as a director based on his extensive security industry and management experience and his experience as a director of public technology companies.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George Alexander Tosheff</w:t>
            </w:r>
            <w:r>
              <w:rPr>
                <w:rFonts w:ascii="Arial;sans-serif" w:hAnsi="Arial;sans-serif"/>
                <w:b w:val="false"/>
                <w:i/>
                <w:color w:val="000000"/>
                <w:sz w:val="20"/>
              </w:rPr>
              <w:t>, age 57</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George Alexander Tosheff has served as a member of our Board of Directors since September 2022. Mr. Tosheff has served as Senior Vice President, Chief Security Officer of VMware, Inc. (recently acquired by Broadcom) since February 2022 following his promotion from Vice President, Chief Security Officer, a position he held since 2014. Mr. Tosheff served as a member of our Customer Advisory Board from 2017 until September 2022. Mr. Tosheff received a B.S. in Physics from California State University. Our Board of Directors believes that Mr. Tosheff is qualified to serve as a director based on his extensive cybersecurity expertise and management experience.</w:t>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42975" cy="94297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42975" cy="942975"/>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Margaret Keane</w:t>
            </w:r>
            <w:r>
              <w:rPr>
                <w:rFonts w:ascii="Arial;sans-serif" w:hAnsi="Arial;sans-serif"/>
                <w:b w:val="false"/>
                <w:i/>
                <w:color w:val="000000"/>
                <w:sz w:val="20"/>
              </w:rPr>
              <w:t>, age 64</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Margaret Keane has served as a member of our Board of Directors since June 2023. Ms. Keane is the former Executive Chair of the Board of Directors of Synchrony, a position she held from April 2021 to April 2023. Ms. Keane was a member of Synchrony's Board of Directors from 2013 to April 2023. Ms. Keane served as Synchrony’s Chief Executive Officer from February 2014 to March 2021 and President from February 2014 to May 2019. She previously served as the Chief Executive Officer and President of the North American retail finance business of the General Electric Company from April 2011 to February 2014. Ms. Keane serves on the Board of Directors for the Allstate Corporation, an insurance company, a position she has held since April 2018. Ms. Keane earned a bachelor’s degree in government and politics and an M.B.A. from St. John’s University. Our Board of Directors believes that Ms. Keane is qualified to serve as a director based on her extensive management experience.</w:t>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THE BOARD OF DIRECTORS RECOMMENDS A VOTE IN FAVOR OF EACH NAMED NOMINEE.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3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DIRECTORS CONTINUING IN OFFICE UNTIL THE 2025 ANNUAL MEETING</w:t>
      </w:r>
    </w:p>
    <w:tbl>
      <w:tblPr>
        <w:tblW w:w="10205" w:type="dxa"/>
        <w:jc w:val="center"/>
        <w:tblInd w:w="0" w:type="dxa"/>
        <w:tblLayout w:type="fixed"/>
        <w:tblCellMar>
          <w:top w:w="28" w:type="dxa"/>
          <w:left w:w="28" w:type="dxa"/>
          <w:bottom w:w="28" w:type="dxa"/>
          <w:right w:w="28" w:type="dxa"/>
        </w:tblCellMar>
      </w:tblPr>
      <w:tblGrid>
        <w:gridCol w:w="580"/>
        <w:gridCol w:w="510"/>
        <w:gridCol w:w="511"/>
        <w:gridCol w:w="2633"/>
        <w:gridCol w:w="2466"/>
        <w:gridCol w:w="3505"/>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Amit Yoran</w:t>
            </w:r>
            <w:r>
              <w:rPr>
                <w:rFonts w:ascii="Arial;sans-serif" w:hAnsi="Arial;sans-serif"/>
                <w:b w:val="false"/>
                <w:i/>
                <w:color w:val="000000"/>
                <w:sz w:val="20"/>
              </w:rPr>
              <w:t>, age 53</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Amit Yoran has served as our Chief Executive Officer and Chairman since December 2016 and was appointed as our President, in addition to Chief Executive Officer and Chairman, in May 2018. Mr. Yoran has served on the Board of Directors of BlackLine Systems, Inc., an enterprise software company, since January 2023. Prior to joining Tenable, Mr. Yoran served as President of RSA Solutions, Inc. from October 2014 to December 2016. Mr. Yoran received a B.S. in Computer Science from the United States Military Academy at West Point and an M.S. in Computer Science from George Washington University. Our Board of Directors believes that Mr. Yoran is qualified to serve as a director based on his role as our Chief Executive Officer and his extensive management experience in the technology and security industries.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Niloofar Razi Howe</w:t>
            </w:r>
            <w:r>
              <w:rPr>
                <w:rFonts w:ascii="Arial;sans-serif" w:hAnsi="Arial;sans-serif"/>
                <w:b w:val="false"/>
                <w:i/>
                <w:color w:val="000000"/>
                <w:sz w:val="20"/>
              </w:rPr>
              <w:t>, age 55</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Niloofar Razi Howe has served as a member of our Board of Directors since May 2021. Ms. Howe has served as a Senior Operating Partner at Energy Impact Partners, a venture capital fund since 2019. Ms. Howe has served on the Board of Directors of Composecure, Inc. since December 2021. Ms. Howe also currently serves on the board of directors of a number of private technology companies. Ms. Howe received a B.A. in English Literature from Columbia College and holds a Juris Doctor degree from Harvard Law School. Our Board of Directors believes that Ms. Howe is qualified as a director based on her extensive cybersecurity and management experience and her experience as a director of technology companies.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Linda Zecher Higgins</w:t>
            </w:r>
            <w:r>
              <w:rPr>
                <w:rFonts w:ascii="Arial;sans-serif" w:hAnsi="Arial;sans-serif"/>
                <w:b w:val="false"/>
                <w:i/>
                <w:color w:val="000000"/>
                <w:sz w:val="20"/>
              </w:rPr>
              <w:t>, age 70</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Linda Zecher Higgins has served as a member of our Board of Directors since August 2019. Ms. Higgins is the Chief Executive Officer and Managing Director of the Barkley Group, a consulting firm focused on effective digital transformation, and has held such positions since January 2017. Ms. Higgins has served as a member of the board of directors of Hasbro, Inc. since October 2014. Ms. Higgins served as a member of the board of directors of C5 Acquisition Corp from January 2022 to September 2023 and also served as the Corporate Vice President, Worldwide Public Sector of Microsoft Corporation from 2003 to 2011. In July 2023, Ms. Higgins was hired as the Chief Executive Officer of IronNet, Inc., a cybersecurity company, to assist in its restructuring efforts. In October 2023, IronNet, Inc., filed a voluntary Chapter 11 restructuring plan with the U.S. Bankruptcy Court for the District of Delaware, which was completed in February 2024. Ms. Higgins received a B.S. in Earth Science from The Ohio State University. Our Board of Directors believes that Ms. Higgins is qualified to serve as a director based on her extensive management experience with technology companies and her experience as a director of public companies.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5"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DIRECTORS CONTINUING IN OFFICE UNTIL THE 2026 ANNUAL MEETING</w:t>
      </w:r>
    </w:p>
    <w:tbl>
      <w:tblPr>
        <w:tblW w:w="10205" w:type="dxa"/>
        <w:jc w:val="left"/>
        <w:tblInd w:w="0" w:type="dxa"/>
        <w:tblLayout w:type="fixed"/>
        <w:tblCellMar>
          <w:top w:w="28" w:type="dxa"/>
          <w:left w:w="28" w:type="dxa"/>
          <w:bottom w:w="28" w:type="dxa"/>
          <w:right w:w="28" w:type="dxa"/>
        </w:tblCellMar>
      </w:tblPr>
      <w:tblGrid>
        <w:gridCol w:w="580"/>
        <w:gridCol w:w="510"/>
        <w:gridCol w:w="511"/>
        <w:gridCol w:w="3264"/>
        <w:gridCol w:w="2211"/>
        <w:gridCol w:w="3129"/>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John C. Huffard, Jr.</w:t>
            </w:r>
            <w:r>
              <w:rPr>
                <w:rFonts w:ascii="Arial;sans-serif" w:hAnsi="Arial;sans-serif"/>
                <w:b w:val="false"/>
                <w:i/>
                <w:color w:val="000000"/>
                <w:sz w:val="20"/>
              </w:rPr>
              <w:t>, age 56</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John C. Huffard, Jr. has served as a member of our Board of Directors since 2002. Mr. Huffard served as our Chief Operating Officer from May 2018 through December 2019. Prior to that, he served as our President and Chief Operating Officer from November 2008 to May 2018, and he co-founded our company in 2002. Mr. Huffard has also served as a member of the board of directors of Norfolk Southern Corporation since February 2020. Mr. Huffard received a B.S.B.A. from Washington and Lee University and an M.B.A. from Babson College. Our Board of Directors believes that Mr. Huffard is qualified to serve as a director based on his in-depth knowledge of our company and our products due to his role as our co-founder and subsequent role as our Chief Operating Officer.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A. Brooke Seawell</w:t>
            </w:r>
            <w:r>
              <w:rPr>
                <w:rFonts w:ascii="Arial;sans-serif" w:hAnsi="Arial;sans-serif"/>
                <w:b w:val="false"/>
                <w:i/>
                <w:color w:val="000000"/>
                <w:sz w:val="20"/>
              </w:rPr>
              <w:t>, age 76</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Brooke Seawell has served as a member of our Board of Directors since October 2017. Mr. Seawell is a Venture Partner at New Enterprise Associates Inc., a position he has held since January 2005. Mr. Seawell has served on the board of directors of NVIDIA Corporation, an accelerated computing company, since December 1997. He previously served on the board of directors of Eargo, Inc., a medical device company, from September 2020 to December 2022, and Tableau Software, Inc., a business intelligence software company, from November 2011 to August 2019. Mr. Seawell received both a B.A. in Economics and an M.B.A. in Finance from Stanford University. Our Board of Directors believes that Mr. Seawell is qualified to serve as a director based on his extensive experience in technology finance and operations, including having served as the chief financial officer of two public companies and his experience as a director of public technology companies.</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20"/>
              </w:rPr>
              <w:t>Raymond Vicks, Jr.,</w:t>
            </w:r>
            <w:r>
              <w:rPr>
                <w:color w:val="000000"/>
              </w:rPr>
              <w:t xml:space="preserve"> </w:t>
            </w:r>
            <w:r>
              <w:rPr>
                <w:rFonts w:ascii="Arial;sans-serif" w:hAnsi="Arial;sans-serif"/>
                <w:b w:val="false"/>
                <w:i/>
                <w:color w:val="000000"/>
                <w:sz w:val="20"/>
              </w:rPr>
              <w:t>age 64</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Raymond Vicks, Jr. has served as a member of our Board of Directors since January 2022. Mr. Vicks has served on the Board of Directors of Bowman Consulting Group Ltd since May 2022. Mr. Vicks previously served as Managing Partner at the BMV Group, a position he held from August 2015 until his retirement in 2019. Concurrent with that role, Mr. Vicks also served as the Chief Financial Officer of the HSC Health Care System from 2015 to 2018. Prior to that, Mr. Vicks served in roles of increasing responsibility at PricewaterhouseCoopers LLP from 1995 to 2014, where at the time of his departure, he was a Partner. Mr. Vicks is a Certified Public Accountant and received a B.S. in accounting from Virginia Tech. Our Board of Directors believes that Mr. Vicks is qualified to serve as a director based on his based on his extensive public accounting and management experience.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9"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INFORMATION REGARDING THE BOARD OF DIRECTORS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Independence of the Board of Directors</w:t>
      </w:r>
    </w:p>
    <w:p>
      <w:pPr>
        <w:pStyle w:val="TextBody"/>
        <w:bidi w:val="0"/>
        <w:spacing w:lineRule="auto" w:line="288" w:before="0" w:after="240"/>
        <w:ind w:left="0" w:right="0" w:firstLine="360"/>
        <w:jc w:val="left"/>
        <w:rPr/>
      </w:pPr>
      <w:r>
        <w:rPr>
          <w:rFonts w:ascii="Arial;sans-serif" w:hAnsi="Arial;sans-serif"/>
          <w:b w:val="false"/>
          <w:color w:val="000000"/>
          <w:sz w:val="20"/>
        </w:rPr>
        <w:t>As required under the Nasdaq Stock Market (“Nasdaq”)</w:t>
      </w:r>
      <w:r>
        <w:rPr>
          <w:color w:val="000000"/>
        </w:rPr>
        <w:t xml:space="preserve"> </w:t>
      </w:r>
      <w:r>
        <w:rPr>
          <w:rFonts w:ascii="Arial;sans-serif" w:hAnsi="Arial;sans-serif"/>
          <w:b w:val="false"/>
          <w:color w:val="000000"/>
          <w:sz w:val="20"/>
        </w:rPr>
        <w:t>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pStyle w:val="TextBody"/>
        <w:bidi w:val="0"/>
        <w:spacing w:lineRule="auto" w:line="288" w:before="0" w:after="240"/>
        <w:ind w:left="0" w:right="0" w:firstLine="360"/>
        <w:jc w:val="left"/>
        <w:rPr/>
      </w:pPr>
      <w:r>
        <w:rPr>
          <w:rFonts w:ascii="Arial;sans-serif" w:hAnsi="Arial;sans-serif"/>
          <w:b w:val="false"/>
          <w:color w:val="000000"/>
          <w:sz w:val="20"/>
        </w:rPr>
        <w:t>Our Board determines the independence of each director based on their business and personal activities that might affect us and our management. Each director completes a detailed questionnaire on an annual basis that provides information about relationships that might affect their independence. The Board, with support from our counsel, then evaluates all known relevant facts and circumstances concerning any identified relationship and assesses whether any such relationship would interfere with the independent judgment of the director in carrying out their responsibilities. Consistent with these considerations, after review of all relevant identified transactions or relationships between each director, or any of his or her family members, and the Company, its senior management and its independent registered public accounting firm, the Board has affirmatively determined that the following eight of our current directors are independent directors within the meaning of the applicable Nasdaq</w:t>
      </w:r>
      <w:r>
        <w:rPr>
          <w:color w:val="000000"/>
        </w:rPr>
        <w:t xml:space="preserve"> </w:t>
      </w:r>
      <w:r>
        <w:rPr>
          <w:rFonts w:ascii="Arial;sans-serif" w:hAnsi="Arial;sans-serif"/>
          <w:b w:val="false"/>
          <w:color w:val="000000"/>
          <w:sz w:val="20"/>
        </w:rPr>
        <w:t>listing standards: Arthur W. Coviello, Jr., John C. Huffard, Jr., Margaret Keane, Niloofar Razi Howe, A. Brooke Seawell, George Alexander Tosheff, Raymond Vicks, Jr., and Linda Zecher Higgins. In making this determination, the Board found that none of these directors or nominees for director had a material or other disqualifying relationship with the Company.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Board Leadership Structure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is currently chaired by Mr. Yoran, our Chief Executive Officer. The Board believes that combining the positions of Chief Executive Officer and Board Chair helps to ensure that the Board and management act with a common purpose and provides a single, clear chain of command to execute Tenable’s strategic initiatives and business plans. In addition, the Board believes that a combined Chief Executive Officer/Board Chair is better positioned to act as a bridge between management and the Board, facilitating the regular flow of information. The Board also believes that it is advantageous to have a Board Chair with significant history with and extensive knowledge of Tenable (as is the case with Mr. Yoran).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Board has also appointed Mr. Coviello as lead independent director in order to help reinforce the independence of the Board as a whole. Mr. Coviello will remain lead independent director until February of 2025, assuming his re-election as of the 2024 Annual Meeting. The position of lead independent director has been structured to serve as an effective balance to Mr. Yoran’s leadership as our combined Chief Executive Officer and Board Chair. Mr. Coviello has served as a director since 2018 and currently serves as the Chair of the Nominating and Corporate Governance Committee. Mr. Coviello has extensive security industry and management experience, and experience as a director of public technology companies. The Board believes Mr. Coviello's experience, breadth of knowledge and contributions to the Board position him well to provide strong leadership and oversight of ongoing Board matters and to contribute valuable insight with respect to Tenable's business. The Board believes that Mr. Coviello is highly qualified to assist the Board in overseeing the identification, assessment and management of the Company's exposure to various risks as a result of his extensive management and security experience. The Board believes that Mr. Coviello will be able to provide leadership and help guide the Board's independent oversight of the Company's risk exposures through his role as lead independent director. The lead independent director is empowered to,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40"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other duties and responsibilities, work with the Chief Executive Officer and Board Chair to develop and approve an appropriate Board meeting schedule and Board meeting agendas; provide the Chief Executive Officer and Board Chair feedback on the quality, quantity, and timeliness of the information provided to the Board; develop the agenda and moderate executive sessions of the independent members of the Board; preside over Board meetings when the Chief Executive Officer and Board Chair is not present or when Board or Chief Executive Officer performance or compensation is discussed; act as principal liaison between the independent members of the Board and Chief Executive Officer and Board Chair; convene meetings of the independent directors as appropriate; and perform such other duties as may be established or delegated by the Board. As a result, the Company believes that the lead independent director can help ensure the effective independent functioning of the Board in its oversight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Role of the Board in Risk Oversight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One of the Board’s key functions is informed oversight of Tenable’s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Audit Committee has the responsibility to consider and discuss our major financial risk exposures and the steps our management has taken to monitor and control these exposures, including risks pertaining to financial accounting, investments and cash management, and disclosure controls and procedures. The Audit Committee also monitors compliance with legal and regulatory requirements and oversees the performance of our internal audit function and the performance and independence of external auditors.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Nominating and Corporate Governance Committee monitors the effectiveness of our corporate governance guidelines, including as it relates to regulatory changes and other developments. The Nominating and Corporate Governance Committee also oversees our corporate social responsibility program, stockholder engagement, and board and committee composition and refreshment.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Compensation Committee assesses and monitors whether any of our compensation policies and programs has the potential to encourage excessive risk-taking, and risks associated with human capital management, including recruiting, retention, diversity and inclusion.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Cybersecurity Risk Management Committee assists the Board in fulfilling its oversight responsibility with respect to the management of risks related to our information technology use and protection, cybersecurity, and product security.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Typically, the entire Board meets with members of management responsible for risk management at least annually, and the applicable Board committees meet at least annually with the employees responsible for risk management in the committees’ respective areas of oversight. Both the Board as a whole and the various standing committees receive periodic reports from members of management responsible for risk management, as well as incidental reports as matters may arise. It is the responsibility of the committee chairs to report findings regarding material risk exposures to the Board as quickly as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41"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Meetings of the Board of Directors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Board of Directors met </w:t>
      </w:r>
      <w:r>
        <w:rPr>
          <w:rFonts w:ascii="Arial;sans-serif" w:hAnsi="Arial;sans-serif"/>
          <w:b w:val="false"/>
          <w:color w:val="000000"/>
          <w:sz w:val="20"/>
          <w:shd w:fill="FFFFFF" w:val="clear"/>
        </w:rPr>
        <w:t>four</w:t>
      </w:r>
      <w:r>
        <w:rPr>
          <w:color w:val="000000"/>
        </w:rPr>
        <w:t xml:space="preserve"> </w:t>
      </w:r>
      <w:r>
        <w:rPr>
          <w:rFonts w:ascii="Arial;sans-serif" w:hAnsi="Arial;sans-serif"/>
          <w:b w:val="false"/>
          <w:color w:val="000000"/>
          <w:sz w:val="20"/>
        </w:rPr>
        <w:t>times during 2023. All directors attended at least 75% of the aggregate number of meetings of the Board and of each of the committees on which they</w:t>
      </w:r>
      <w:r>
        <w:rPr>
          <w:color w:val="000000"/>
        </w:rPr>
        <w:t xml:space="preserve"> </w:t>
      </w:r>
      <w:r>
        <w:rPr>
          <w:rFonts w:ascii="Arial;sans-serif" w:hAnsi="Arial;sans-serif"/>
          <w:b w:val="false"/>
          <w:color w:val="000000"/>
          <w:sz w:val="20"/>
        </w:rPr>
        <w:t>served, held during the portion of the last year for which they were directors or committee members,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Information Regarding Committees of the Board of Directors</w:t>
      </w:r>
    </w:p>
    <w:p>
      <w:pPr>
        <w:pStyle w:val="TextBody"/>
        <w:bidi w:val="0"/>
        <w:spacing w:lineRule="auto" w:line="288" w:before="0" w:after="0"/>
        <w:ind w:left="0" w:right="0" w:firstLine="360"/>
        <w:jc w:val="left"/>
        <w:rPr/>
      </w:pPr>
      <w:r>
        <w:rPr>
          <w:rFonts w:ascii="Arial;sans-serif" w:hAnsi="Arial;sans-serif"/>
          <w:b w:val="false"/>
          <w:color w:val="000000"/>
          <w:sz w:val="20"/>
        </w:rPr>
        <w:t>The Board has four committees:</w:t>
      </w:r>
      <w:r>
        <w:rPr>
          <w:color w:val="000000"/>
        </w:rPr>
        <w:t xml:space="preserve"> </w:t>
      </w:r>
      <w:r>
        <w:rPr>
          <w:rFonts w:ascii="Arial;sans-serif" w:hAnsi="Arial;sans-serif"/>
          <w:b w:val="false"/>
          <w:color w:val="000000"/>
          <w:sz w:val="20"/>
        </w:rPr>
        <w:t>an Audit Committee, a Compensation Committee, a Cybersecurity Risk Management Committee, and a Nominating and Corporate Governance Committee. The following table provides the current membership of each of the Board committees, and identifies the chairperson of each committee and the number of committee meetings held in 2023:</w:t>
      </w:r>
    </w:p>
    <w:tbl>
      <w:tblPr>
        <w:tblW w:w="10205" w:type="dxa"/>
        <w:jc w:val="left"/>
        <w:tblInd w:w="0" w:type="dxa"/>
        <w:tblLayout w:type="fixed"/>
        <w:tblCellMar>
          <w:top w:w="28" w:type="dxa"/>
          <w:left w:w="28" w:type="dxa"/>
          <w:bottom w:w="28" w:type="dxa"/>
          <w:right w:w="28" w:type="dxa"/>
        </w:tblCellMar>
      </w:tblPr>
      <w:tblGrid>
        <w:gridCol w:w="726"/>
        <w:gridCol w:w="603"/>
        <w:gridCol w:w="610"/>
        <w:gridCol w:w="109"/>
        <w:gridCol w:w="109"/>
        <w:gridCol w:w="109"/>
        <w:gridCol w:w="185"/>
        <w:gridCol w:w="185"/>
        <w:gridCol w:w="186"/>
        <w:gridCol w:w="109"/>
        <w:gridCol w:w="109"/>
        <w:gridCol w:w="109"/>
        <w:gridCol w:w="450"/>
        <w:gridCol w:w="450"/>
        <w:gridCol w:w="451"/>
        <w:gridCol w:w="109"/>
        <w:gridCol w:w="109"/>
        <w:gridCol w:w="109"/>
        <w:gridCol w:w="787"/>
        <w:gridCol w:w="787"/>
        <w:gridCol w:w="789"/>
        <w:gridCol w:w="109"/>
        <w:gridCol w:w="109"/>
        <w:gridCol w:w="109"/>
        <w:gridCol w:w="784"/>
        <w:gridCol w:w="784"/>
        <w:gridCol w:w="1120"/>
      </w:tblGrid>
      <w:tr>
        <w:trPr/>
        <w:tc>
          <w:tcPr>
            <w:tcW w:w="7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Cybersecurity 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000000"/>
                <w:sz w:val="18"/>
              </w:rPr>
            </w:pPr>
            <w:r>
              <w:rPr>
                <w:rFonts w:ascii="Arial;sans-serif" w:hAnsi="Arial;sans-serif"/>
                <w:b/>
                <w:color w:val="000000"/>
                <w:sz w:val="18"/>
              </w:rPr>
              <w:t>Nominating and Corporate Governance</w:t>
            </w:r>
          </w:p>
        </w:tc>
      </w:tr>
      <w:tr>
        <w:trPr/>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Arthur W. Coviello,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X*</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Margaret Keane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Linda Zecher Higgins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Niloofar Razi Howe</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John C. Huffard, Jr.</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Brooke Seawell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George Alexander Tosheff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Raymond Vicks,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color w:val="000000"/>
                <w:sz w:val="20"/>
              </w:rPr>
            </w:pPr>
            <w:r>
              <w:rPr>
                <w:rFonts w:ascii="Arial;sans-serif" w:hAnsi="Arial;sans-serif"/>
                <w:b w:val="false"/>
                <w:color w:val="000000"/>
                <w:sz w:val="20"/>
              </w:rPr>
              <w:t>Total meetings in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Committee Chairperson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Ms. Keane joined the Board, Compensation Committee and Cybersecurity Risk Management Committee in June 2023.</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Ms. Howe was elected to the Nominating and Corporate Governance Committee in June 2023.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Mr. Huffard was elected to the Audit Committee in August 2023.</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Below is a description of each committee of the Board of Directors. Each of the committees has the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Audit Committee </w:t>
      </w:r>
    </w:p>
    <w:p>
      <w:pPr>
        <w:pStyle w:val="TextBody"/>
        <w:bidi w:val="0"/>
        <w:spacing w:lineRule="auto" w:line="288" w:before="0" w:after="6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pStyle w:val="TextBody"/>
        <w:bidi w:val="0"/>
        <w:spacing w:lineRule="auto" w:line="288" w:before="0" w:after="60"/>
        <w:ind w:left="0" w:right="0" w:hanging="360"/>
        <w:jc w:val="left"/>
        <w:rPr/>
      </w:pPr>
      <w:r>
        <w:rPr>
          <w:color w:val="000000"/>
          <w:shd w:fill="FFFFFF" w:val="clear"/>
        </w:rPr>
        <w:t>•</w:t>
      </w:r>
      <w:r>
        <w:rPr>
          <w:rFonts w:ascii="Arial;sans-serif" w:hAnsi="Arial;sans-serif"/>
          <w:b w:val="false"/>
          <w:color w:val="000000"/>
          <w:sz w:val="20"/>
        </w:rPr>
        <w:t>selecting a qualified firm to serve as the independent registered public accounting firm to audit our financial statements</w:t>
      </w:r>
      <w:r>
        <w:rPr>
          <w:rFonts w:ascii="Arial;sans-serif" w:hAnsi="Arial;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42"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hanging="360"/>
        <w:jc w:val="left"/>
        <w:rPr/>
      </w:pPr>
      <w:r>
        <w:rPr>
          <w:color w:val="000000"/>
          <w:shd w:fill="FFFFFF" w:val="clear"/>
        </w:rPr>
        <w:t>•</w:t>
      </w:r>
      <w:r>
        <w:rPr>
          <w:rFonts w:ascii="Arial;sans-serif" w:hAnsi="Arial;sans-serif"/>
          <w:b w:val="false"/>
          <w:color w:val="000000"/>
          <w:sz w:val="20"/>
        </w:rPr>
        <w:t xml:space="preserve">approving (or, as permitted, pre-approving) all audit and all permissible non-audit services to be performed by the independent registered public accounting firm;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helping to ensure the independence and performance of the independent registered public accounting firm;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discussing the scope and results of the audit with the independent registered public accounting firm, and reviewing, with management and the independent registered public accounting firm, our interim and year-end operating results, including a review of our disclosures under "Management's Discussion and Analysis of Financial Condition and Results of Operations";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reviewing our policies on risk assessment and risk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overseeing the organization and performance of the Company's internal audit function;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developing procedures for employees to submit concerns anonymously about questionable accounting or audit matters;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reviewing related party transactions; and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meeting in executive session with management and the Company's independent registered public accountants.</w:t>
      </w:r>
    </w:p>
    <w:p>
      <w:pPr>
        <w:pStyle w:val="TextBody"/>
        <w:bidi w:val="0"/>
        <w:spacing w:before="0" w:after="60"/>
        <w:jc w:val="left"/>
        <w:rPr/>
      </w:pPr>
      <w:r>
        <w:rPr/>
      </w:r>
    </w:p>
    <w:p>
      <w:pPr>
        <w:pStyle w:val="TextBody"/>
        <w:bidi w:val="0"/>
        <w:spacing w:lineRule="auto" w:line="288" w:before="0" w:after="240"/>
        <w:ind w:left="0" w:right="0" w:firstLine="360"/>
        <w:jc w:val="left"/>
        <w:rPr/>
      </w:pPr>
      <w:r>
        <w:rPr>
          <w:rFonts w:ascii="Arial;sans-serif" w:hAnsi="Arial;sans-serif"/>
          <w:b w:val="false"/>
          <w:color w:val="000000"/>
          <w:sz w:val="20"/>
        </w:rPr>
        <w:t>The Audit Committee is currently composed of four</w:t>
      </w:r>
      <w:r>
        <w:rPr>
          <w:color w:val="000000"/>
        </w:rPr>
        <w:t xml:space="preserve"> </w:t>
      </w:r>
      <w:r>
        <w:rPr>
          <w:rFonts w:ascii="Arial;sans-serif" w:hAnsi="Arial;sans-serif"/>
          <w:b w:val="false"/>
          <w:color w:val="000000"/>
          <w:sz w:val="20"/>
        </w:rPr>
        <w:t>directors: Messrs. Seawell, Huffard, Tosheff, and Vicks. The Audit Committee met eight</w:t>
      </w:r>
      <w:r>
        <w:rPr>
          <w:color w:val="000000"/>
        </w:rPr>
        <w:t xml:space="preserve"> </w:t>
      </w:r>
      <w:r>
        <w:rPr>
          <w:rFonts w:ascii="Arial;sans-serif" w:hAnsi="Arial;sans-serif"/>
          <w:b w:val="false"/>
          <w:color w:val="000000"/>
          <w:sz w:val="20"/>
        </w:rPr>
        <w:t>times during 2023. The Board has adopted a written Audit Committee charter that is available to stockholders</w:t>
      </w:r>
      <w:r>
        <w:rPr>
          <w:color w:val="000000"/>
        </w:rPr>
        <w:t xml:space="preserve"> </w:t>
      </w:r>
      <w:r>
        <w:rPr>
          <w:rFonts w:ascii="Arial;sans-serif" w:hAnsi="Arial;sans-serif"/>
          <w:b w:val="false"/>
          <w:color w:val="000000"/>
          <w:sz w:val="20"/>
        </w:rPr>
        <w:t xml:space="preserve">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reviews the Nasdaq listing standards definition of independence for Audit Committee members on an annual basis and has determined that all of the current members of the Audit Committee are independent (as independence is currently defined in Rule 5605(c)(2)(A)(i) and (ii) of the Nasdaq listing rules and under Rule 10A-3 under the Exchange Act).</w:t>
      </w:r>
    </w:p>
    <w:p>
      <w:pPr>
        <w:pStyle w:val="TextBody"/>
        <w:bidi w:val="0"/>
        <w:spacing w:lineRule="auto" w:line="288" w:before="0" w:after="240"/>
        <w:ind w:left="0" w:right="0" w:firstLine="360"/>
        <w:jc w:val="left"/>
        <w:rPr/>
      </w:pPr>
      <w:r>
        <w:rPr>
          <w:rFonts w:ascii="Arial;sans-serif" w:hAnsi="Arial;sans-serif"/>
          <w:b w:val="false"/>
          <w:color w:val="000000"/>
          <w:sz w:val="20"/>
        </w:rPr>
        <w:t>The Board of Directors has also determined that Messrs. Seawell and Vicks each qualifies as an “audit committee financial expert,” as defined in applicable SEC rules.</w:t>
      </w:r>
      <w:r>
        <w:rPr>
          <w:color w:val="000000"/>
        </w:rPr>
        <w:t xml:space="preserve"> </w:t>
      </w:r>
      <w:r>
        <w:rPr>
          <w:rFonts w:ascii="Arial;sans-serif" w:hAnsi="Arial;sans-serif"/>
          <w:b w:val="false"/>
          <w:color w:val="000000"/>
          <w:sz w:val="20"/>
        </w:rPr>
        <w:t>The Board made a qualitative assessment of Messrs. Seawell's and Vicks' level of knowledge and experience based on a number of factors, including their formal education, Mr. Seawell's experience as a chief financial officer of public reporting companies and Mr. Vicks' public accounting experience.</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Report of the Audit Committee of the Board of Directors*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Audit Committee has reviewed and discussed the audited financial statements for the year ended December 31, 2023 with management of the Company. The Audit Committee has discussed with the independent registered public accounting firm the matters required to be discussed by the applicable requirements of the Public Company Accounting Oversight Board (“PCAOB”) and SEC.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of Directors that the audited financial statements be included in the Company’s Annual Report on Form 10-K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43"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Brooke Seawell, Chair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John C. Huffard, Jr.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George Alexander Tosheff</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Raymond Vicks, Jr.</w:t>
      </w:r>
    </w:p>
    <w:p>
      <w:pPr>
        <w:pStyle w:val="TextBody"/>
        <w:bidi w:val="0"/>
        <w:spacing w:lineRule="auto" w:line="288" w:before="0" w:after="240"/>
        <w:ind w:left="0" w:right="0" w:firstLine="360"/>
        <w:jc w:val="left"/>
        <w:rPr/>
      </w:pPr>
      <w:r>
        <w:rPr>
          <w:rFonts w:ascii="Arial;sans-serif" w:hAnsi="Arial;sans-serif"/>
          <w:b w:val="false"/>
          <w:color w:val="000000"/>
          <w:sz w:val="20"/>
        </w:rPr>
        <w:t>*</w:t>
      </w:r>
      <w:r>
        <w:rPr>
          <w:rFonts w:ascii="Arial;sans-serif" w:hAnsi="Arial;sans-serif"/>
          <w:b w:val="false"/>
          <w:i/>
          <w:color w:val="000000"/>
          <w:sz w:val="20"/>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Compensation Committee</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of the Board of Directors acts on behalf of the Board to review, modify and oversee the Company’s compensation strategy, policies, plans and programs, including: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establishment of corporate and individual performance objectives relevant to the compensation of our executive officers, directors and other senior management and evaluation of performance in light of these stated objectives;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 and approve the compensation and other terms of employment or service, including severance and change-in-control arrangements, of our Chief Executive Officer, the other executive officers and other senior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review and recommend to the Board for approval the type and amount of compensation to be paid or awarded to our directors;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administration of our equity compensation plans, bonus plans, benefit plans and other similar plans and programs.</w:t>
      </w:r>
    </w:p>
    <w:p>
      <w:pPr>
        <w:pStyle w:val="TextBody"/>
        <w:bidi w:val="0"/>
        <w:spacing w:lineRule="auto" w:line="288" w:before="0" w:after="240"/>
        <w:ind w:left="0" w:right="0" w:firstLine="360"/>
        <w:jc w:val="left"/>
        <w:rPr/>
      </w:pPr>
      <w:r>
        <w:rPr>
          <w:rFonts w:ascii="Arial;sans-serif" w:hAnsi="Arial;sans-serif"/>
          <w:b w:val="false"/>
          <w:color w:val="000000"/>
          <w:sz w:val="20"/>
        </w:rPr>
        <w:t>The Compensation Committee is currently composed of three</w:t>
      </w:r>
      <w:r>
        <w:rPr>
          <w:color w:val="000000"/>
        </w:rPr>
        <w:t xml:space="preserve"> </w:t>
      </w:r>
      <w:r>
        <w:rPr>
          <w:rFonts w:ascii="Arial;sans-serif" w:hAnsi="Arial;sans-serif"/>
          <w:b w:val="false"/>
          <w:color w:val="000000"/>
          <w:sz w:val="20"/>
        </w:rPr>
        <w:t xml:space="preserve">directors: Mses. Higgins, Howe, and Keane. All members of the Company’s Compensation Committee are independent (as independence is currently defined in Rule 5605(d)(2) of the Nasdaq listing rules). The Compensation Committee met </w:t>
      </w:r>
      <w:r>
        <w:rPr>
          <w:rFonts w:ascii="Arial;sans-serif" w:hAnsi="Arial;sans-serif"/>
          <w:b w:val="false"/>
          <w:color w:val="000000"/>
          <w:sz w:val="20"/>
          <w:shd w:fill="FFFFFF" w:val="clear"/>
        </w:rPr>
        <w:t>five</w:t>
      </w:r>
      <w:r>
        <w:rPr>
          <w:color w:val="800080"/>
        </w:rPr>
        <w:t xml:space="preserve"> </w:t>
      </w:r>
      <w:r>
        <w:rPr>
          <w:rFonts w:ascii="Arial;sans-serif" w:hAnsi="Arial;sans-serif"/>
          <w:b w:val="false"/>
          <w:color w:val="000000"/>
          <w:sz w:val="20"/>
        </w:rPr>
        <w:t xml:space="preserve">times during 2023. The Board has adopted a written Compensation Committee charter that is available to stockholders 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Compensation Committee Processes and Procedures</w:t>
      </w:r>
    </w:p>
    <w:p>
      <w:pPr>
        <w:pStyle w:val="TextBody"/>
        <w:bidi w:val="0"/>
        <w:spacing w:lineRule="auto" w:line="288" w:before="0" w:after="240"/>
        <w:ind w:left="0" w:right="0" w:firstLine="360"/>
        <w:jc w:val="left"/>
        <w:rPr/>
      </w:pPr>
      <w:r>
        <w:rPr>
          <w:rFonts w:ascii="Arial;sans-serif" w:hAnsi="Arial;sans-serif"/>
          <w:b w:val="false"/>
          <w:color w:val="000000"/>
          <w:sz w:val="20"/>
        </w:rPr>
        <w:t>Typically, the Compensation Committee meets quarterly</w:t>
      </w:r>
      <w:r>
        <w:rPr>
          <w:color w:val="000000"/>
        </w:rPr>
        <w:t xml:space="preserve"> </w:t>
      </w:r>
      <w:r>
        <w:rPr>
          <w:rFonts w:ascii="Arial;sans-serif" w:hAnsi="Arial;sans-serif"/>
          <w:b w:val="false"/>
          <w:color w:val="000000"/>
          <w:sz w:val="20"/>
        </w:rPr>
        <w:t>and with greater frequency when necessary. The agenda for each meeting is usually developed by the Chair of the Compensation Committee, in consultation with the Chief Executive Officer, Chief People and Culture Officer and Compensia, Inc. ("Compensia"), the compensation consultant engaged by the Compensation Committee. The Compensation Committee meets regularly in executive session. In addition to our Chief Executive Officer, our Chief People Officer and our Deputy General Counsel also regularly attend meetings at the invitation of the Compensation Committee and take part in discussions about executive compensation. From time to time, various members of management and other employees as well as outside advisors or consultants</w:t>
      </w:r>
      <w:r>
        <w:rPr>
          <w:color w:val="000000"/>
        </w:rPr>
        <w:t xml:space="preserve"> </w:t>
      </w:r>
      <w:r>
        <w:rPr>
          <w:rFonts w:ascii="Arial;sans-serif" w:hAnsi="Arial;sans-serif"/>
          <w:b w:val="false"/>
          <w:color w:val="000000"/>
          <w:sz w:val="20"/>
        </w:rPr>
        <w:t>may be invited by the Compensation Committee to make</w:t>
      </w:r>
      <w:r>
        <w:rPr>
          <w:color w:val="000000"/>
        </w:rPr>
        <w:t xml:space="preserve"> </w:t>
      </w:r>
      <w:r>
        <w:rPr>
          <w:rFonts w:ascii="Arial;sans-serif" w:hAnsi="Arial;sans-serif"/>
          <w:b w:val="false"/>
          <w:color w:val="000000"/>
          <w:sz w:val="20"/>
        </w:rPr>
        <w:t>presentations, to provide financial or other</w:t>
      </w:r>
      <w:r>
        <w:rPr>
          <w:color w:val="000000"/>
        </w:rPr>
        <w:t xml:space="preserve"> </w:t>
      </w:r>
      <w:r>
        <w:rPr>
          <w:rFonts w:ascii="Arial;sans-serif" w:hAnsi="Arial;sans-serif"/>
          <w:b w:val="false"/>
          <w:color w:val="000000"/>
          <w:sz w:val="20"/>
        </w:rPr>
        <w:t xml:space="preserve">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44"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Arial;sans-serif" w:hAnsi="Arial;sans-serif"/>
          <w:b w:val="false"/>
          <w:color w:val="000000"/>
          <w:sz w:val="20"/>
        </w:rPr>
        <w:t>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w:t>
      </w:r>
      <w:r>
        <w:rPr>
          <w:color w:val="000000"/>
        </w:rPr>
        <w:t xml:space="preserve"> </w:t>
      </w:r>
      <w:r>
        <w:rPr>
          <w:rFonts w:ascii="Arial;sans-serif" w:hAnsi="Arial;sans-serif"/>
          <w:b w:val="false"/>
          <w:color w:val="000000"/>
          <w:sz w:val="20"/>
        </w:rPr>
        <w:t>executive</w:t>
      </w:r>
      <w:r>
        <w:rPr>
          <w:color w:val="000000"/>
        </w:rPr>
        <w:t xml:space="preserve"> </w:t>
      </w:r>
      <w:r>
        <w:rPr>
          <w:rFonts w:ascii="Arial;sans-serif" w:hAnsi="Arial;sans-serif"/>
          <w:b w:val="false"/>
          <w:color w:val="000000"/>
          <w:sz w:val="20"/>
        </w:rPr>
        <w:t>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TextBody"/>
        <w:bidi w:val="0"/>
        <w:spacing w:lineRule="auto" w:line="288" w:before="0" w:after="60"/>
        <w:ind w:left="0" w:right="0" w:firstLine="360"/>
        <w:jc w:val="left"/>
        <w:rPr/>
      </w:pPr>
      <w:r>
        <w:rPr>
          <w:rFonts w:ascii="Arial;sans-serif" w:hAnsi="Arial;sans-serif"/>
          <w:b w:val="false"/>
          <w:color w:val="000000"/>
          <w:sz w:val="20"/>
        </w:rPr>
        <w:t>During the past calendar year,</w:t>
      </w:r>
      <w:r>
        <w:rPr>
          <w:color w:val="000000"/>
        </w:rPr>
        <w:t xml:space="preserve"> </w:t>
      </w:r>
      <w:r>
        <w:rPr>
          <w:rFonts w:ascii="Arial;sans-serif" w:hAnsi="Arial;sans-serif"/>
          <w:b w:val="false"/>
          <w:color w:val="000000"/>
          <w:sz w:val="20"/>
        </w:rPr>
        <w:t>after taking into consideration the six factors prescribed by the SEC and Nasdaq described above, the Compensation Committee retained Compensia</w:t>
      </w:r>
      <w:r>
        <w:rPr>
          <w:color w:val="000000"/>
        </w:rPr>
        <w:t xml:space="preserve"> </w:t>
      </w:r>
      <w:r>
        <w:rPr>
          <w:rFonts w:ascii="Arial;sans-serif" w:hAnsi="Arial;sans-serif"/>
          <w:b w:val="false"/>
          <w:color w:val="000000"/>
          <w:sz w:val="20"/>
        </w:rPr>
        <w:t>as its compensation consultant.</w:t>
      </w:r>
      <w:r>
        <w:rPr>
          <w:color w:val="000000"/>
        </w:rPr>
        <w:t xml:space="preserve"> </w:t>
      </w:r>
      <w:r>
        <w:rPr>
          <w:rFonts w:ascii="Arial;sans-serif" w:hAnsi="Arial;sans-serif"/>
          <w:b w:val="false"/>
          <w:color w:val="000000"/>
          <w:sz w:val="20"/>
        </w:rPr>
        <w:t>Our Compensation Committee identified Compensia based on Compensia's general reputation in the industry. The Compensation Committee requested that Compensia:</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evaluate the efficacy of the Company’s existing compensation strategy and practices in supporting and reinforcing the Company’s long-term strategic goals;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assist in refining the Company’s compensation strategy and in developing and implementing an executive compensation program to execute that strategy.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part of its engagement, Compensia was requested by the Compensation Committee to review and update the group of companies that we use for comparative purposes and to perform an analysis of competitive performance and compensation levels for that group. The specific determinations of the Compensation Committee with respect to executive compensation for the year ended December 31, 2023, as well as the role of the compensation consultant in assisting with those determinations, are described in greater detail in the “Compensation Discussion and Analysis” section of this proxy statement.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its charter, the Compensation Committee may form, and delegate authority to, subcommittees as appropriate. In 2023, the Compensation Committee delegated authority to Mr. Yoran, in his capacity as our Chief Executive Officer and Chairman, to grant, without any further action required by the Compensation Committee, stock awards to certain employees who are not his direct reports or officers of the Company, up to and including employees at the senior vice president level. The purpose of this delegation of authority is to enhance the flexibility of equity award administration within the Company and to facilitate the timely grant of stock awards to employees, particularly new employees and promoted employees, within specified limits approved by the Compensation Committee. The number of shares underlying awards approved by Mr. Yoran for on-hire, annual, promotion, and retention-and-merit-based awards, are subject to certain limitations and guidelines approved by the Compensation Committee from time to time. As part of its oversight function, the Compensation Committee reviews on a quarterly basis the list of grants made by Mr. Yoran. The Compensation Committee reviews the delegated authority periodically and amends it as necessary. During 2023, Mr. Yoran exercised his authority to grant a total of 3,017,494 restricted stock units ("RSUs") to qualifying employees. No other equity awards were granted pursuant to Mr. Yoran’s authority during 2023.</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Compensation Committee typically makes adjustments to annual compensation, approves changes to the key financial metric targets and formulas used to determine annual bonus payments, approves additional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45"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Arial;sans-serif" w:hAnsi="Arial;sans-serif"/>
          <w:b w:val="false"/>
          <w:color w:val="000000"/>
          <w:sz w:val="20"/>
        </w:rPr>
        <w:t>various meetings throughout the year. Generally, the Compensation Committee’s process comprises two related elements:</w:t>
      </w:r>
      <w:r>
        <w:rPr>
          <w:color w:val="000000"/>
        </w:rPr>
        <w:t xml:space="preserve"> </w:t>
      </w:r>
      <w:r>
        <w:rPr>
          <w:rFonts w:ascii="Arial;sans-serif" w:hAnsi="Arial;sans-serif"/>
          <w:b w:val="false"/>
          <w:color w:val="000000"/>
          <w:sz w:val="20"/>
        </w:rPr>
        <w:t>the determination of compensation levels and the establishment of performance objectives for the current year. For executives other than the Chief Executive Officer, the Compensation Committee solicits and considers evaluations and recommendations submitted to the Committee</w:t>
      </w:r>
      <w:r>
        <w:rPr>
          <w:color w:val="000000"/>
        </w:rPr>
        <w:t xml:space="preserve"> </w:t>
      </w:r>
      <w:r>
        <w:rPr>
          <w:rFonts w:ascii="Arial;sans-serif" w:hAnsi="Arial;sans-serif"/>
          <w:b w:val="false"/>
          <w:color w:val="000000"/>
          <w:sz w:val="20"/>
        </w:rPr>
        <w:t>by the Chief Executive Officer. In the case of the Chief Executive Officer, the evaluation of his performance is conducted by the Compensation Committee, which determines any adjustments to his</w:t>
      </w:r>
      <w:r>
        <w:rPr>
          <w:color w:val="000000"/>
        </w:rPr>
        <w:t xml:space="preserve"> </w:t>
      </w:r>
      <w:r>
        <w:rPr>
          <w:rFonts w:ascii="Arial;sans-serif" w:hAnsi="Arial;sans-serif"/>
          <w:b w:val="false"/>
          <w:color w:val="000000"/>
          <w:sz w:val="20"/>
        </w:rPr>
        <w:t>compensation</w:t>
      </w:r>
      <w:r>
        <w:rPr>
          <w:color w:val="000000"/>
        </w:rPr>
        <w:t xml:space="preserve"> </w:t>
      </w:r>
      <w:r>
        <w:rPr>
          <w:rFonts w:ascii="Arial;sans-serif" w:hAnsi="Arial;sans-serif"/>
          <w:b w:val="false"/>
          <w:color w:val="000000"/>
          <w:sz w:val="20"/>
        </w:rPr>
        <w:t>as well as awards to be granted. For all executives and directors as part of its deliberations, the Compensation Committee may review and consider, as appropriate,</w:t>
      </w:r>
      <w:r>
        <w:rPr>
          <w:color w:val="000000"/>
        </w:rPr>
        <w:t xml:space="preserve"> </w:t>
      </w:r>
      <w:r>
        <w:rPr>
          <w:rFonts w:ascii="Arial;sans-serif" w:hAnsi="Arial;sans-serif"/>
          <w:b w:val="false"/>
          <w:color w:val="000000"/>
          <w:sz w:val="20"/>
        </w:rPr>
        <w:t>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Compensation Committee Interlocks and Insider Participation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 of the current members of our Compensation Committee has ever been an executive officer or employee of ours. None of our executive officers currently serves, or has served during the last completed year, on the compensation committee or board of directors of any other entity that has one or more executive officers serving as a member of our Board of Directors or Compensation Committee.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Report of the Compensation Committee of the Board of Directors*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has reviewed and discussed with management the Compensation Discussion and Analysis (“CD&amp;A”) contained in this proxy statement. Based on this review and discussion, the Compensation Committee has recommended to the Board of Directors that the CD&amp;A be included in this proxy statement and incorporated into the Company’s Annual Report on Form 10-K for the year ended December 31, 2023.</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Linda Zecher Higgins, Chair</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Niloofar Razi Howe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Margaret Keane</w:t>
      </w:r>
    </w:p>
    <w:p>
      <w:pPr>
        <w:pStyle w:val="TextBody"/>
        <w:bidi w:val="0"/>
        <w:spacing w:lineRule="auto" w:line="288" w:before="0" w:after="240"/>
        <w:ind w:left="0" w:right="0" w:firstLine="360"/>
        <w:jc w:val="left"/>
        <w:rPr/>
      </w:pPr>
      <w:r>
        <w:rPr>
          <w:rFonts w:ascii="Arial;sans-serif" w:hAnsi="Arial;sans-serif"/>
          <w:b w:val="false"/>
          <w:color w:val="000000"/>
          <w:sz w:val="20"/>
        </w:rPr>
        <w:t>*</w:t>
      </w:r>
      <w:r>
        <w:rPr>
          <w:rFonts w:ascii="Arial;sans-serif" w:hAnsi="Arial;sans-serif"/>
          <w:b w:val="false"/>
          <w:i/>
          <w:color w:val="000000"/>
          <w:sz w:val="20"/>
        </w:rPr>
        <w:t>The material in this report is not “soliciting material,” is furnished to, but not deemed “filed” with, the Commission and is not deemed to be incorporated by reference in any filing of the Company under the Securities Act or the Exchange Act, other than the Company’s Annual Report on Form 10</w:t>
        <w:noBreakHyphen/>
        <w:t>K, where it shall be deemed to be “furnished,”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Nominating and Corporate Governance Committee </w:t>
      </w:r>
    </w:p>
    <w:p>
      <w:pPr>
        <w:pStyle w:val="TextBody"/>
        <w:bidi w:val="0"/>
        <w:spacing w:lineRule="auto" w:line="288" w:before="0" w:after="240"/>
        <w:ind w:left="0" w:right="0" w:firstLine="360"/>
        <w:jc w:val="left"/>
        <w:rPr/>
      </w:pPr>
      <w:r>
        <w:rPr>
          <w:rFonts w:ascii="Arial;sans-serif" w:hAnsi="Arial;sans-serif"/>
          <w:b w:val="false"/>
          <w:color w:val="000000"/>
          <w:sz w:val="20"/>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for selection</w:t>
      </w:r>
      <w:r>
        <w:rPr>
          <w:color w:val="000000"/>
        </w:rPr>
        <w:t xml:space="preserve"> </w:t>
      </w:r>
      <w:r>
        <w:rPr>
          <w:rFonts w:ascii="Arial;sans-serif" w:hAnsi="Arial;sans-serif"/>
          <w:b w:val="false"/>
          <w:color w:val="000000"/>
          <w:sz w:val="20"/>
        </w:rPr>
        <w:t>candidates for election to the Board of Directors, making recommendations to the Board regarding the membership of the committees of the Board, assessing the performance of management and the Board, developing a set of corporate governance principles for the Company and overseeing the Company's corporate environmental, social and governance programs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6"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pPr>
      <w:r>
        <w:rPr>
          <w:rFonts w:ascii="Arial;sans-serif" w:hAnsi="Arial;sans-serif"/>
          <w:b w:val="false"/>
          <w:color w:val="000000"/>
          <w:sz w:val="20"/>
        </w:rPr>
        <w:t>The Nominating and Corporate Governance Committee</w:t>
      </w:r>
      <w:r>
        <w:rPr>
          <w:color w:val="000000"/>
        </w:rPr>
        <w:t xml:space="preserve"> </w:t>
      </w:r>
      <w:r>
        <w:rPr>
          <w:rFonts w:ascii="Arial;sans-serif" w:hAnsi="Arial;sans-serif"/>
          <w:b w:val="false"/>
          <w:color w:val="000000"/>
          <w:sz w:val="20"/>
        </w:rPr>
        <w:t>is currently composed of three directors: Mr. Coviello and Mses. Higgins and Howe. All members of the Nominating and Corporate Governance Committee are independent (as independence is currently defined in Rule 5605(a)(2) of the Nasdaq listing rules). The Nominating and Corporate Governance Committee me</w:t>
      </w:r>
      <w:r>
        <w:rPr>
          <w:rFonts w:ascii="Arial;sans-serif" w:hAnsi="Arial;sans-serif"/>
          <w:b w:val="false"/>
          <w:color w:val="000000"/>
          <w:sz w:val="20"/>
          <w:shd w:fill="FFFFFF" w:val="clear"/>
        </w:rPr>
        <w:t>t four ti</w:t>
      </w:r>
      <w:r>
        <w:rPr>
          <w:rFonts w:ascii="Arial;sans-serif" w:hAnsi="Arial;sans-serif"/>
          <w:b w:val="false"/>
          <w:color w:val="000000"/>
          <w:sz w:val="20"/>
        </w:rPr>
        <w:t xml:space="preserve">mes during 2023. The Board has adopted a written Nominating and Corporate Governance Committee charter that is available to stockholders 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Nominating and Corporate Governance Committee believes that candidates for director should have certain minimum qualifications, including the ability to read and understand basic financial statements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Board diversity and inclusion is critical to Tenable’s success.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will review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by outside counsel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also engages professional search firms from time to time to assist in identifying potential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Tenable Holdings, Inc., Attention: Corporate Secretary, 6100 Merriweather Drive, 12th Floor, Columbia, Maryland 21044, at least 90 days, but not more than 120 days prior to the anniversary date of the preceding year's annual meeting of stockholders. Submissions must include the name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47"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address of the stockholder on whose behalf the submission is made, the number of shares of Tenable stock owned beneficially by such stockholder on the date of the submission, the full name of the proposed nominee, a description of the proposed nominee’s business experience for at least the previous five years, complete biographical information and a description of the proposed nominee's qualifications as a director. Any submission must be accompanied by the written consent of the proposed nominee to be named as a nominee and to serve as a director if elected.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Cybersecurity Risk Management Committee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Cybersecurity Risk Management Committee of the Board of Directors assists the Board in fulfilling its oversight responsibility with respect to the management of risks related to the Company's information technology use and protection, cybersecurity, and product security. The Cybersecurity Risk Management Committee is responsible for oversight of the Company's: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quality and effectiveness of the policies and procedures governing information technology and network systems, including relating to data governance, incident response procedures and disaster recovery capabilities, and product security;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technology senior management teams' priorities for its information technology and engineering security functions;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management of compliance risks and audits related to its information technology and network systems;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internal access controls and audits relating to cyber and information security;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disclosures in SEC filings related to its information technology and network systems;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cyber insurance policies and coverage.</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Cybersecurity Risk Management Committee is currently composed of three directors: Mr. Huffard, Ms. Keane and Mr. Tosheff. All members of the Cybersecurity Risk Management Committee are independent (as independence is currently defined in Rule 5605(a)(2) of the Nasdaq listing rules). The Cybersecurity Risk Management Committee met four times during 2023. The Board has adopted a written Cybersecurity Risk Management Committee charter that is available to stockholders on our website at </w:t>
      </w:r>
      <w:r>
        <w:rPr>
          <w:rFonts w:ascii="Arial;sans-serif" w:hAnsi="Arial;sans-serif"/>
          <w:b w:val="false"/>
          <w:i/>
          <w:color w:val="000000"/>
          <w:sz w:val="20"/>
        </w:rPr>
        <w:t>www.investors.tenable.com</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Cybersecurity Risk Management Committee meets quarterly and with greater frequency if necessary. The Cybersecurity Risk Management Committee meets regularly in executive session. In addition to our Chief Executive Officer, our Chief Security Officer and our Chief Legal Counsel regularly attend meetings at the invitation of the Cybersecurity Risk Management Committee. The Cybersecurity Risk Management Committee also has direct access to our Chief Security Officer and evaluates his performance. From time to time, various members of management and other employees as well as outside advisors may be invited by the Cybersecurity Risk Management Committee to brief the committee members on the current threat landscape and cybersecurity efforts. Under its charter, the Cybersecurity Risk Management Committee is granted authority to retain independent advisors and investigate matters brought to its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Stockholder Communications with the Board of Directors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stockholders and other interested parties are welcome to communicate with our non-management directors through an established process for stockholder communication. For communication directed to our non-management directors, please contact our Corporate Secretary or Legal Department in writing at the address listed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48"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Tenable Holdings, Inc.</w:t>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6100 Merriweather Drive, 12th Floor</w:t>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Columbia, MD 21044</w:t>
      </w:r>
    </w:p>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Attn: Corporate Secretary or Legal Department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Corporate Secretary or Legal Department will review all incoming stockholder communications and determine whether the communication should be presented to the Board or the appropriate director or committee. The purpose of this screening is to allow the Board to avoid having to consider irrelevant or inappropriate communications, such as mass mailings, product complaints or inquiries, job inquiries, business solicitations and patently offensive or otherwise inappropriate material. The screening procedures have been approved by a majority of our independent directors. All communications directed to the Audit Committee in accordance with the Company’s whistleblower policy that relate to questionable accounting or auditing matters involving the Company will be promptly and directly forwarded to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Code of Ethics</w:t>
      </w:r>
    </w:p>
    <w:p>
      <w:pPr>
        <w:pStyle w:val="TextBody"/>
        <w:bidi w:val="0"/>
        <w:spacing w:lineRule="auto" w:line="288" w:before="0" w:after="240"/>
        <w:ind w:left="0" w:right="0" w:firstLine="360"/>
        <w:jc w:val="left"/>
        <w:rPr/>
      </w:pPr>
      <w:r>
        <w:rPr>
          <w:rFonts w:ascii="Arial;sans-serif" w:hAnsi="Arial;sans-serif"/>
          <w:b w:val="false"/>
          <w:color w:val="000000"/>
          <w:sz w:val="20"/>
        </w:rPr>
        <w:t>We have adopted the Tenable</w:t>
      </w:r>
      <w:r>
        <w:rPr>
          <w:color w:val="000000"/>
        </w:rPr>
        <w:t xml:space="preserve"> </w:t>
      </w:r>
      <w:r>
        <w:rPr>
          <w:rFonts w:ascii="Arial;sans-serif" w:hAnsi="Arial;sans-serif"/>
          <w:b w:val="false"/>
          <w:color w:val="000000"/>
          <w:sz w:val="20"/>
        </w:rPr>
        <w:t xml:space="preserve">Code of Business Conduct and Ethics that applies to all officers, directors, employees and independent contractors. The Code of Business Conduct and Ethics is available on our website at </w:t>
      </w:r>
      <w:r>
        <w:rPr>
          <w:rFonts w:ascii="Arial;sans-serif" w:hAnsi="Arial;sans-serif"/>
          <w:b w:val="false"/>
          <w:i/>
          <w:color w:val="000000"/>
          <w:sz w:val="20"/>
        </w:rPr>
        <w:t>www.investors.tenable.com</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If we make any substantive amendments to the Code of Business Conduct and Ethics or grant any waiver from a provision of the Code to any executive officer or director, we will promptly disclose the nature of the amendment or waiver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Hedging Policy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Insider Trading Policy prohibits our employees, including our executive officers, and the non-employee members of our Board of Directors from engaging in short sales, transactions in put or call options, hedging transactions, using margin accounts, pledges, or other inherently speculative transactions involving our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49"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PROPOSAL 2</w:t>
      </w:r>
    </w:p>
    <w:p>
      <w:pPr>
        <w:pStyle w:val="TextBody"/>
        <w:bidi w:val="0"/>
        <w:spacing w:lineRule="auto" w:line="288" w:before="0" w:after="240"/>
        <w:jc w:val="center"/>
        <w:rPr/>
      </w:pPr>
      <w:r>
        <w:rPr>
          <w:rFonts w:ascii="Arial;sans-serif" w:hAnsi="Arial;sans-serif"/>
          <w:b/>
          <w:color w:val="000000"/>
          <w:sz w:val="20"/>
        </w:rPr>
        <w:t>RATIFICATION OF SELECTION OF INDEPENDENT REGISTERED PUBLIC ACCOUNTING FIRM</w:t>
      </w:r>
      <w:r>
        <w:rPr>
          <w:color w:val="000000"/>
        </w:rPr>
        <w:t xml:space="preserve"> </w:t>
      </w:r>
    </w:p>
    <w:p>
      <w:pPr>
        <w:pStyle w:val="TextBody"/>
        <w:bidi w:val="0"/>
        <w:spacing w:lineRule="auto" w:line="288" w:before="0" w:after="240"/>
        <w:ind w:left="0" w:right="0" w:firstLine="360"/>
        <w:jc w:val="left"/>
        <w:rPr/>
      </w:pPr>
      <w:r>
        <w:rPr>
          <w:rFonts w:ascii="Arial;sans-serif" w:hAnsi="Arial;sans-serif"/>
          <w:b w:val="false"/>
          <w:color w:val="000000"/>
          <w:sz w:val="20"/>
        </w:rPr>
        <w:t>The Audit Committee of the Board of Directors has selected Ernst &amp; Young LLP as the Company’s independent registered public accounting firm for the year ending December 31, 2024 and has further directed that management submit the selection of its independent registered public accounting firm for ratification by the stockholders at the Annual Meeting. Ernst &amp; Young LLP has audited the Company’s financial statements since 2014. Representatives of</w:t>
      </w:r>
      <w:r>
        <w:rPr>
          <w:color w:val="000000"/>
        </w:rPr>
        <w:t xml:space="preserve"> </w:t>
      </w:r>
      <w:r>
        <w:rPr>
          <w:rFonts w:ascii="Arial;sans-serif" w:hAnsi="Arial;sans-serif"/>
          <w:b w:val="false"/>
          <w:color w:val="000000"/>
          <w:sz w:val="20"/>
        </w:rPr>
        <w:t>Ernst &amp; Young LLP are expected to be present online at the Annual Meeting. They will have an opportunity to make a statement if they so desire and will be available to respond to appropriate questions.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Neither the Company’s Bylaws nor other governing documents or laws require stockholder ratification of the selection of Ernst &amp; Young LLP as the Company’s independent registered public accounting firm. However, the Audit Committee of the Board is submitting the selection of Ernst &amp; Young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its stockholders.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affirmative vote of the holders of a majority of the shares present online at the meeting or represented by proxy and entitled to vote on the matter at the Annual Meeting will be required to ratify the selection of Ernst &amp; Young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Fees and Services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represents aggregate fees billed to the Company by Ernst &amp; Young LLP, the Company’s principal accountant.</w:t>
      </w:r>
    </w:p>
    <w:tbl>
      <w:tblPr>
        <w:tblW w:w="4329" w:type="dxa"/>
        <w:jc w:val="left"/>
        <w:tblInd w:w="0" w:type="dxa"/>
        <w:tblLayout w:type="fixed"/>
        <w:tblCellMar>
          <w:top w:w="28" w:type="dxa"/>
          <w:left w:w="28" w:type="dxa"/>
          <w:bottom w:w="28" w:type="dxa"/>
          <w:right w:w="28" w:type="dxa"/>
        </w:tblCellMar>
      </w:tblPr>
      <w:tblGrid>
        <w:gridCol w:w="707"/>
        <w:gridCol w:w="621"/>
        <w:gridCol w:w="622"/>
        <w:gridCol w:w="218"/>
        <w:gridCol w:w="668"/>
        <w:gridCol w:w="112"/>
        <w:gridCol w:w="112"/>
        <w:gridCol w:w="112"/>
        <w:gridCol w:w="112"/>
        <w:gridCol w:w="218"/>
        <w:gridCol w:w="668"/>
        <w:gridCol w:w="159"/>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Audit Fees</w:t>
            </w:r>
            <w:r>
              <w:rPr>
                <w:rFonts w:ascii="Arial;sans-serif" w:hAnsi="Arial;sans-serif"/>
                <w:b w:val="false"/>
                <w:color w:val="000000"/>
                <w:sz w:val="13"/>
              </w:rPr>
              <w:t>(1)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Audit-Related Fees</w:t>
            </w:r>
            <w:r>
              <w:rPr>
                <w:rFonts w:ascii="Arial;sans-serif" w:hAnsi="Arial;sans-serif"/>
                <w:b w:val="false"/>
                <w:color w:val="000000"/>
                <w:sz w:val="13"/>
              </w:rPr>
              <w:t>(2)</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fees</w:t>
            </w:r>
            <w:r>
              <w:rPr>
                <w:rFonts w:ascii="Arial;sans-serif" w:hAnsi="Arial;sans-serif"/>
                <w:b w:val="false"/>
                <w:color w:val="000000"/>
                <w:sz w:val="13"/>
              </w:rPr>
              <w:t>(3)</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All Other Fees</w:t>
            </w:r>
            <w:r>
              <w:rPr>
                <w:rFonts w:ascii="Arial;sans-serif" w:hAnsi="Arial;sans-serif"/>
                <w:b w:val="false"/>
                <w:color w:val="000000"/>
                <w:sz w:val="13"/>
              </w:rPr>
              <w:t>(4)</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Fees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pPr>
      <w:r>
        <w:rPr>
          <w:rFonts w:ascii="Arial;sans-serif" w:hAnsi="Arial;sans-serif"/>
          <w:b w:val="false"/>
          <w:color w:val="000000"/>
          <w:sz w:val="20"/>
        </w:rPr>
        <w:t>(1)     Audit fees consisted of fees billed for professional services provided in connection with the audits of our annual consolidated financial statements and our internal control over financial reporting, the review of our quarterly condensed consolidated financial statements, and related procedures and audit services that are normally provided by the independent registered public accounting firm in connection with regulatory filings. In 2022 and 2023, a</w:t>
      </w:r>
      <w:r>
        <w:rPr>
          <w:rFonts w:ascii="Arial;sans-serif" w:hAnsi="Arial;sans-serif"/>
          <w:b w:val="false"/>
          <w:color w:val="000000"/>
          <w:sz w:val="20"/>
          <w:shd w:fill="FFFFFF" w:val="clear"/>
        </w:rPr>
        <w:t>udit fees included fees related to business combinations</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Audit-related fees consisted of professional services provided in connection with attestation reports for service organizations. In 2023 audit-related fees also included fees associated with due diligence procedures performed in connection with the acquisition of Ermetic.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Tax fees included fees for permissible tax advisory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50"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(4)    All other fees included fees for access to online accounting and tax research software as well as fees related to a risk assessment exercise performed in 2023.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fees and services described above were pre-approved by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Pre-Approval Policies and Procedures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Audit Committee has adopted a policy and procedures for the pre-approval of audit and non-audit services rendered by the Company’s independent registered public accounting firm, Ernst &amp; Young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Chair of the Audit Committee has been delegated authority to pre-approve certain audit and non-audit services, but the decision must be reported to the full Audit Committee at its next scheduled meeting.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Audit Committee has determined that the non-audit services rendered by Ernst &amp; Young LLP are compatible with maintaining the principal accountant’s independence.</w:t>
      </w:r>
    </w:p>
    <w:p>
      <w:pPr>
        <w:pStyle w:val="TextBody"/>
        <w:bidi w:val="0"/>
        <w:spacing w:lineRule="auto" w:line="288" w:before="0" w:after="0"/>
        <w:ind w:left="0" w:right="0" w:firstLine="360"/>
        <w:jc w:val="center"/>
        <w:rPr/>
      </w:pPr>
      <w:r>
        <w:rPr>
          <w:rFonts w:ascii="Arial;sans-serif" w:hAnsi="Arial;sans-serif"/>
          <w:b/>
          <w:color w:val="000000"/>
          <w:sz w:val="20"/>
        </w:rPr>
        <w:t>THE BOARD OF DIRECTORS RECOMMENDS A VOTE IN FAVOR OF PROPOSAL 2</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51"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PROPOSAL 3</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ADVISORY VOTE TO APPROVE THE NAMED EXECUTIVE OFFICER COMPENSATION</w:t>
      </w:r>
    </w:p>
    <w:p>
      <w:pPr>
        <w:pStyle w:val="TextBody"/>
        <w:bidi w:val="0"/>
        <w:spacing w:lineRule="auto" w:line="276"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Dodd-Frank Wall Street Reform and Consumer Protection Act and Section 14A of the Exchange Act enable our stockholders to approve, on an advisory non-binding basis, the compensation of our Named Executive Officers as disclosed in this proxy statement. This proposal, commonly known as a "Say-on-Pay" proposal, gives our stockholders the opportunity to express their views on our Named Executive Officers' compensation as a whole. The vote is not intended to address any specific item of compensation or any specific Named Executive Officer, but rather the overall compensation of all our Named Executive Officers and the philosophy, policies and practices described in this proxy statement. At the 2020 Annual Meeting of Stockholders, the stockholders indicated their preference that the Company solicit a Say-on-Pay vote every year. The Board has adopted a policy that is consistent with that preference. In accordance with that policy, this year, we are asking stockholders to approve, on an advisory basis, the compensation of our Named Executive Officers as disclosed in this proxy statement in accordance with SEC rules.</w:t>
      </w:r>
    </w:p>
    <w:p>
      <w:pPr>
        <w:pStyle w:val="TextBody"/>
        <w:bidi w:val="0"/>
        <w:spacing w:lineRule="auto" w:line="276"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Say-on-Pay vote is advisory, and therefore is not binding on us, the Compensation Committee or the Board.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year and beyond. The Board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pStyle w:val="TextBody"/>
        <w:bidi w:val="0"/>
        <w:spacing w:lineRule="auto" w:line="288" w:before="0" w:after="240"/>
        <w:ind w:left="0" w:right="0" w:firstLine="360"/>
        <w:jc w:val="left"/>
        <w:rPr/>
      </w:pPr>
      <w:r>
        <w:rPr>
          <w:rFonts w:ascii="Arial;sans-serif" w:hAnsi="Arial;sans-serif"/>
          <w:b w:val="false"/>
          <w:color w:val="000000"/>
          <w:sz w:val="20"/>
        </w:rPr>
        <w:t>The compensation of our Named Executive Officers subject to the vote is disclosed in the Compensation Discussion and Analysis section, the compensation tables and the related narrative disclosure contained in this proxy statement.</w:t>
      </w:r>
      <w:r>
        <w:rPr>
          <w:color w:val="000000"/>
        </w:rPr>
        <w:t xml:space="preserve"> </w:t>
      </w:r>
      <w:r>
        <w:rPr>
          <w:rFonts w:ascii="Arial;sans-serif" w:hAnsi="Arial;sans-serif"/>
          <w:b w:val="false"/>
          <w:color w:val="000000"/>
          <w:sz w:val="20"/>
        </w:rPr>
        <w:t>As discussed in those disclosures, we believe that our compensation policies and decisions are aligned with our stockholders’ interests to support long-term value creation and enable us to attract and retain talented executives.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Accordingly, the Board is asking the stockholders to indicate their support for the compensation of our Named Executive Officers as described in this proxy statement by casting a non-binding advisory vote “FOR” the following resolution:</w:t>
      </w:r>
    </w:p>
    <w:p>
      <w:pPr>
        <w:pStyle w:val="TextBody"/>
        <w:bidi w:val="0"/>
        <w:spacing w:lineRule="auto" w:line="288" w:before="0" w:after="240"/>
        <w:ind w:left="0" w:right="0" w:firstLine="360"/>
        <w:jc w:val="left"/>
        <w:rPr>
          <w:color w:val="000000"/>
        </w:rPr>
      </w:pPr>
      <w:r>
        <w:rPr>
          <w:color w:val="000000"/>
        </w:rPr>
        <w:t>“</w:t>
      </w:r>
      <w:r>
        <w:rPr>
          <w:rFonts w:ascii="Arial;sans-serif" w:hAnsi="Arial;sans-serif"/>
          <w:b w:val="false"/>
          <w:color w:val="000000"/>
          <w:sz w:val="20"/>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Advisory approval of this proposal requires the vote of the holders of a majority of the shares present online or represented by proxy and entitled to vote on the matter at the annual meeting. Unless the Board decides to modify its policy regarding the frequency of soliciting Say-on-Pay votes, the next scheduled Say-on-Pay vote will be at the 2025 Annual Meeting.</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THE BOARD OF DIRECTORS RECOMMENDS A VOTE IN FAVOR OF PROPOSAL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52"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CORPORATE SOCIAL RESPONSIBILITY</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believe good governance at all levels is necessary to drive corporate responsibility, which in turn promotes the long-term interests of our stockholders and strengthens Board and management accountability. We focus our efforts in the following key areas: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Governance;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Environmental stewardship;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Social responsibility in: cybersecurity and data privacy, diversity, equity and inclusion, employee engagement, and community involvement.</w:t>
      </w:r>
    </w:p>
    <w:tbl>
      <w:tblPr>
        <w:tblW w:w="2112" w:type="dxa"/>
        <w:jc w:val="left"/>
        <w:tblInd w:w="0" w:type="dxa"/>
        <w:tblLayout w:type="fixed"/>
        <w:tblCellMar>
          <w:top w:w="28" w:type="dxa"/>
          <w:left w:w="28" w:type="dxa"/>
          <w:bottom w:w="28" w:type="dxa"/>
          <w:right w:w="28" w:type="dxa"/>
        </w:tblCellMar>
      </w:tblPr>
      <w:tblGrid>
        <w:gridCol w:w="308"/>
        <w:gridCol w:w="271"/>
        <w:gridCol w:w="272"/>
        <w:gridCol w:w="369"/>
        <w:gridCol w:w="369"/>
        <w:gridCol w:w="523"/>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5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9" descr=""/>
                          <pic:cNvPicPr>
                            <a:picLocks noChangeAspect="1" noChangeArrowheads="1"/>
                          </pic:cNvPicPr>
                        </pic:nvPicPr>
                        <pic:blipFill>
                          <a:blip r:embed="rId20"/>
                          <a:stretch>
                            <a:fillRect/>
                          </a:stretch>
                        </pic:blipFill>
                        <pic:spPr bwMode="auto">
                          <a:xfrm>
                            <a:off x="0" y="0"/>
                            <a:ext cx="476250" cy="476250"/>
                          </a:xfrm>
                          <a:prstGeom prst="rect">
                            <a:avLst/>
                          </a:prstGeom>
                        </pic:spPr>
                      </pic:pic>
                    </a:graphicData>
                  </a:graphic>
                </wp:inline>
              </w:drawing>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Governance</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Board sets high standards for the Company's employees, officers, and directors. Implicit in this philosophy is the importance of sound corporate governance. It is the duty of the Board to serve as a prudent fiduciary for stockholders and to oversee the management of the Company's business. The Board adheres to our corporate governance guidelines, which are designed to give directors and management a flexible framework for effectively pursuing the Company's objectives for the benefit of its stockholders.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risk management process, risk oversight is one of the Board’s key functions.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The Nominating and Corporate Governance Committee is responsible for environmental, social, and governance oversight and is briefed at least twice a year on relevant matters. For additional details on the Committee's oversight responsibilities see "Nominating and Corporate Governance Committee" above.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to our governance best practices, we consider environmental and social issues in our operations. We believe that socially responsible operating practices go hand in hand with generating value for our stockholders, providing cybersecurity solutions for our clients, being good neighbors within our communities, and being a good employer to our employees. In our view, our corporate governance is more effective when we consider environmental and social issues as part of our oversight of corporate strategy, key risks, and our operations more generally.</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are committed to the promotion of ethical business practices and the implementation of measures to reduce the risk of corruption. We believe strongly in human rights, including, but not limited to, supporting our diverse and inclusive workforce and promoting equality of opportunity and treatment in hiring, training, promotions and working conditions. As such, our Human Rights Policy and Supplier Code of Conduct articulate our commitments and values regarding such matters as ethical business practices, labor practices (including child labor and human trafficking), data privacy, diversity and non-discrimination, and whistleblower protections, and our related expectations regarding supplier, vendor, and contractor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54"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240"/>
        <w:jc w:val="left"/>
        <w:rPr/>
      </w:pPr>
      <w:r>
        <w:rPr/>
      </w:r>
    </w:p>
    <w:tbl>
      <w:tblPr>
        <w:tblW w:w="3580" w:type="dxa"/>
        <w:jc w:val="left"/>
        <w:tblInd w:w="0" w:type="dxa"/>
        <w:tblLayout w:type="fixed"/>
        <w:tblCellMar>
          <w:top w:w="28" w:type="dxa"/>
          <w:left w:w="28" w:type="dxa"/>
          <w:bottom w:w="28" w:type="dxa"/>
          <w:right w:w="28" w:type="dxa"/>
        </w:tblCellMar>
      </w:tblPr>
      <w:tblGrid>
        <w:gridCol w:w="308"/>
        <w:gridCol w:w="271"/>
        <w:gridCol w:w="272"/>
        <w:gridCol w:w="799"/>
        <w:gridCol w:w="799"/>
        <w:gridCol w:w="1131"/>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21"/>
                          <a:stretch>
                            <a:fillRect/>
                          </a:stretch>
                        </pic:blipFill>
                        <pic:spPr bwMode="auto">
                          <a:xfrm>
                            <a:off x="0" y="0"/>
                            <a:ext cx="476250" cy="476250"/>
                          </a:xfrm>
                          <a:prstGeom prst="rect">
                            <a:avLst/>
                          </a:prstGeom>
                        </pic:spPr>
                      </pic:pic>
                    </a:graphicData>
                  </a:graphic>
                </wp:inline>
              </w:drawing>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Environmental Stewardship</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Board and management team recognize that we have a role to play in environmental stewardship. Given that the Company is a software company, our energy consumption and usage within our data centers is an important component of the day-to-day operations of our business. We outsource our data center needs to Amazon Web Services (“AWS”). In addition to carefully choosing data center locations to mitigate environmental risks, AWS has a long-term commitment to using 100 percent renewable energy.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Aside from data center needs, greenhouse gas emissions and water and energy usage are not material factors in the day-to-day operations of our business. However, we believe that we can still play a part through environmentally sound practices. Consequently, we have invested in software to manage our environmental impact factors, enabling us track and calculate our scope 1 and scope 2 footprint and have begun a process to identify and track scope 3 emissions.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corporate headquarters is a LEED Certified Gold for Core Construction. In addition, we have taken the following actions to enable environmental stewardship:</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implemented recycling in our offices;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offered biodegradable to-go boxes to reduce food waste;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implemented a strict policy for disposing of hardware;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transitioned to a travel portal that provides detail on our carbon footprint.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and our employees have donated time and money to important environmental causes such as healthy waterways and other clean-up efforts, recycling, carbon footprint mitigation and protection of threatened wildlife. At Tenable, we believe our employees are our most critical catalysts for change. Our Green Initiatives group continues to gain traction as a way for employees to share best practices for an environmentally conscious lifestyle, building global support within the Company, and lead campaigns such as trash clean-ups, sustainable lifestyle pledges, and tree-planting initiatives. Partnering within our Tenable CARES program - detailed later in this section - the Green Initiatives group curates easy-to-implement actions and measures our collective impact.</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regional Green Initiatives leaders build engagement and momentum by hosting regular community check-ins and information sessions and building camaraderie among members. Through their shared passion for environmentalism, participants inspire one another to take action for a greener and cleaner tomorrow. Our 2024 theme, “Water!” is centered around the importance of water quality and conservation. The Green Initiatives group will spearhead trash clean ups and other activities that are focused on water conservation campaigns.</w:t>
      </w:r>
    </w:p>
    <w:tbl>
      <w:tblPr>
        <w:tblW w:w="3895" w:type="dxa"/>
        <w:jc w:val="left"/>
        <w:tblInd w:w="0" w:type="dxa"/>
        <w:tblLayout w:type="fixed"/>
        <w:tblCellMar>
          <w:top w:w="28" w:type="dxa"/>
          <w:left w:w="28" w:type="dxa"/>
          <w:bottom w:w="28" w:type="dxa"/>
          <w:right w:w="28" w:type="dxa"/>
        </w:tblCellMar>
      </w:tblPr>
      <w:tblGrid>
        <w:gridCol w:w="308"/>
        <w:gridCol w:w="271"/>
        <w:gridCol w:w="272"/>
        <w:gridCol w:w="890"/>
        <w:gridCol w:w="890"/>
        <w:gridCol w:w="1264"/>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2"/>
                          <a:stretch>
                            <a:fillRect/>
                          </a:stretch>
                        </pic:blipFill>
                        <pic:spPr bwMode="auto">
                          <a:xfrm>
                            <a:off x="0" y="0"/>
                            <a:ext cx="476250" cy="476250"/>
                          </a:xfrm>
                          <a:prstGeom prst="rect">
                            <a:avLst/>
                          </a:prstGeom>
                        </pic:spPr>
                      </pic:pic>
                    </a:graphicData>
                  </a:graphic>
                </wp:inline>
              </w:drawing>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Cybersecurity and Data Privacy</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take great pride in assisting our customers with enhancing their security posture through the use of our services and products. We understand that customers must trust and have confidence in an organization to use its service offerings for managing their exposure data. As such, we take the overall security of our products and their supporting infrastructure very seriously.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align our information security and risk management program to the National Institute of Standards and Technology Cybersecurity Framework and have implemented an information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5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management system to protect the confidentiality, integrity, and availability of assets against threats and vulnerabilities. We achieved ISO/IEC 27001:2013 certification, recognizing our proven commitment to the highest level of information security management.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a leader in cybersecurity, and with our focus on sound governance, we believe adding oversight at the board level is important, which is why we elevated the Cybersecurity Risk Management Committee from a subcommittee of the Audit Committee to a separate fully functioning committee of the Board in November of 2022. The Cybersecurity Risk Management Committee assists the Board in fulfilling its oversight responsibility for managing risks related to the Company’s information technology use and protection, cybersecurity, and product security. For additional details on the Committee's oversight responsibilities see "Cybersecurity Risk Management Committee" above.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Data privacy protection and cybersecurity require diligence and a community effort. We enable the community through our employees, customers, and products by bringing security awareness to everything we do. As an enterprise security company, we consistently look for ways to improve our security posture to maintain data privacy and protect sensitive information for our employees and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Thousands of customers, including financial services organizations, healthcare providers, retailers, educational institutions, and government agencies, trust Tenable with their exposure data, digital identities and exposure insights in our cloud platform. Security is core to our corporate ethos and we allocate significant investment to protect the confidentiality, integrity, and availability of all customer data. One of our top priorities is preventing any non-customers or bad actors from accessing, disclosing, or violating the privacy and protection of data stored in the Tenable cloud platform. Using a combination of preventative and detective controls, environment segregation, automation, granular data access controls, modern identity and access management practices, and data localization, our products are built to protect data and help meet privacy obligations. We continuously assess and implement additional measures to help improve our security program and address the ever-changing threat landscape.</w:t>
      </w:r>
    </w:p>
    <w:tbl>
      <w:tblPr>
        <w:tblW w:w="3146" w:type="dxa"/>
        <w:jc w:val="left"/>
        <w:tblInd w:w="0" w:type="dxa"/>
        <w:tblLayout w:type="fixed"/>
        <w:tblCellMar>
          <w:top w:w="28" w:type="dxa"/>
          <w:left w:w="28" w:type="dxa"/>
          <w:bottom w:w="28" w:type="dxa"/>
          <w:right w:w="28" w:type="dxa"/>
        </w:tblCellMar>
      </w:tblPr>
      <w:tblGrid>
        <w:gridCol w:w="308"/>
        <w:gridCol w:w="271"/>
        <w:gridCol w:w="272"/>
        <w:gridCol w:w="672"/>
        <w:gridCol w:w="672"/>
        <w:gridCol w:w="951"/>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5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2" descr=""/>
                          <pic:cNvPicPr>
                            <a:picLocks noChangeAspect="1" noChangeArrowheads="1"/>
                          </pic:cNvPicPr>
                        </pic:nvPicPr>
                        <pic:blipFill>
                          <a:blip r:embed="rId23"/>
                          <a:stretch>
                            <a:fillRect/>
                          </a:stretch>
                        </pic:blipFill>
                        <pic:spPr bwMode="auto">
                          <a:xfrm>
                            <a:off x="0" y="0"/>
                            <a:ext cx="476250" cy="476250"/>
                          </a:xfrm>
                          <a:prstGeom prst="rect">
                            <a:avLst/>
                          </a:prstGeom>
                        </pic:spPr>
                      </pic:pic>
                    </a:graphicData>
                  </a:graphic>
                </wp:inline>
              </w:drawing>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Diversity and Inclusion</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an inclusive culture drives employee engagement, sparks innovation and delivers exceptional business results. Tenable’s people strategy aspires to create a positive and rewarding experience for new, prospective and current employees across all aspects of employee connection — recruiting, onboarding, career growth, wellness and compensation. Our total rewards package — which includes abundant development options — recognizes employees for their contributions, gives them the opportunity for continued growth and provides resources to support well-being both inside and outside the workplace.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Tenable, we strive to be a career destination in which employees from all backgrounds are welcomed and empowered, treated with fairness and respect, presented with opportunities to make a difference and provided with resources to enable them to grow.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feel it is imperative to be transparent regarding our progress concerning Diversity and Inclusion ("D&amp;I"). We undertake numerous efforts to increase representation in our workforce of historically excluded communities, cultivating a more inclusive culture and engaging in intentional and more impactful ways in the global communities that surround us. Our Diversity Council is made up of leaders from across our organization and is responsible for developing, enabling and promoting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59"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strategic D&amp;I plans. They champion and prioritize all D&amp;I initiatives, cultivate and strengthen a culture of inclusion and hold themselves and other leaders accountable for our D&amp;I goals.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D&amp;I strategy at Tenable is aligned to three major objectives: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Workforce: increase the representation of women globally and people of color in the U.S.;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Workplace: cultivate an inclusive workplace where all employees feel they belong and are given the support they need to thrive;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Community: increase our commitment to supporting the next generation of science technology, engineering and mathematics (STEM) talent in diverse communities.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To support our initiatives, we build partnerships within our communities to support organizations and events that strive for greater representation of women and underrepresented minorities in cybersecurity; conduct inclusion, bias mitigation, and intercultural competency training; and offer targeted development opportunities to assist with career advancement. Our efforts have included the following: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implementing initiatives to drive diversity at the senior level which have enabled us to increase the percentage of new hires and internal promotions;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using diversity-focused recruiting programs to help increase representation of women and people of color in cybersecurity. All of our open external positions are made available on diversity-focused job boards;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using talent scout programs for mid-level diverse talent to network with senior leaders as well as directed recruitment marketing efforts to drive diverse candidates;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establishing Employee Resource Groups to connect and support employees who identify with diverse communities and identities;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working with external partners to host professional development events, including Pronoun Workshop for LGBTQ+ allies;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launching workshops for teams to discuss inclusion-related topics, such as cultural competency;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enhancing our mentorship program, focusing on opportunities for women, Black, and Hispanic employees to establish greater professional connections and grow within our organization. </w:t>
      </w:r>
    </w:p>
    <w:tbl>
      <w:tblPr>
        <w:tblW w:w="3161" w:type="dxa"/>
        <w:jc w:val="left"/>
        <w:tblInd w:w="0" w:type="dxa"/>
        <w:tblLayout w:type="fixed"/>
        <w:tblCellMar>
          <w:top w:w="28" w:type="dxa"/>
          <w:left w:w="28" w:type="dxa"/>
          <w:bottom w:w="28" w:type="dxa"/>
          <w:right w:w="28" w:type="dxa"/>
        </w:tblCellMar>
      </w:tblPr>
      <w:tblGrid>
        <w:gridCol w:w="308"/>
        <w:gridCol w:w="271"/>
        <w:gridCol w:w="272"/>
        <w:gridCol w:w="677"/>
        <w:gridCol w:w="677"/>
        <w:gridCol w:w="95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3" descr=""/>
                          <pic:cNvPicPr>
                            <a:picLocks noChangeAspect="1" noChangeArrowheads="1"/>
                          </pic:cNvPicPr>
                        </pic:nvPicPr>
                        <pic:blipFill>
                          <a:blip r:embed="rId24"/>
                          <a:stretch>
                            <a:fillRect/>
                          </a:stretch>
                        </pic:blipFill>
                        <pic:spPr bwMode="auto">
                          <a:xfrm>
                            <a:off x="0" y="0"/>
                            <a:ext cx="476250" cy="476250"/>
                          </a:xfrm>
                          <a:prstGeom prst="rect">
                            <a:avLst/>
                          </a:prstGeom>
                        </pic:spPr>
                      </pic:pic>
                    </a:graphicData>
                  </a:graphic>
                </wp:inline>
              </w:drawing>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Employee Engagement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Our ability to fulfill core values depends on how well we listen to our employees. We constantly ask employees what they need to do their best work and we act on their input. We have several different methods of soliciting employee feedback to ensure we hear from all parts of the business. We also create regular opportunities for two-way communication with our executives to help our people better understand how decisions are made. Our methods include the following: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conducting an annual employee engagement survey combined with periodic division - or region-specific check-ins;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soliciting employee feedback at various stages of their employment cycle, from onboarding to offboarding;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holding frequent executive "coffee chat" sessions during which employees can engage with our senior leaders to exchange information, provide feedback and brainstorm ideas in small-group settings;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6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staging monthly company-wide All Hands meetings led by our CEO, with an open question-and-answer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empowering departmental, regional or team leaders to host their own town halls for their direct reports;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encouraging people managers to hold regular check-in meetings with their direct reports where they can focus on real-time feedback, recognition, coaching, and professional development;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ensuring executive sponsorship of each Employee Resource Group, providing each cohort with a direct path to communicate with senior leadership.</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believe professional development is a continuous and iterative process and encourage employees to think of refining and redefining their development goals and plans as a path or direction, rather than pursuing a specific job position or promotion. We promote and support employee development and organizational effectiveness by providing numerous high-quality learning and development options. Employees and their managers work together to create development plans for increasing business acumen and building on the skills and knowledge each employee needs to excel in their position and grow professionally. Our professional development offerings include mentor and mentee matching and informal networking opportunities, tuition reimbursement and professional development funds, access to industry-leading tools for learning and building skills, a management development program, career development and learning events, and an internship program.</w:t>
      </w:r>
    </w:p>
    <w:p>
      <w:pPr>
        <w:pStyle w:val="TextBody"/>
        <w:bidi w:val="0"/>
        <w:spacing w:before="0" w:after="6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employees to respect and adhere to the highest standards of business conduct, including as set forth in our Code of Business Conduct and Ethics. All employees are expected to complete certain compliance training requirements annually. Topics include information security, data privacy, harassment prevention, anti-bribery and insider trading.</w:t>
      </w:r>
    </w:p>
    <w:tbl>
      <w:tblPr>
        <w:tblW w:w="3280" w:type="dxa"/>
        <w:jc w:val="left"/>
        <w:tblInd w:w="0" w:type="dxa"/>
        <w:tblLayout w:type="fixed"/>
        <w:tblCellMar>
          <w:top w:w="28" w:type="dxa"/>
          <w:left w:w="28" w:type="dxa"/>
          <w:bottom w:w="28" w:type="dxa"/>
          <w:right w:w="28" w:type="dxa"/>
        </w:tblCellMar>
      </w:tblPr>
      <w:tblGrid>
        <w:gridCol w:w="308"/>
        <w:gridCol w:w="271"/>
        <w:gridCol w:w="272"/>
        <w:gridCol w:w="711"/>
        <w:gridCol w:w="711"/>
        <w:gridCol w:w="1007"/>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76250" cy="476250"/>
                  <wp:effectExtent l="0" t="0" r="0" b="0"/>
                  <wp:docPr id="6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4" descr=""/>
                          <pic:cNvPicPr>
                            <a:picLocks noChangeAspect="1" noChangeArrowheads="1"/>
                          </pic:cNvPicPr>
                        </pic:nvPicPr>
                        <pic:blipFill>
                          <a:blip r:embed="rId25"/>
                          <a:stretch>
                            <a:fillRect/>
                          </a:stretch>
                        </pic:blipFill>
                        <pic:spPr bwMode="auto">
                          <a:xfrm>
                            <a:off x="0" y="0"/>
                            <a:ext cx="476250" cy="476250"/>
                          </a:xfrm>
                          <a:prstGeom prst="rect">
                            <a:avLst/>
                          </a:prstGeom>
                        </pic:spPr>
                      </pic:pic>
                    </a:graphicData>
                  </a:graphic>
                </wp:inline>
              </w:drawing>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Community Involvement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invest in social good in alignment with our company values. Tenable demonstrates that we care by striving to make a positive difference in everything that we do — in our work, with our customers and colleagues and in our communities. We are proud to contribute to charities, initiatives and programs that strengthen our industry and impact our employees and communities.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people strive to create a better tomorrow by giving back to their communities globally through our internal giving and volunteerism program, Tenable CARES. Tenable CARES is designed to make it easier for our employees to support the charitable organizations that are important to them. The program offers employees one day of paid leave per year to participate in volunteer activities. In addition, we match employee donations up to $300 USD per person per year to their preferred organizations and give each employee an opportunity to nominate a cause that is important to them to be selected as Tenable's global cause of the year. In 2023, Tenable's global cause of the year was the International Federation of the Red Cross. Previous causes have included St. Jude Children's Research Hospital, the Multiple Sclerosis Foundation and the Make-A-Wish Foundation. Through Tenable CARES, we aim to unite our employees around our missions and use our programs and tools to help spread the word about their charitable passions and work.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Just as volunteering in our communities is an important aspect of our corporate culture, we encourage our employees to express their voices in local, state, and national public policy. Employees are given a total of one day off per year to exercise their right to vote. We are also focused on advocating for policies that impact Tenable and the cybersecurity industry as a whole.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63"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regularly engage with U.S. federal, state, and local government entities to provide expertise and thought leadership to policymakers as they shape policies and regulations that directly impact our customers and cybersecurity as a whole. But our efforts are not limited to the U.S. government. We engage governments, policymakers and partners around the world to advocate on important issues affecting our business, our customers, our partners, and the communities in which we operate.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also lend our expertise to promote cybersecurity resilience and help inform the development of cybersecurity standards. We participate in numerous public private partnerships such as the President's National Security Telecommunications Advisory Committee, the IT Sector Coordinating Council and the National Institute for Standards and Technology's National Cybersecurity Center of Excellence - to provide cybersecurity and technology insight to policymakers and government officials.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engagements have led to opportunities to provide official testimony at congressional hearings on topics ranging from securing critical infrastructure to creating the Office of the National Cybersecurity Director. Tenable participates in a range of conferences, events, and summits that collectively advance our public policy goals. In addition, we conduct lobbying activities aimed at supporting policies that enhance cybersecurity and digital resilience. These activities are reported publicly in accordance with the Lobbying Disclosure Act and all subsequent amendments to the law.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Complementary to our policy advocacy, we are engaged in cyber threat intelligence information sharing and operational collaboration with multiple organizations, including the Cybersecurity and Infrastructure Security Agency's Joint Cyber Defense Collaborative. We are members of numerous associations, such as the Alliance for Digital Innovation, the Cybersecurity Coalition, the Computing Technology Industry Association, the Information Technology Industry Council, the International Society of Automation, the Operational Technology Cybersecurity Coalition, DigiAmericas Alliance, the National Association of Chief Information Officers, and the National Governors Association.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our Political Action Committee ("PAC"), which allows eligible employees to pool their voluntary, personal contributions to help support and elect pro-technology and pro-cybersecurity lawmakers to Congress. Tenable's PAC does not advance a partisan or social agenda, but instead ensures public policies promote sound cybersecurity policies and growth for our business, our employees and our customers. You can find all disbursements for the Tenable PAC by visiting the Federal Election Commission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EXECUTIVE OFFICERS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executive officers, and their respective ages as of April 11, 2024, are as follows:</w:t>
      </w:r>
    </w:p>
    <w:tbl>
      <w:tblPr>
        <w:tblW w:w="6248" w:type="dxa"/>
        <w:jc w:val="left"/>
        <w:tblInd w:w="0" w:type="dxa"/>
        <w:tblLayout w:type="fixed"/>
        <w:tblCellMar>
          <w:top w:w="28" w:type="dxa"/>
          <w:left w:w="28" w:type="dxa"/>
          <w:bottom w:w="28" w:type="dxa"/>
          <w:right w:w="28" w:type="dxa"/>
        </w:tblCellMar>
      </w:tblPr>
      <w:tblGrid>
        <w:gridCol w:w="616"/>
        <w:gridCol w:w="543"/>
        <w:gridCol w:w="550"/>
        <w:gridCol w:w="109"/>
        <w:gridCol w:w="109"/>
        <w:gridCol w:w="109"/>
        <w:gridCol w:w="150"/>
        <w:gridCol w:w="150"/>
        <w:gridCol w:w="151"/>
        <w:gridCol w:w="109"/>
        <w:gridCol w:w="109"/>
        <w:gridCol w:w="109"/>
        <w:gridCol w:w="1006"/>
        <w:gridCol w:w="1006"/>
        <w:gridCol w:w="1422"/>
      </w:tblGrid>
      <w:tr>
        <w:trPr/>
        <w:tc>
          <w:tcPr>
            <w:tcW w:w="6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Position(s)</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i/>
                <w:color w:val="000000"/>
                <w:sz w:val="18"/>
              </w:rPr>
            </w:pPr>
            <w:r>
              <w:rPr>
                <w:rFonts w:ascii="Arial;sans-serif" w:hAnsi="Arial;sans-serif"/>
                <w:b/>
                <w:i/>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Chairman</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Thurmond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biography of Mr. Yoran is set forth in “Proposal 1: Election of Directors”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64"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580"/>
        <w:gridCol w:w="510"/>
        <w:gridCol w:w="511"/>
        <w:gridCol w:w="2523"/>
        <w:gridCol w:w="2511"/>
        <w:gridCol w:w="3570"/>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70"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26"/>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000000"/>
                <w:sz w:val="20"/>
              </w:rPr>
            </w:pPr>
            <w:r>
              <w:rPr>
                <w:rFonts w:ascii="Arial;sans-serif" w:hAnsi="Arial;sans-serif"/>
                <w:b/>
                <w:i/>
                <w:color w:val="000000"/>
                <w:sz w:val="20"/>
              </w:rPr>
              <w:t>Stephen A. Vintz</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Stephen A. Vintz has served as our Chief Financial Officer since October 2014. Mr. Vintz previously served as Executive Vice President and Chief Financial Officer of Vocus, Inc. Mr. Vintz received a B.B.A. in Accounting from Loyola University Maryland and is a Certified Public Accountant.</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952500" cy="952500"/>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27"/>
                          <a:stretch>
                            <a:fillRect/>
                          </a:stretch>
                        </pic:blipFill>
                        <pic:spPr bwMode="auto">
                          <a:xfrm>
                            <a:off x="0" y="0"/>
                            <a:ext cx="952500" cy="952500"/>
                          </a:xfrm>
                          <a:prstGeom prst="rect">
                            <a:avLst/>
                          </a:prstGeom>
                        </pic:spPr>
                      </pic:pic>
                    </a:graphicData>
                  </a:graphic>
                </wp:inline>
              </w:drawing>
            </w:r>
          </w:p>
        </w:tc>
        <w:tc>
          <w:tcPr>
            <w:tcW w:w="8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000000"/>
                <w:sz w:val="20"/>
              </w:rPr>
            </w:pPr>
            <w:r>
              <w:rPr>
                <w:rFonts w:ascii="Arial;sans-serif" w:hAnsi="Arial;sans-serif"/>
                <w:b/>
                <w:i/>
                <w:color w:val="000000"/>
                <w:sz w:val="20"/>
              </w:rPr>
              <w:t>Mark Thurmond</w:t>
            </w:r>
          </w:p>
          <w:p>
            <w:pPr>
              <w:pStyle w:val="TableContents"/>
              <w:bidi w:val="0"/>
              <w:spacing w:before="0" w:after="0"/>
              <w:jc w:val="left"/>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Mark Thurmond has served as the Company’s Chief Operating Officer since February 2020. Prior to joining the Company, Mr. Thurmond served as the Chief Operating Officer of Turbonomic Inc. from September 2017 to February 2020 and as the Executive Vice President, Worldwide Sales and Services of QlikTech International AB from August 2015 to August 2017. Mr. Thurmond holds a B.S. in Psychology from Hofstra University.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67"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SECURITY OWNERSHIP OF</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CERTAIN BENEFICIAL OWNERS AND MANAGEMENT</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certain information regarding the ownership of the Company’s common stock as of March 28, 2024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tbl>
      <w:tblPr>
        <w:tblW w:w="9984" w:type="dxa"/>
        <w:jc w:val="left"/>
        <w:tblInd w:w="0" w:type="dxa"/>
        <w:tblLayout w:type="fixed"/>
        <w:tblCellMar>
          <w:top w:w="28" w:type="dxa"/>
          <w:left w:w="28" w:type="dxa"/>
          <w:bottom w:w="28" w:type="dxa"/>
          <w:right w:w="28" w:type="dxa"/>
        </w:tblCellMar>
      </w:tblPr>
      <w:tblGrid>
        <w:gridCol w:w="2225"/>
        <w:gridCol w:w="1959"/>
        <w:gridCol w:w="1965"/>
        <w:gridCol w:w="554"/>
        <w:gridCol w:w="554"/>
        <w:gridCol w:w="556"/>
        <w:gridCol w:w="224"/>
        <w:gridCol w:w="224"/>
        <w:gridCol w:w="224"/>
        <w:gridCol w:w="437"/>
        <w:gridCol w:w="437"/>
        <w:gridCol w:w="625"/>
      </w:tblGrid>
      <w:tr>
        <w:trPr/>
        <w:tc>
          <w:tcPr>
            <w:tcW w:w="222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Beneficial Ownership</w:t>
            </w:r>
            <w:r>
              <w:rPr>
                <w:rFonts w:ascii="Arial;sans-serif" w:hAnsi="Arial;sans-serif"/>
                <w:b/>
                <w:color w:val="000000"/>
                <w:sz w:val="12"/>
              </w:rPr>
              <w:t>(1)</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Beneficial Owner</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Number of Shares</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000000"/>
                <w:sz w:val="18"/>
              </w:rPr>
            </w:pPr>
            <w:r>
              <w:rPr>
                <w:rFonts w:ascii="Arial;sans-serif" w:hAnsi="Arial;sans-serif"/>
                <w:b/>
                <w:color w:val="000000"/>
                <w:sz w:val="18"/>
              </w:rPr>
              <w:t>Percent of Total</w:t>
            </w:r>
          </w:p>
        </w:tc>
      </w:tr>
      <w:tr>
        <w:trPr/>
        <w:tc>
          <w:tcPr>
            <w:tcW w:w="6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5% or greater stockholders:</w:t>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FMR, LLC</w:t>
            </w:r>
            <w:r>
              <w:rPr>
                <w:rFonts w:ascii="Arial;sans-serif" w:hAnsi="Arial;sans-serif"/>
                <w:b w:val="false"/>
                <w:color w:val="000000"/>
                <w:sz w:val="13"/>
              </w:rPr>
              <w:t>(2)</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12,626,513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Vanguard Group</w:t>
            </w:r>
            <w:r>
              <w:rPr>
                <w:rFonts w:ascii="Arial;sans-serif" w:hAnsi="Arial;sans-serif"/>
                <w:b w:val="false"/>
                <w:color w:val="000000"/>
                <w:sz w:val="13"/>
              </w:rPr>
              <w:t>(3)</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12,510,817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BlackRock, Inc.</w:t>
            </w:r>
            <w:r>
              <w:rPr>
                <w:rFonts w:ascii="Arial;sans-serif" w:hAnsi="Arial;sans-serif"/>
                <w:b w:val="false"/>
                <w:color w:val="000000"/>
                <w:sz w:val="13"/>
              </w:rPr>
              <w:t>(4)</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10,524,434</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Named executive officers and directors</w:t>
            </w:r>
            <w:r>
              <w:rPr>
                <w:rFonts w:ascii="Arial;sans-serif" w:hAnsi="Arial;sans-serif"/>
                <w:b w:val="false"/>
                <w:color w:val="000000"/>
                <w:sz w:val="20"/>
              </w:rPr>
              <w:t>:</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Amit Yoran</w:t>
            </w:r>
            <w:r>
              <w:rPr>
                <w:rFonts w:ascii="Arial;sans-serif" w:hAnsi="Arial;sans-serif"/>
                <w:b w:val="false"/>
                <w:color w:val="000000"/>
                <w:sz w:val="13"/>
              </w:rPr>
              <w:t>(5)</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3,538,283</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Stephen A. Vintz</w:t>
            </w:r>
            <w:r>
              <w:rPr>
                <w:rFonts w:ascii="Arial;sans-serif" w:hAnsi="Arial;sans-serif"/>
                <w:b w:val="false"/>
                <w:color w:val="000000"/>
                <w:sz w:val="13"/>
              </w:rPr>
              <w:t>(6)</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806,085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Mark Thurmond</w:t>
            </w:r>
            <w:r>
              <w:rPr>
                <w:rFonts w:ascii="Arial;sans-serif" w:hAnsi="Arial;sans-serif"/>
                <w:b w:val="false"/>
                <w:color w:val="000000"/>
                <w:sz w:val="13"/>
              </w:rPr>
              <w:t>(7)</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42,646</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Arthur W. Coviello, Jr.</w:t>
            </w:r>
            <w:r>
              <w:rPr>
                <w:rFonts w:ascii="Arial;sans-serif" w:hAnsi="Arial;sans-serif"/>
                <w:b w:val="false"/>
                <w:color w:val="000000"/>
                <w:sz w:val="13"/>
              </w:rPr>
              <w:t>(8)</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35,124</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John C. Huffard, Jr.</w:t>
            </w:r>
            <w:r>
              <w:rPr>
                <w:rFonts w:ascii="Arial;sans-serif" w:hAnsi="Arial;sans-serif"/>
                <w:b w:val="false"/>
                <w:color w:val="000000"/>
                <w:sz w:val="13"/>
              </w:rPr>
              <w:t>(9)</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491,998</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Linda Zecher Higgins</w:t>
            </w:r>
            <w:r>
              <w:rPr>
                <w:rFonts w:ascii="Arial;sans-serif" w:hAnsi="Arial;sans-serif"/>
                <w:b w:val="false"/>
                <w:color w:val="000000"/>
                <w:sz w:val="13"/>
              </w:rPr>
              <w:t>(10)</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5,203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Niloofar Razi Howe</w:t>
            </w:r>
            <w:r>
              <w:rPr>
                <w:rFonts w:ascii="Arial;sans-serif" w:hAnsi="Arial;sans-serif"/>
                <w:b w:val="false"/>
                <w:color w:val="000000"/>
                <w:sz w:val="13"/>
              </w:rPr>
              <w:t>(11)</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19,170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 Brooke Seawell</w:t>
            </w:r>
            <w:r>
              <w:rPr>
                <w:rFonts w:ascii="Arial;sans-serif" w:hAnsi="Arial;sans-serif"/>
                <w:b w:val="false"/>
                <w:color w:val="000000"/>
                <w:sz w:val="13"/>
              </w:rPr>
              <w:t>(12)</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269,245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Raymond Vicks, Jr.</w:t>
            </w:r>
            <w:r>
              <w:rPr>
                <w:rFonts w:ascii="Arial;sans-serif" w:hAnsi="Arial;sans-serif"/>
                <w:b w:val="false"/>
                <w:color w:val="000000"/>
                <w:sz w:val="13"/>
              </w:rPr>
              <w:t>(13)</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11,332</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George Alexander Tosheff</w:t>
            </w:r>
            <w:r>
              <w:rPr>
                <w:rFonts w:ascii="Arial;sans-serif" w:hAnsi="Arial;sans-serif"/>
                <w:b w:val="false"/>
                <w:color w:val="000000"/>
                <w:sz w:val="13"/>
              </w:rPr>
              <w:t>(14)</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14,100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Margaret Keane</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All current executive officers and directors as a group (11 persons)</w:t>
            </w:r>
            <w:r>
              <w:rPr>
                <w:rFonts w:ascii="Arial;sans-serif" w:hAnsi="Arial;sans-serif"/>
                <w:b w:val="false"/>
                <w:color w:val="000000"/>
                <w:sz w:val="13"/>
              </w:rPr>
              <w:t>(15)</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5,233,186</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Represents beneficial ownership of less than 1%.</w:t>
      </w:r>
    </w:p>
    <w:p>
      <w:pPr>
        <w:pStyle w:val="TextBody"/>
        <w:bidi w:val="0"/>
        <w:spacing w:lineRule="auto" w:line="288" w:before="0" w:after="240"/>
        <w:jc w:val="left"/>
        <w:rPr/>
      </w:pPr>
      <w:r>
        <w:rPr>
          <w:rFonts w:ascii="Arial;sans-serif" w:hAnsi="Arial;sans-serif"/>
          <w:b w:val="false"/>
          <w:color w:val="000000"/>
          <w:sz w:val="20"/>
        </w:rPr>
        <w:t>(1)    This table is based upon information supplied by officers, directors and principal stockholders</w:t>
      </w:r>
      <w:r>
        <w:rPr>
          <w:color w:val="000000"/>
        </w:rPr>
        <w:t xml:space="preserve"> </w:t>
      </w:r>
      <w:r>
        <w:rPr>
          <w:rFonts w:ascii="Arial;sans-serif" w:hAnsi="Arial;sans-serif"/>
          <w:b w:val="false"/>
          <w:color w:val="000000"/>
          <w:sz w:val="20"/>
        </w:rPr>
        <w:t xml:space="preserve">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118,743,082 shares outstanding on March 28, 2024, adjusted as required by rules promulgated by the SEC.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(2)    As reported in a Schedule 13G/A filed with the Securities and Exchange Commission on February 8, 2024, which states that FMR LLC has sole dispositive power with respect to all of the shares and sole voting power with respect to 12,622,068 of the shares.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68"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common shares and the execution of the shareholders' voting agreement, members of the Johnson family may be deemed, under the Investment Company Act of 1940, to form a controlling group with respect to FMR LLC. The principal business address of FMR LLC is 245 Summer Street, Boston, Massachusetts 02210.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As reported in a Schedule 13G/A filed with the Securities and Exchange Commission on February 13, 2024, which states that The Vanguard Group, Inc. has sole dispositive power with respect to 12,177,020 of the shares, shared dispositive power with respect to 333,797 of the shares and shared voting power with respect to 210,551 of the shares. The Vanguard Group, Inc. is the parent holding company of Vanguard Asset Management, Limited, Vanguard Fiduciary Trust Company, Vanguard Global Advisors, LLC, Vanguard Group (Ireland) Limited, Vanguard Investments Australia Ltd, Vanguard Investments Canada Inc., Vanguard Investments Hong Kong Limited and Vanguard Investments UK, Limited, which act as investment advisers to registered investment companies and separate accounts that own the reported shares. The principal business address of The Vanguard Group, Inc. is 100 Vanguard Boulevard, Malvern, Pennsylvania 19355.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(4)    As reported in a Schedule 13G filed with the Securities and Exchange Commission on January 25, 2024, which states that BlackRock, Inc. has sole dispositive power with respect to all of the shares and sole voting power with respect to 10,333,404 of the shares. BlackRock, Inc. is the parent holding company of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which act as investment advisers to registered investment companies and separate accounts that own the reported shares. The principal business address of BlackRock, Inc. is 55 East 52nd Street, New York, New York 10055.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(5)    Consists of (a) 338,226 shares of common stock held by Mr. Yoran directly, (b) 245,947 shares of common stock held by the Amit Yoran 2020 Family Trust, (c) 335,435 shares of common stock held by the Amit Yoran Grantor Retained Annuity Trust A, (d) 169,765 shares of common stock held by the Amit Yoran Grantor Retained Annuity Trust B, (e) 2,413,712 shares of common stock issuable upon the exercise of outstanding options exercisable within 60 days of March 28, 2024, and (f) 35,198 shares of common stock issuable upon the vesting and settlement of outstanding RSUs and PSUs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(6)    Consists of (a) 257,924 shares of common stock, (b) 528,434 shares of common stock issuable upon the exercise of outstanding options exercisable within 60 days of March 28, 2024, and (c) 19,727 shares of common stock issuable upon the vesting and settlement of outstanding RSUs and PSUs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(7)    Consists of (a) 27,993 shares of common stock and (b) 14,653 shares of common stock issuable upon the vesting and settlement of outstanding RSUs and PSUs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(8)    Consists of (a) 29,923 shares of common stock and (b) 5,201 shares of common stock issuable upon the vesting and settlement of outstanding RSUs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(9)    Consists of (a) 11,179 shares of common stock held by Mr. Huffard directly, (b) 31,847 shares of common stock held by Mr. Huffard’s spouse in the Mary Kathryn Braden Huffard Revocable Trust U/T/A dated March 2, 2012, (c) 390,183 shares of common stock held by Mary Kathryn Braden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69"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Huffard and Jonathan M. Forster, as Trustees of The Three Suns 2019 Non-Exempt Irrevocable Trust U/T/A dated November 15, 2019, (d) 53,588 shares of common stock held by Mr. Huffard and Mary Kathryn Braden Huffard, as Trustees of The John Cloyd Huffard Jr Revocable Trust U/T/A dated March 2, 2012, and (e) 5,201 shares of common stock issuable upon the vesting and settlement of outstanding RSUs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(10)    Consists of (a) 2 shares of common stock and (b) 5,201 shares of common stock issuable upon the vesting and settlement of outstanding RSUs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(11)    Consists of (a) 10,660 shares of common stock and (b) 8,510 shares of common stock issuable upon the vesting and settlement of outstanding RSUs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(12)    Consists of (a) 34,044 shares of common stock, (b) 230,000 shares of common stock issuable upon the exercise of outstanding options exercisable within 60 days of March 28, 2024, and (c) 5,201 shares of common stock issuable upon the vesting and settlement of outstanding RSUs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(13)    Consists of (a) 4,631 shares of common stock, (b) 1,500 shares of common stock held in a custodial account established pursuant to the Uniform Transfer to Minors Act for which Mr. Vicks serves as custodian, and (c) 5,201 shares of common stock issuable upon the vesting and settlement of outstanding RSUs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(14)    Consists of (a) 8,899 shares of common stock and (b) 5,201 shares of common stock issuable upon the vesting and settlement of outstanding RSUs within 60 days of March 28,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(15)    Consists of (a) 1,951,746 shares of common stock, (b) 3,172,146 shares of common stock issuable upon the exercise of outstanding options exercisable within 60 days of March 28, 2024, and (c) 109,294 shares of common stock issuable upon the vesting and settlement of outstanding RSUs and PSUs within 60 days of March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0"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COMPENSATION DISCUSSION AND ANALYSIS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Compensation Discussion and Analysis reviews the material elements of our 2023 executive compensation, philosophy, policies and practices, and discusses compensation earned by our named executive officers. Our named executive officers for the year ended December 31, 2023, are our principal executive officer, our chief financial officer and our chief operating officer, as reflected below (our “Named Executive Officers”). We have no other executive officers who were serving as of December 31, 2023 or who served during 2023.</w:t>
      </w:r>
    </w:p>
    <w:tbl>
      <w:tblPr>
        <w:tblW w:w="7556" w:type="dxa"/>
        <w:jc w:val="left"/>
        <w:tblInd w:w="0" w:type="dxa"/>
        <w:tblLayout w:type="fixed"/>
        <w:tblCellMar>
          <w:top w:w="28" w:type="dxa"/>
          <w:left w:w="28" w:type="dxa"/>
          <w:bottom w:w="28" w:type="dxa"/>
          <w:right w:w="28" w:type="dxa"/>
        </w:tblCellMar>
      </w:tblPr>
      <w:tblGrid>
        <w:gridCol w:w="582"/>
        <w:gridCol w:w="508"/>
        <w:gridCol w:w="514"/>
        <w:gridCol w:w="109"/>
        <w:gridCol w:w="109"/>
        <w:gridCol w:w="109"/>
        <w:gridCol w:w="1642"/>
        <w:gridCol w:w="1642"/>
        <w:gridCol w:w="2341"/>
      </w:tblGrid>
      <w:tr>
        <w:trPr/>
        <w:tc>
          <w:tcPr>
            <w:tcW w:w="58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Position</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Chairman of the Board of Directors</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Who We 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a leading provider of exposure management solutions. Exposure management is an effective discipline for measuring, comparing and reducing cybersecurity risk in today's complex IT environments.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2023 Financial Highlights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was $798.7 million, a 17%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was $873.3 million, a 12%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loss from operations was $52.2 million, compared to $67.8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Non-GAAP income from operations was $121.0 million, compared to $67.7 million in 2022.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was $78.3 million, compared to $92.2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loss per share was $0.68, compared to $0.83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was $97.2 million, compared to $44.3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was $0.80, compared to $0.38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Cash and cash equivalents and short-term investments were $474.0 million at December 31, 2023, compared to $567.4 million at December 31,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cash provided by operating activities was $149.9 million, compared to $131.2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Unlevered free cash flow was $175.4 million, compared to $128.1 million in 2022.</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Repurchased 0.4 million shares of our common stock for $14.9 million.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Refer to the Appendix for reconciliations of non-GAAP measures to comparable GAAP measures.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Executive Compensation Highlights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seek to ensure that executive pay is tied to performance and long-term stockholder value creation. Based on our success in executing our strategic plan in a challenging environment, including progress by the executive leadership team on our diversity and inclusion and employee engagement and development initiatives, the Compensation Committee took the following key actions with respect to the compensation of our Named Executive Officers in 2023 and in early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1"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 Base Salary Increases - In light of the challenging macro environment, our Compensation Committee determined to keep the base salaries of our Named Executive Officers at the same levels as those set in 2022. In February 2024, the Compensation Committee approved increases to the base salaries of our Named Executive Officers to better position the salaries with the median levels for such positions at our peers.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Cash Bonuses - Our cash bonus structure mirrored that of prior years and incorporated revenue, unlevered free cash flow and bookings goals. Our target cash bonuses are expressed as a percentage of base salary paid out based on quarterly and annual attainment, and remained comparable with 2022. Given our performance in these areas, cash bonuses were paid out in accordance with their plan formula below target at 97.1</w:t>
      </w:r>
      <w:r>
        <w:rPr>
          <w:rFonts w:ascii="Arial;sans-serif" w:hAnsi="Arial;sans-serif"/>
          <w:b w:val="false"/>
          <w:color w:val="000000"/>
          <w:sz w:val="24"/>
        </w:rPr>
        <w:t>%</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Long-Term Incentive Compensation - We continue to provide a large percentage of our Named Executive Officers’ target compensation opportunity through our long-term incentive compensation program. In 2023, our long-term incentive plan continued to include the grant of restricted stock units (“RSUs”) subject to service-based vesting and performance restricted stock units ("PSUs") subject to achievement of certain financial performance goals and followed by additional service-based vesting. The aggregate grant date fair value of Messrs. Yoran, Vintz, and Thurmond’s 2023 grants decreased relative to 2022 between 7 and 8%, which was $0.7 million, $0.4 million, and $0.3 million, respectively.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order to comply with SEC requirements, we adopted a new compensation recoupment policy to replace our existing policy, under which certain incentive compensation paid to or earned by our Named Executive Officers may be recovered in the event of financial restatements.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2022, we began incorporating PSUs in our long-term incentive plan as a portion of our long-term incentive grants in order to further tie pay to performance. For 2023, PSUs made up 25% of the total grant date fair value of the long-term incentive grants for our Named Executive Officers. In February 2024, the Compensation Committee increased the proportion of PSUs in the 2024 long-term incentive grant mix from 25% to 35%. In future years and over time, the Compensation Committee intends to continue to gradually shift the mix of equity awards granted to Named Executive Officers to include a higher proportion of performance-based incentives. </w:t>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2"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2023 Target Total Direct Compensation Overview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2023, 95% of our CEO’s total reported compensation and an average of 91% of our other Named Executive Officers’ total reported compensation was at-risk through quarterly and annual bonuses earned and equity incentives awarded, as reported in the Summary Compensation Table.</w:t>
      </w:r>
    </w:p>
    <w:p>
      <w:pPr>
        <w:pStyle w:val="TextBody"/>
        <w:bidi w:val="0"/>
        <w:spacing w:before="0" w:after="0"/>
        <w:jc w:val="center"/>
        <w:rPr/>
      </w:pPr>
      <w:r>
        <w:rPr/>
        <w:drawing>
          <wp:inline distT="0" distB="0" distL="0" distR="0">
            <wp:extent cx="2809875" cy="2371725"/>
            <wp:effectExtent l="0" t="0" r="0" b="0"/>
            <wp:docPr id="7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7" descr=""/>
                    <pic:cNvPicPr>
                      <a:picLocks noChangeAspect="1" noChangeArrowheads="1"/>
                    </pic:cNvPicPr>
                  </pic:nvPicPr>
                  <pic:blipFill>
                    <a:blip r:embed="rId28"/>
                    <a:stretch>
                      <a:fillRect/>
                    </a:stretch>
                  </pic:blipFill>
                  <pic:spPr bwMode="auto">
                    <a:xfrm>
                      <a:off x="0" y="0"/>
                      <a:ext cx="2809875" cy="2371725"/>
                    </a:xfrm>
                    <a:prstGeom prst="rect">
                      <a:avLst/>
                    </a:prstGeom>
                  </pic:spPr>
                </pic:pic>
              </a:graphicData>
            </a:graphic>
          </wp:inline>
        </w:drawing>
      </w:r>
      <w:r>
        <w:rPr/>
        <w:drawing>
          <wp:inline distT="0" distB="0" distL="0" distR="0">
            <wp:extent cx="2809875" cy="2371725"/>
            <wp:effectExtent l="0" t="0" r="0" b="0"/>
            <wp:docPr id="7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8" descr=""/>
                    <pic:cNvPicPr>
                      <a:picLocks noChangeAspect="1" noChangeArrowheads="1"/>
                    </pic:cNvPicPr>
                  </pic:nvPicPr>
                  <pic:blipFill>
                    <a:blip r:embed="rId29"/>
                    <a:stretch>
                      <a:fillRect/>
                    </a:stretch>
                  </pic:blipFill>
                  <pic:spPr bwMode="auto">
                    <a:xfrm>
                      <a:off x="0" y="0"/>
                      <a:ext cx="2809875" cy="2371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Listening to Our Stockholders</w:t>
      </w:r>
    </w:p>
    <w:p>
      <w:pPr>
        <w:pStyle w:val="TextBody"/>
        <w:bidi w:val="0"/>
        <w:spacing w:lineRule="auto" w:line="288" w:before="0" w:after="240"/>
        <w:ind w:left="0" w:right="0" w:firstLine="360"/>
        <w:jc w:val="left"/>
        <w:rPr/>
      </w:pPr>
      <w:r>
        <w:rPr>
          <w:rFonts w:ascii="Arial;sans-serif" w:hAnsi="Arial;sans-serif"/>
          <w:b w:val="false"/>
          <w:color w:val="000000"/>
          <w:sz w:val="20"/>
        </w:rPr>
        <w:t>At our annual meeting of stockholders in 2023, we conducted our third advisory vote on executive compensation, or a say-on-pay vote. Approximately</w:t>
      </w:r>
      <w:r>
        <w:rPr>
          <w:color w:val="000000"/>
          <w:shd w:fill="FFFFFF" w:val="clear"/>
        </w:rPr>
        <w:t xml:space="preserve"> </w:t>
      </w:r>
      <w:r>
        <w:rPr>
          <w:rFonts w:ascii="Arial;sans-serif" w:hAnsi="Arial;sans-serif"/>
          <w:b w:val="false"/>
          <w:color w:val="000000"/>
          <w:sz w:val="20"/>
          <w:shd w:fill="FFFFFF" w:val="clear"/>
        </w:rPr>
        <w:t xml:space="preserve">90.5% </w:t>
      </w:r>
      <w:r>
        <w:rPr>
          <w:rFonts w:ascii="Arial;sans-serif" w:hAnsi="Arial;sans-serif"/>
          <w:b w:val="false"/>
          <w:color w:val="000000"/>
          <w:sz w:val="20"/>
        </w:rPr>
        <w:t>of the votes cast on the say-on-pay proposal supported the proposal. Our Compensation Committee reviewed the final vote results for the proposal and given the level of support, concluded that our compensation program provided a competitive performance package that incentivizes our Named Executive Officers and encourages their retention over the long term. Accordingly, other than as described below, the Compensation Committee determined not to make any significant changes to our executive compensation policies or decisions as a result of the vote. Our Compensation Committee will continue to monitor and continually evaluate our compensation program going forward in light of our stockholders’ views and our transforming business needs. In addition to our annual advisory vote on executive compensation, we are committed to ongoing engagement with our stockholders on executive compensation and corporate governance issues.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Executive Compensation Policies and Practices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endeavor to maintain appropriate pay-for-performance alignment and sound governance standards as we review and manage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key convictions with respect to executive compensation and related policies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5"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490"/>
        <w:gridCol w:w="2177"/>
        <w:gridCol w:w="2058"/>
        <w:gridCol w:w="1156"/>
        <w:gridCol w:w="1075"/>
        <w:gridCol w:w="1249"/>
      </w:tblGrid>
      <w:tr>
        <w:trPr/>
        <w:tc>
          <w:tcPr>
            <w:tcW w:w="2490"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6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What We Do</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What We Do Not Do</w:t>
            </w:r>
          </w:p>
        </w:tc>
      </w:tr>
      <w:tr>
        <w:trPr/>
        <w:tc>
          <w:tcPr>
            <w:tcW w:w="6725" w:type="dxa"/>
            <w:gridSpan w:val="3"/>
            <w:tcBorders/>
            <w:tcMar>
              <w:top w:w="0" w:type="dxa"/>
              <w:left w:w="0" w:type="dxa"/>
              <w:bottom w:w="0" w:type="dxa"/>
              <w:right w:w="0" w:type="dxa"/>
            </w:tcMar>
            <w:vAlign w:val="center"/>
          </w:tcPr>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Maintain an independent Compensation Committee.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Retain an independent compensation advisor.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Annual executive compensation strategy review.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Multi-year vesting requirements for equity awards.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color w:val="000000"/>
              </w:rPr>
              <w:t>“</w:t>
            </w:r>
            <w:r>
              <w:rPr>
                <w:rFonts w:ascii="Arial;sans-serif" w:hAnsi="Arial;sans-serif"/>
                <w:b w:val="false"/>
                <w:color w:val="000000"/>
                <w:sz w:val="20"/>
              </w:rPr>
              <w:t xml:space="preserve">Double-trigger” change-in-control arrangements.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Succession planning by full Board.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 xml:space="preserve">Annual Say-on-Pay voting.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P</w:t>
            </w:r>
            <w:r>
              <w:rPr>
                <w:rFonts w:ascii="Arial;sans-serif" w:hAnsi="Arial;sans-serif"/>
                <w:b w:val="false"/>
                <w:color w:val="000000"/>
                <w:sz w:val="20"/>
              </w:rPr>
              <w:t>Stock incentive plans and executive employment agreements that provide for forfeiture of equity awards and severance if an executive is terminated for cause, including due to misconduct that results in reputational harm to the Company.</w:t>
            </w:r>
          </w:p>
        </w:tc>
        <w:tc>
          <w:tcPr>
            <w:tcW w:w="3480" w:type="dxa"/>
            <w:gridSpan w:val="3"/>
            <w:tcBorders/>
            <w:tcMar>
              <w:top w:w="0" w:type="dxa"/>
              <w:left w:w="0" w:type="dxa"/>
              <w:bottom w:w="0" w:type="dxa"/>
              <w:right w:w="0" w:type="dxa"/>
            </w:tcMar>
            <w:vAlign w:val="center"/>
          </w:tcPr>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 xml:space="preserve">No guaranteed bonuses.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 xml:space="preserve">No tax “gross ups” on payments on future post-employment compensation arrangements.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 xml:space="preserve">No hedging or pledging of our equity securities. </w:t>
            </w:r>
          </w:p>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No mid-year adjustments or modifications of our cash or equity incentives in 2023.</w:t>
            </w:r>
          </w:p>
          <w:p>
            <w:pPr>
              <w:pStyle w:val="TableContents"/>
              <w:bidi w:val="0"/>
              <w:spacing w:lineRule="auto" w:line="268" w:before="0" w:after="60"/>
              <w:ind w:left="0" w:right="0" w:hanging="360"/>
              <w:jc w:val="left"/>
              <w:rPr/>
            </w:pPr>
            <w:r>
              <w:rPr>
                <w:rFonts w:ascii="Wingdings 2;sans-serif" w:hAnsi="Wingdings 2;sans-serif"/>
                <w:b w:val="false"/>
                <w:color w:val="000000"/>
                <w:sz w:val="20"/>
              </w:rPr>
              <w:t>O</w:t>
            </w:r>
            <w:r>
              <w:rPr>
                <w:rFonts w:ascii="Arial;sans-serif" w:hAnsi="Arial;sans-serif"/>
                <w:b w:val="false"/>
                <w:color w:val="000000"/>
                <w:sz w:val="20"/>
              </w:rPr>
              <w:t>No retirement and perquisite benefits to our executives that are not offered to employees generally.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Executive Compensation Philosophy and Objectives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executive compensation program is guided by our overarching philosophy of paying for demonstrable performance. To achieve these objectives, we believe that our executive compensation program should include short-term and long-term elements, including cash and equity compensation, and should reward consistent performance that meets or exceeds expectations. We evaluate both performance and compensation to make sure that the compensation provided to our executives remains competitive relative to compensation paid by companies of similar size operating in our industry, taking into account our relative performance, our strategic objectives, and the performance of the individual executive.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Consistent with this philosophy, we have designed our executive compensation program to achieve the following primary objectives: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Provide market competitive compensation and benefit levels that will attract, motivate, reward, and retain a highly talented team of executives within the context of responsible cost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Establish a direct link between our financial and operational results and strategic objectives and the compensation of our executives;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Align the interests and objectives of our executives with those of our stockholders by linking our executives’ long-term incentive compensation opportunities to stockholder value creation and their cash incentives to our annual performance;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Offer total compensation opportunities to our executives that, while competitive, are internally consistent.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Executive Compensation Design; Pay for Performance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annual compensation arrangements for our Named Executive Officers consist of both fixed and "at risk" compensation elements which have been designed to align pay and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6"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fixed base salaries are designed to retain our executives by providing dependable and competitive annual income. In addition, we emphasize variable compensation through our short-term incentive cash bonus plan based on our Named Executive Officers attainment of pre-established short-term financial targets as determined from time to time by the Company and reviewed by our Board of Directors in connection with our annual operating plan, and "at-risk" compensation through our long-term equity incentive plan, which consists of service-vesting RSUs and PSUs.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Historically, we believed that service-based RSU awards were an appropriate long-term incentive compensation vehicle in so far as they exposed our Named Executive Officers to fluctuations in our stock price, thereby aligning the interests of our Named Executive Officers and stockholders and incentivizing them to build sustainable long-term value for the benefit of our stockholders while satisfying our retention objectives. In 2022, we incorporated PSUs in our long-term incentive plan as a portion of our long-term incentive grants in order to further tie pay to performance. For 2023, PSUs made up 25% of the total grant date fair value of the long-term incentive grants for our Named Executive Officers. In February 2024, the Compensation Committee increased the proportion of PSUs in the 2024 long-term incentive grant mix from 25% to 35%. In future years and over time, the Compensation Committee intends to continue to gradually shift the mix of equity awards granted to Named Executive Officers to include a higher proportion of performance-based incentives.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These at-risk pay elements ensure that a substantial portion of our Named Executive Officers’ target total direct compensation is contingent (rather than fixed) in nature, with the amounts ultimately payable commensurate with our actual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77"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Compensation Elements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2023, the principal elements of our executive compensation program, and the objective and key features of each element, were as follows:</w:t>
      </w:r>
    </w:p>
    <w:tbl>
      <w:tblPr>
        <w:tblW w:w="10205" w:type="dxa"/>
        <w:jc w:val="center"/>
        <w:tblInd w:w="0" w:type="dxa"/>
        <w:tblLayout w:type="fixed"/>
        <w:tblCellMar>
          <w:top w:w="28" w:type="dxa"/>
          <w:left w:w="28" w:type="dxa"/>
          <w:bottom w:w="28" w:type="dxa"/>
          <w:right w:w="28" w:type="dxa"/>
        </w:tblCellMar>
      </w:tblPr>
      <w:tblGrid>
        <w:gridCol w:w="460"/>
        <w:gridCol w:w="404"/>
        <w:gridCol w:w="327"/>
        <w:gridCol w:w="354"/>
        <w:gridCol w:w="354"/>
        <w:gridCol w:w="355"/>
        <w:gridCol w:w="1099"/>
        <w:gridCol w:w="1099"/>
        <w:gridCol w:w="1109"/>
        <w:gridCol w:w="1356"/>
        <w:gridCol w:w="1356"/>
        <w:gridCol w:w="1932"/>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Element</w:t>
            </w:r>
          </w:p>
        </w:tc>
        <w:tc>
          <w:tcPr>
            <w:tcW w:w="10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Type and Form of Element</w:t>
            </w:r>
          </w:p>
        </w:tc>
        <w:tc>
          <w:tcPr>
            <w:tcW w:w="33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Objective</w:t>
            </w:r>
          </w:p>
        </w:tc>
        <w:tc>
          <w:tcPr>
            <w:tcW w:w="46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Key Features</w:t>
            </w:r>
          </w:p>
        </w:tc>
      </w:tr>
      <w:tr>
        <w:trPr/>
        <w:tc>
          <w:tcPr>
            <w:tcW w:w="11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Base Salary</w:t>
            </w:r>
          </w:p>
        </w:tc>
        <w:tc>
          <w:tcPr>
            <w:tcW w:w="10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Fixed/Cash</w:t>
            </w:r>
          </w:p>
        </w:tc>
        <w:tc>
          <w:tcPr>
            <w:tcW w:w="33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Designed to attract and retain highly talented executives by providing financial stability and security for performing job responsibilities through a fixed amount that is market competitive and rewards performance</w:t>
            </w:r>
          </w:p>
        </w:tc>
        <w:tc>
          <w:tcPr>
            <w:tcW w:w="46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color w:val="000000"/>
              </w:rPr>
            </w:pPr>
            <w:bookmarkStart w:id="0" w:name="ia155a37a3dd44621b7b21a03f8ac78eb_1-3-1-"/>
            <w:bookmarkEnd w:id="0"/>
            <w:r>
              <w:rPr>
                <w:color w:val="000000"/>
              </w:rPr>
              <w:t xml:space="preserve">• </w:t>
            </w:r>
            <w:r>
              <w:rPr>
                <w:rFonts w:ascii="Arial;sans-serif" w:hAnsi="Arial;sans-serif"/>
                <w:b w:val="false"/>
                <w:color w:val="000000"/>
                <w:sz w:val="20"/>
              </w:rPr>
              <w:t>Established initially through arm’s-length negotiation at the time of hire and then reviewed annually at beginning of year.</w:t>
            </w:r>
          </w:p>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20"/>
              </w:rPr>
              <w:t>Factors considered include: executive's position, qualifications, experience, pre-hire salary level, the base salaries of our other executives, company and individual performance, retention objectives, a competitive market analysis, and recommendations of the CEO (for Named Executive Officers other than the CEO)</w:t>
            </w:r>
          </w:p>
        </w:tc>
      </w:tr>
      <w:tr>
        <w:trPr/>
        <w:tc>
          <w:tcPr>
            <w:tcW w:w="11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Incentive</w:t>
            </w:r>
          </w:p>
        </w:tc>
        <w:tc>
          <w:tcPr>
            <w:tcW w:w="10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Variable/Cash Bonus</w:t>
            </w:r>
          </w:p>
        </w:tc>
        <w:tc>
          <w:tcPr>
            <w:tcW w:w="33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Designed to motivate and reward executives with financial incentives for achieving or exceeding rigorous quarterly and annual financial objectives related to our key business imperatives</w:t>
            </w:r>
          </w:p>
        </w:tc>
        <w:tc>
          <w:tcPr>
            <w:tcW w:w="46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20"/>
              </w:rPr>
              <w:t>Target bonus amounts generally are reviewed annually at the beginning of year and determined based on various factors, including company and individual performance, a competitive market analysis, and recommendations of the CEO (for Named Executive Officers other than the CEO)</w:t>
              <w:br/>
              <w:t>• Bonus payments earned are determined after each quarter and the full-year</w:t>
              <w:br/>
              <w:t>• Bonus payments are generally dependent upon achievement of pre-established corporate financial objectives selected by our Compensation Committee from our annual operating plan reviewed by our Board of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78"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690"/>
        <w:gridCol w:w="364"/>
        <w:gridCol w:w="361"/>
        <w:gridCol w:w="665"/>
        <w:gridCol w:w="502"/>
        <w:gridCol w:w="503"/>
        <w:gridCol w:w="1118"/>
        <w:gridCol w:w="1118"/>
        <w:gridCol w:w="1120"/>
        <w:gridCol w:w="1099"/>
        <w:gridCol w:w="1099"/>
        <w:gridCol w:w="1566"/>
      </w:tblGrid>
      <w:tr>
        <w:trPr/>
        <w:tc>
          <w:tcPr>
            <w:tcW w:w="69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Incentive</w:t>
            </w:r>
          </w:p>
        </w:tc>
        <w:tc>
          <w:tcPr>
            <w:tcW w:w="16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At risk/RSUs and Variable/PSUs</w:t>
            </w:r>
          </w:p>
        </w:tc>
        <w:tc>
          <w:tcPr>
            <w:tcW w:w="33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Designed to motivate and reward executives for successful long-term performance, align interests of executives and stockholders by motivating them to create sustainable long-term stockholder value, and encourage continued employment of executives over the long-term</w:t>
            </w:r>
          </w:p>
        </w:tc>
        <w:tc>
          <w:tcPr>
            <w:tcW w:w="3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20"/>
              </w:rPr>
              <w:t xml:space="preserve">Annual award opportunities are generally reviewed and determined annually at beginning of the year or as appropriate during year for new hires, promotions, or other special circumstances </w:t>
            </w:r>
          </w:p>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20"/>
              </w:rPr>
              <w:t>Individual awards are determined based on various factors, including company and individual performance, retention value of outstanding equity holdings, competitive market analysis, and recommendations of the CEO (for Named Executive Officers other than the CEO)</w:t>
            </w:r>
          </w:p>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20"/>
              </w:rPr>
              <w:t>Historically granted RSU awards or stock options with four-year vesting requirements, although the Compensation Committee has discretion to grant other equity vehicles and use different vesting requirements or performance conditions</w:t>
            </w:r>
          </w:p>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20"/>
              </w:rPr>
              <w:t>In 2023, continued to grant PSUs as part of the long-term incentive program in order to more closely tie together Named Executive Officer compensation and Company performance</w:t>
            </w:r>
          </w:p>
        </w:tc>
      </w:tr>
      <w:tr>
        <w:trPr/>
        <w:tc>
          <w:tcPr>
            <w:tcW w:w="1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Compensation</w:t>
            </w:r>
          </w:p>
        </w:tc>
        <w:tc>
          <w:tcPr>
            <w:tcW w:w="16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Retirement and health and welfare benefits offered to all employees on the same terms</w:t>
            </w:r>
          </w:p>
        </w:tc>
        <w:tc>
          <w:tcPr>
            <w:tcW w:w="33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Employee benefits that promote employee savings and health and welfare, which assists in attracting and retaining our executives and employees</w:t>
            </w:r>
          </w:p>
        </w:tc>
        <w:tc>
          <w:tcPr>
            <w:tcW w:w="37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Indirect compensation element consisting of programs such as medical, vision, dental, life and disability insurance, as well as the 401(k) Plan with a company matching contribution and an ESPP, and other plans and programs made available to all eligible employees</w:t>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Base Salary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February 2023, the Compensation Committee reviewed the base salaries of our Named Executive Officers, taking into consideration a competitive market analysis prepared by its compensation consultant and the recommendations of our CEO (except with respect to the CEO's own compensation), as well as the other factors described in “Compensation-Setting Process" below. Following this review, in light of the challenging macro environment, the Compensation Committee determined to keep the base salaries of our Named Executive Officers at the same levels as those set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79"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base salaries of our Named Executive Officers were as follows:</w:t>
      </w:r>
    </w:p>
    <w:tbl>
      <w:tblPr>
        <w:tblW w:w="8659" w:type="dxa"/>
        <w:jc w:val="center"/>
        <w:tblInd w:w="0" w:type="dxa"/>
        <w:tblLayout w:type="fixed"/>
        <w:tblCellMar>
          <w:top w:w="28" w:type="dxa"/>
          <w:left w:w="28" w:type="dxa"/>
          <w:bottom w:w="28" w:type="dxa"/>
          <w:right w:w="28" w:type="dxa"/>
        </w:tblCellMar>
      </w:tblPr>
      <w:tblGrid>
        <w:gridCol w:w="819"/>
        <w:gridCol w:w="722"/>
        <w:gridCol w:w="724"/>
        <w:gridCol w:w="109"/>
        <w:gridCol w:w="109"/>
        <w:gridCol w:w="109"/>
        <w:gridCol w:w="290"/>
        <w:gridCol w:w="1179"/>
        <w:gridCol w:w="150"/>
        <w:gridCol w:w="109"/>
        <w:gridCol w:w="109"/>
        <w:gridCol w:w="109"/>
        <w:gridCol w:w="290"/>
        <w:gridCol w:w="1179"/>
        <w:gridCol w:w="150"/>
        <w:gridCol w:w="109"/>
        <w:gridCol w:w="109"/>
        <w:gridCol w:w="109"/>
        <w:gridCol w:w="431"/>
        <w:gridCol w:w="431"/>
        <w:gridCol w:w="1313"/>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2022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Adjustment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base salaries paid to our Named Executive Officers during 2023 are set forth in the Summary Compensation Table below.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February 2024, the Compensation Committee approved increases to the base salaries of our Named Executive Officers to better position the salaries with the median levels for such positions at our peers.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Cash Bonuses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Cash bonuses are based upon a specific percentage of each participant’s annual base salary and are paid, subject to goal attainment, in five equally weighted installments, following each quarter and a fifth payment following year-end.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that paying bonuses throughout the year is the most effective way to motivate achievement of our short-term financial goals because quarterly and annual payments align with the time periods for which we provide external guidance to the investment community.</w:t>
      </w:r>
    </w:p>
    <w:p>
      <w:pPr>
        <w:pStyle w:val="TextBody"/>
        <w:bidi w:val="0"/>
        <w:spacing w:lineRule="auto" w:line="288" w:before="0" w:after="240"/>
        <w:ind w:left="0" w:right="0" w:firstLine="360"/>
        <w:jc w:val="left"/>
        <w:rPr/>
      </w:pPr>
      <w:r>
        <w:rPr>
          <w:rFonts w:ascii="Arial;sans-serif" w:hAnsi="Arial;sans-serif"/>
          <w:b w:val="false"/>
          <w:color w:val="000000"/>
          <w:sz w:val="20"/>
        </w:rPr>
        <w:t>2023</w:t>
      </w:r>
      <w:r>
        <w:rPr>
          <w:color w:val="000000"/>
        </w:rPr>
        <w:t xml:space="preserve"> </w:t>
      </w:r>
      <w:r>
        <w:rPr>
          <w:rFonts w:ascii="Arial;sans-serif" w:hAnsi="Arial;sans-serif"/>
          <w:b w:val="false"/>
          <w:i/>
          <w:color w:val="000000"/>
          <w:sz w:val="20"/>
        </w:rPr>
        <w:t>Cash Bonus Structure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February 2023, the Compensation Committee reviewed the target short-term cash incentive bonus opportunities of our Named Executive Officers in place for 2023, taking into consideration a competitive market analysis prepared by its compensation consultant and the recommendations of our CEO (except with respect to the CEO's own bonus opportunity), as well as the other factors described in “Compensation-Setting" below. Following this review, the Compensation Committee determined that the target short-term cash incentive bonus opportunities would remain unchanged as a percentage of their base salaries for our Named Executive Officers.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Accordingly, the target short-term cash incentive bonus opportunities of our Named Executive Officers for 2023 were as follows:</w:t>
      </w:r>
    </w:p>
    <w:tbl>
      <w:tblPr>
        <w:tblW w:w="9233"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586"/>
        <w:gridCol w:w="2380"/>
        <w:gridCol w:w="303"/>
        <w:gridCol w:w="109"/>
        <w:gridCol w:w="109"/>
        <w:gridCol w:w="109"/>
        <w:gridCol w:w="603"/>
        <w:gridCol w:w="603"/>
        <w:gridCol w:w="1839"/>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2023 Target Cash Bonus Opportunity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Target Percentage of Base Salary</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487,000 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362,250 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362,250 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Consistent with the prior year, for 2023, our Board of Directors established anticipated target goals for each performance metric used in our annual operating plan, with actual bonus payments at each periodic payment interval calculated by multiplying 20% of a participant’s target cash bonus opportunity by the weighted average percentage attainment level of the applicable goals for each applicable quarter or full year. No payments are made if attainment is below 75% and the maximum payment is capped at 200% of the target amount. Accordingly, for 2023, the target performance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0"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our Named Executive Officers were as follows, each of which exceeds prior year actual performance:</w:t>
      </w:r>
    </w:p>
    <w:tbl>
      <w:tblPr>
        <w:tblW w:w="7928" w:type="dxa"/>
        <w:jc w:val="left"/>
        <w:tblInd w:w="0" w:type="dxa"/>
        <w:tblLayout w:type="fixed"/>
        <w:tblCellMar>
          <w:top w:w="28" w:type="dxa"/>
          <w:left w:w="28" w:type="dxa"/>
          <w:bottom w:w="28" w:type="dxa"/>
          <w:right w:w="28" w:type="dxa"/>
        </w:tblCellMar>
      </w:tblPr>
      <w:tblGrid>
        <w:gridCol w:w="1319"/>
        <w:gridCol w:w="1162"/>
        <w:gridCol w:w="1164"/>
        <w:gridCol w:w="109"/>
        <w:gridCol w:w="109"/>
        <w:gridCol w:w="109"/>
        <w:gridCol w:w="426"/>
        <w:gridCol w:w="1736"/>
        <w:gridCol w:w="222"/>
        <w:gridCol w:w="109"/>
        <w:gridCol w:w="109"/>
        <w:gridCol w:w="109"/>
        <w:gridCol w:w="323"/>
        <w:gridCol w:w="323"/>
        <w:gridCol w:w="599"/>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Performance Metric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Target Performance Level </w:t>
            </w:r>
          </w:p>
          <w:p>
            <w:pPr>
              <w:pStyle w:val="TableContents"/>
              <w:bidi w:val="0"/>
              <w:spacing w:lineRule="auto" w:line="240" w:before="0" w:after="0"/>
              <w:jc w:val="center"/>
              <w:rPr/>
            </w:pPr>
            <w:r>
              <w:rPr>
                <w:rFonts w:ascii="Arial;sans-serif" w:hAnsi="Arial;sans-serif"/>
                <w:b/>
                <w:color w:val="000000"/>
                <w:sz w:val="18"/>
              </w:rPr>
              <w:t>(in thousands)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Weighting</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Revenue + Unlevered Free Cash Flow</w:t>
            </w:r>
            <w:r>
              <w:rPr>
                <w:color w:val="000000"/>
              </w:rPr>
              <w:t xml:space="preserve">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995,744 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66.67 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(1)    The target performance level for each performance metric was adjusted to include the expected impact of Ermetic from October 2, 2023 (date of acquisition) through the end of the year as approved by our Board of Directors.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(2)     Unlevered Free Cash Flow is a non-GAAP measure. Refer to the Appendix for reconciliations of non-GAAP measures to comparable GAAP measures.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We have chosen not to disclose the target performance level for our bookings performance measure as such information is proprietary in nature, the disclosure of which could result in competitive harm to the Company. For 2023, the Board of Directors considered the target performance achievement levels for the bookings performance measure to be challenging, but achievable with significant effort requiring circumstances to align as projected. The bookings target goal reflected a 22.6% increase over our actual bookings results from 2022.</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For this purpose, each of the above metrics are defined as follows: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u w:val="single"/>
        </w:rPr>
        <w:t>Revenue</w:t>
      </w:r>
      <w:r>
        <w:rPr>
          <w:color w:val="000000"/>
        </w:rPr>
        <w:t xml:space="preserve"> </w:t>
      </w:r>
      <w:r>
        <w:rPr>
          <w:rFonts w:ascii="Arial;sans-serif" w:hAnsi="Arial;sans-serif"/>
          <w:b w:val="false"/>
          <w:color w:val="000000"/>
          <w:sz w:val="20"/>
        </w:rPr>
        <w:t>- to be calculated in accordance with GAAP and as set forth in our quarterly and annual financial statements.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u w:val="single"/>
        </w:rPr>
        <w:t>Unlevered Free Cash Flow</w:t>
      </w:r>
      <w:r>
        <w:rPr>
          <w:color w:val="000000"/>
        </w:rPr>
        <w:t xml:space="preserve"> – </w:t>
      </w:r>
      <w:r>
        <w:rPr>
          <w:rFonts w:ascii="Arial;sans-serif" w:hAnsi="Arial;sans-serif"/>
          <w:b w:val="false"/>
          <w:color w:val="000000"/>
          <w:sz w:val="20"/>
        </w:rPr>
        <w:t>to be calculated as free cash flow, defined as GAAP net cash flows from operating activities reduced by purchases of property and equipment, plus cash paid for interest and other financing costs, excluding payments for acquisition-related expenses.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u w:val="single"/>
        </w:rPr>
        <w:t>Bookings</w:t>
      </w:r>
      <w:r>
        <w:rPr>
          <w:color w:val="000000"/>
        </w:rPr>
        <w:t xml:space="preserve"> </w:t>
      </w:r>
      <w:r>
        <w:rPr>
          <w:rFonts w:ascii="Arial;sans-serif" w:hAnsi="Arial;sans-serif"/>
          <w:b w:val="false"/>
          <w:color w:val="000000"/>
          <w:sz w:val="20"/>
        </w:rPr>
        <w:t>- to be calculated as sales of new and renewal subscription licenses, perpetual licenses and related first-year maintenance, and services and training, which are closed in a period. Bookings is based on annual contract value (ACV), whereby we include only the first-year contract value as booked in cases where a multi-year deal is prepaid or billed upfront.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believed that, for purposes of the short-term cash incentive bonus plan, these were the most appropriate corporate performance measures to use because, in its view, they would provide meaningful indicators of our successful execution of our annual operating plan and our ability to enhance long-term value creation. In particular, we believe our bookings levels are an effective measure of annual contract value, which management uses to measure the growth of our business.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2023 Cash Bonus Attainment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actual performance against the aggregate target level for the various corporate performance measures for each quarter and for the full year, as applicable, as well as the amounts received by each Named Executive Officer, were reviewed by the Compensation Committee in February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1"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provides information regarding the full year cash bonus payout level achieved by the Named Executive Officers during 2023:</w:t>
      </w:r>
    </w:p>
    <w:tbl>
      <w:tblPr>
        <w:tblW w:w="8408" w:type="dxa"/>
        <w:jc w:val="left"/>
        <w:tblInd w:w="0" w:type="dxa"/>
        <w:tblLayout w:type="fixed"/>
        <w:tblCellMar>
          <w:top w:w="28" w:type="dxa"/>
          <w:left w:w="28" w:type="dxa"/>
          <w:bottom w:w="28" w:type="dxa"/>
          <w:right w:w="28" w:type="dxa"/>
        </w:tblCellMar>
      </w:tblPr>
      <w:tblGrid>
        <w:gridCol w:w="1238"/>
        <w:gridCol w:w="1090"/>
        <w:gridCol w:w="1092"/>
        <w:gridCol w:w="109"/>
        <w:gridCol w:w="109"/>
        <w:gridCol w:w="109"/>
        <w:gridCol w:w="426"/>
        <w:gridCol w:w="1736"/>
        <w:gridCol w:w="222"/>
        <w:gridCol w:w="109"/>
        <w:gridCol w:w="109"/>
        <w:gridCol w:w="109"/>
        <w:gridCol w:w="386"/>
        <w:gridCol w:w="386"/>
        <w:gridCol w:w="1178"/>
      </w:tblGrid>
      <w:tr>
        <w:trPr/>
        <w:tc>
          <w:tcPr>
            <w:tcW w:w="123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Performance Metric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Actual Performance Level </w:t>
            </w:r>
          </w:p>
          <w:p>
            <w:pPr>
              <w:pStyle w:val="TableContents"/>
              <w:bidi w:val="0"/>
              <w:spacing w:lineRule="auto" w:line="240" w:before="0" w:after="0"/>
              <w:jc w:val="center"/>
              <w:rPr/>
            </w:pPr>
            <w:r>
              <w:rPr>
                <w:rFonts w:ascii="Arial;sans-serif" w:hAnsi="Arial;sans-serif"/>
                <w:b/>
                <w:color w:val="000000"/>
                <w:sz w:val="18"/>
              </w:rPr>
              <w:t>(in thousands)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of Target</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 Unlevered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983,445 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3"/>
              </w:rPr>
            </w:pP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93.3 </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actual performance level for each performance metric includes the impact of Ermetic from October 2, 2023 (date of acquisition) through the end of the year.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We have chosen not to disclose the performance level for our bookings performance measure as such information is proprietary in nature, the disclosure of which could result in competitive harm to the Company. For 2023, the Board of Directors considered the target performance achievement levels for the booking performance measure to be challenging but achievable with significant effort requiring circumstances to align as projected. The bookings performance attainment reflected a 14.4% increase over our actual bookings results from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2"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the actual quarterly and full year cash bonuses earned by the Named Executive Officers during 2023: </w:t>
      </w:r>
    </w:p>
    <w:tbl>
      <w:tblPr>
        <w:tblW w:w="10205" w:type="dxa"/>
        <w:jc w:val="left"/>
        <w:tblInd w:w="0" w:type="dxa"/>
        <w:tblLayout w:type="fixed"/>
        <w:tblCellMar>
          <w:top w:w="28" w:type="dxa"/>
          <w:left w:w="28" w:type="dxa"/>
          <w:bottom w:w="28" w:type="dxa"/>
          <w:right w:w="28" w:type="dxa"/>
        </w:tblCellMar>
      </w:tblPr>
      <w:tblGrid>
        <w:gridCol w:w="507"/>
        <w:gridCol w:w="438"/>
        <w:gridCol w:w="439"/>
        <w:gridCol w:w="109"/>
        <w:gridCol w:w="109"/>
        <w:gridCol w:w="109"/>
        <w:gridCol w:w="471"/>
        <w:gridCol w:w="471"/>
        <w:gridCol w:w="472"/>
        <w:gridCol w:w="109"/>
        <w:gridCol w:w="109"/>
        <w:gridCol w:w="109"/>
        <w:gridCol w:w="298"/>
        <w:gridCol w:w="1213"/>
        <w:gridCol w:w="154"/>
        <w:gridCol w:w="109"/>
        <w:gridCol w:w="109"/>
        <w:gridCol w:w="109"/>
        <w:gridCol w:w="634"/>
        <w:gridCol w:w="574"/>
        <w:gridCol w:w="1508"/>
        <w:gridCol w:w="109"/>
        <w:gridCol w:w="109"/>
        <w:gridCol w:w="109"/>
        <w:gridCol w:w="295"/>
        <w:gridCol w:w="1200"/>
        <w:gridCol w:w="223"/>
      </w:tblGrid>
      <w:tr>
        <w:trPr/>
        <w:tc>
          <w:tcPr>
            <w:tcW w:w="50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Arial;sans-serif" w:hAnsi="Arial;sans-serif"/>
                <w:b/>
                <w:color w:val="000000"/>
                <w:sz w:val="18"/>
              </w:rPr>
            </w:pPr>
            <w:r>
              <w:rPr>
                <w:rFonts w:ascii="Arial;sans-serif" w:hAnsi="Arial;sans-serif"/>
                <w:b/>
                <w:color w:val="000000"/>
                <w:sz w:val="18"/>
              </w:rPr>
              <w:t>Target Quarterly/Annual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Arial;sans-serif" w:hAnsi="Arial;sans-serif"/>
                <w:b/>
                <w:color w:val="000000"/>
                <w:sz w:val="18"/>
              </w:rPr>
            </w:pPr>
            <w:r>
              <w:rPr>
                <w:rFonts w:ascii="Arial;sans-serif" w:hAnsi="Arial;sans-serif"/>
                <w:b/>
                <w:color w:val="000000"/>
                <w:sz w:val="18"/>
              </w:rPr>
              <w:t>Aggregate Weighted Average Achievement/ Payment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Arial;sans-serif" w:hAnsi="Arial;sans-serif"/>
                <w:b/>
                <w:color w:val="000000"/>
                <w:sz w:val="18"/>
              </w:rPr>
            </w:pPr>
            <w:r>
              <w:rPr>
                <w:rFonts w:ascii="Arial;sans-serif" w:hAnsi="Arial;sans-serif"/>
                <w:b/>
                <w:color w:val="000000"/>
                <w:sz w:val="18"/>
              </w:rPr>
              <w:t>Actual Quarterly/Annual Bonus</w:t>
            </w:r>
          </w:p>
        </w:tc>
      </w:tr>
      <w:tr>
        <w:trPr/>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Mr.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99,445 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93,894 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92,433 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92,920 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472,878 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73,971 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70,059 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68,755 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69,117 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351,744 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73,971 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70,059 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351,744 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cash bonus payments made to our Named Executive Officers for 2023 are set forth in the Summary Compensation Table below.</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Long-Term Incentive Compensation</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historically granted equity compensation to our Named Executive Officers primarily in the form of RSU awards or stock options. The Compensation Committee introduced PSUs for our Named Executive Officers beginning in 2022. For 2023, as part of its annual compensation review the Compensation Committee determined to continue granting a mix of equity awards consisting of 75% RSUs and 25% PSUs (based on target grant date values). Each RSU and PSU granted represents a contingent right to receive one share of our common stock for each unit that ultimately vests. Based upon a review of competitive market practice and the incentive power of these awards, in February 2023, the Compensation Committee granted RSU and PSU awards to our Named Executive Officers in amounts that it considered to be consistent with our compensation philosophy and its desired market competitiveness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3"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240"/>
        <w:jc w:val="left"/>
        <w:rPr/>
      </w:pPr>
      <w:r>
        <w:rPr/>
      </w:r>
    </w:p>
    <w:tbl>
      <w:tblPr>
        <w:tblW w:w="10684" w:type="dxa"/>
        <w:jc w:val="left"/>
        <w:tblInd w:w="0" w:type="dxa"/>
        <w:tblLayout w:type="fixed"/>
        <w:tblCellMar>
          <w:top w:w="28" w:type="dxa"/>
          <w:left w:w="28" w:type="dxa"/>
          <w:bottom w:w="28" w:type="dxa"/>
          <w:right w:w="28" w:type="dxa"/>
        </w:tblCellMar>
      </w:tblPr>
      <w:tblGrid>
        <w:gridCol w:w="368"/>
        <w:gridCol w:w="311"/>
        <w:gridCol w:w="312"/>
        <w:gridCol w:w="109"/>
        <w:gridCol w:w="109"/>
        <w:gridCol w:w="109"/>
        <w:gridCol w:w="335"/>
        <w:gridCol w:w="335"/>
        <w:gridCol w:w="336"/>
        <w:gridCol w:w="109"/>
        <w:gridCol w:w="109"/>
        <w:gridCol w:w="109"/>
        <w:gridCol w:w="211"/>
        <w:gridCol w:w="1021"/>
        <w:gridCol w:w="109"/>
        <w:gridCol w:w="109"/>
        <w:gridCol w:w="109"/>
        <w:gridCol w:w="109"/>
        <w:gridCol w:w="410"/>
        <w:gridCol w:w="410"/>
        <w:gridCol w:w="411"/>
        <w:gridCol w:w="109"/>
        <w:gridCol w:w="109"/>
        <w:gridCol w:w="109"/>
        <w:gridCol w:w="211"/>
        <w:gridCol w:w="1021"/>
        <w:gridCol w:w="109"/>
        <w:gridCol w:w="109"/>
        <w:gridCol w:w="109"/>
        <w:gridCol w:w="109"/>
        <w:gridCol w:w="211"/>
        <w:gridCol w:w="1021"/>
        <w:gridCol w:w="109"/>
        <w:gridCol w:w="109"/>
        <w:gridCol w:w="109"/>
        <w:gridCol w:w="109"/>
        <w:gridCol w:w="292"/>
        <w:gridCol w:w="292"/>
        <w:gridCol w:w="887"/>
      </w:tblGrid>
      <w:tr>
        <w:trPr/>
        <w:tc>
          <w:tcPr>
            <w:tcW w:w="3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 Unit Award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 Unit Award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Stock Unit Award (target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Stock Unit Award (target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Year-over-Year Change</w:t>
            </w:r>
          </w:p>
        </w:tc>
      </w:tr>
      <w:tr>
        <w:trPr/>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143,963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6,224,960 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4,699,929 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2023 RSU Awards</w:t>
      </w:r>
    </w:p>
    <w:p>
      <w:pPr>
        <w:pStyle w:val="TextBody"/>
        <w:bidi w:val="0"/>
        <w:spacing w:lineRule="auto" w:line="288" w:before="0" w:after="240"/>
        <w:ind w:left="0" w:right="0" w:firstLine="360"/>
        <w:jc w:val="left"/>
        <w:rPr/>
      </w:pPr>
      <w:r>
        <w:rPr>
          <w:rFonts w:ascii="Arial;sans-serif" w:hAnsi="Arial;sans-serif"/>
          <w:b w:val="false"/>
          <w:color w:val="000000"/>
          <w:sz w:val="20"/>
        </w:rPr>
        <w:t>RSU awards serve as an incentive that is aligned with the long-term interests of our stockholders because their value increases (or decreases) with any change in the value of the underlying shares. Further, RSUs serve our retention objectives because they are subject to a multi-year vesting requirement based on continued service. The RSU awards granted to our Named Executive Officers vest over a four-year period, with 25% of the total number of units subject to the award vesting on the first anniversary of February 22, 2023, the vesting commencement date, and 1/16</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of the total number of units subject to the award vesting in quarterly installments over the following three years, contingent upon the Named Executive Officer’s continued employment by us through each applicable vesting date.</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2023 PSU Awards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2023, the Compensation Committee continued to grant PSUs, representing 25% of the equity award mix (based on target grant date values), to strengthen the Company's pay for performance philosophy and in light of stockholder and institutional investor feedback. Because PSUs are only earned upon achievement of key performance goals that drive our business and our stockholder value, the Compensation Committee believes that these awards increase the alignment between the interests of our executive officers and stockholders. In February 2024, the Compensation Committee increased the proportion of PSUs in the long-term incentive grant mix from 25% to 35% for 2024. In future years and over time, the Compensation Committee intends to continue to gradually shift the mix of equity awards granted to Named Executive Officers to include a higher proportion of performance-based incentives.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PSU awards were subject to the achievement of (i) pre-established target levels for global bookings (weighted 33.33%) and revenue + unlevered free cash flow (weighted 66.67%) during the one-year performance period beginning on January 1, 2023, and (ii) a service-based vesting requirement, with 25% of the total number of PSUs deemed to be earned based on performance by the Compensation Committee vesting on the first anniversary of February 22, 2023, and the remainder vesting quarterly over the following three years, subject to the Named Executive Officer's continuous service through each applicable vesting date. The vesting of the PSUs may accelerate upon certain change in control events.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purposes of the PSU awards, global bookings, revenue and unlevered free cash flow have the same definitions set forth above under “Cash Bonuses.” The Compensation Committee selected these performance measures based on its belief that they were the best indicators of our successful execution of our annual operating plan and our ability to enhance long-term value creation.</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number of units (and, correspondingly, the number of shares) that could be earned under the PSU awards ranged from 0% to 200% of the target number of PSUs granted, subject to the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4"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vesting requirement described above. The levels of performance required to earn the target number of PSUs was approved by the Compensation Committee at the time of grant as follows:</w:t>
      </w:r>
    </w:p>
    <w:tbl>
      <w:tblPr>
        <w:tblW w:w="9997" w:type="dxa"/>
        <w:jc w:val="left"/>
        <w:tblInd w:w="0" w:type="dxa"/>
        <w:tblLayout w:type="fixed"/>
        <w:tblCellMar>
          <w:top w:w="28" w:type="dxa"/>
          <w:left w:w="28" w:type="dxa"/>
          <w:bottom w:w="28" w:type="dxa"/>
          <w:right w:w="28" w:type="dxa"/>
        </w:tblCellMar>
      </w:tblPr>
      <w:tblGrid>
        <w:gridCol w:w="1859"/>
        <w:gridCol w:w="1633"/>
        <w:gridCol w:w="1637"/>
        <w:gridCol w:w="109"/>
        <w:gridCol w:w="109"/>
        <w:gridCol w:w="109"/>
        <w:gridCol w:w="759"/>
        <w:gridCol w:w="759"/>
        <w:gridCol w:w="761"/>
        <w:gridCol w:w="109"/>
        <w:gridCol w:w="109"/>
        <w:gridCol w:w="109"/>
        <w:gridCol w:w="566"/>
        <w:gridCol w:w="566"/>
        <w:gridCol w:w="803"/>
      </w:tblGrid>
      <w:tr>
        <w:trPr/>
        <w:tc>
          <w:tcPr>
            <w:tcW w:w="185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Global Bookings and Revenue + Unlevered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180" w:before="0" w:after="283"/>
              <w:jc w:val="center"/>
              <w:rPr>
                <w:rFonts w:ascii="Arial;sans-serif" w:hAnsi="Arial;sans-serif"/>
                <w:b/>
                <w:color w:val="000000"/>
                <w:sz w:val="18"/>
              </w:rPr>
            </w:pPr>
            <w:r>
              <w:rPr>
                <w:rFonts w:ascii="Arial;sans-serif" w:hAnsi="Arial;sans-serif"/>
                <w:b/>
                <w:color w:val="000000"/>
                <w:sz w:val="18"/>
              </w:rPr>
              <w:t>Achievement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180" w:before="0" w:after="0"/>
              <w:jc w:val="center"/>
              <w:rPr/>
            </w:pPr>
            <w:r>
              <w:rPr>
                <w:rFonts w:ascii="Arial;sans-serif" w:hAnsi="Arial;sans-serif"/>
                <w:b/>
                <w:color w:val="000000"/>
                <w:sz w:val="18"/>
              </w:rPr>
              <w:t>Payout Percentage</w:t>
            </w:r>
            <w:r>
              <w:rPr>
                <w:rFonts w:ascii="Arial;sans-serif" w:hAnsi="Arial;sans-serif"/>
                <w:b/>
                <w:color w:val="000000"/>
                <w:sz w:val="12"/>
              </w:rPr>
              <w:t>(1)</w:t>
            </w:r>
          </w:p>
        </w:tc>
      </w:tr>
      <w:tr>
        <w:trPr/>
        <w:tc>
          <w:tcPr>
            <w:tcW w:w="5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200%</w:t>
            </w:r>
          </w:p>
        </w:tc>
      </w:tr>
      <w:tr>
        <w:trPr/>
        <w:tc>
          <w:tcPr>
            <w:tcW w:w="512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100%</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50%</w:t>
            </w:r>
          </w:p>
        </w:tc>
      </w:tr>
      <w:tr>
        <w:trPr/>
        <w:tc>
          <w:tcPr>
            <w:tcW w:w="512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&lt;Threshold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&lt;75.0%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0%</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In the event of actual performance between the threshold and target, or between the target and maximum, performance levels, the payout percentage would be calculated between each designated segment on a linear basis.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threshold performance level for each corporate performance measure was the minimum performance level that had to be achieved before the performance-vesting condition would be satisfied with respect to any PSUs. If the threshold performance level was not achieved, then no PSUs would become eligible to vest with respect to that measure. The Compensation Committee viewed these performance levels as challenging, but achievable with significant effort requiring circumstances to align as projected.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February 2024, the Compensation Committee determined that, for 2023, our corporate performance measures were achieved as follows, resulting in an aggregate weighted payment percentage of 93.9% with respect to the PSUs:</w:t>
      </w:r>
    </w:p>
    <w:tbl>
      <w:tblPr>
        <w:tblW w:w="10205"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557"/>
        <w:gridCol w:w="398"/>
        <w:gridCol w:w="399"/>
        <w:gridCol w:w="109"/>
        <w:gridCol w:w="109"/>
        <w:gridCol w:w="109"/>
        <w:gridCol w:w="437"/>
        <w:gridCol w:w="387"/>
        <w:gridCol w:w="1017"/>
        <w:gridCol w:w="109"/>
        <w:gridCol w:w="109"/>
        <w:gridCol w:w="109"/>
        <w:gridCol w:w="368"/>
        <w:gridCol w:w="318"/>
        <w:gridCol w:w="836"/>
        <w:gridCol w:w="109"/>
        <w:gridCol w:w="109"/>
        <w:gridCol w:w="109"/>
        <w:gridCol w:w="266"/>
        <w:gridCol w:w="266"/>
        <w:gridCol w:w="267"/>
        <w:gridCol w:w="109"/>
        <w:gridCol w:w="109"/>
        <w:gridCol w:w="109"/>
        <w:gridCol w:w="270"/>
        <w:gridCol w:w="271"/>
        <w:gridCol w:w="698"/>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Corporate 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40"/>
              <w:jc w:val="left"/>
              <w:rPr/>
            </w:pPr>
            <w:r>
              <w:rPr>
                <w:rFonts w:ascii="Arial;sans-serif" w:hAnsi="Arial;sans-serif"/>
                <w:b/>
                <w:color w:val="000000"/>
                <w:sz w:val="18"/>
              </w:rPr>
              <w:t>Measure Achieved</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88" w:before="0" w:after="40"/>
              <w:jc w:val="left"/>
              <w:rPr/>
            </w:pPr>
            <w:r>
              <w:rPr>
                <w:rFonts w:ascii="Arial;sans-serif" w:hAnsi="Arial;sans-serif"/>
                <w:b/>
                <w:color w:val="000000"/>
                <w:sz w:val="18"/>
              </w:rPr>
              <w:t xml:space="preserve">Percentage of Target Measure Achieved </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Scaled Payment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Plan 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Weighted </w:t>
              <w:br/>
              <w:t xml:space="preserve">Payment </w:t>
              <w:br/>
              <w:t>Percentage</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 Unlevered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983,446 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8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000000"/>
                <w:sz w:val="20"/>
              </w:rPr>
            </w:pPr>
            <w:r>
              <w:rPr>
                <w:rFonts w:ascii="Arial;sans-serif" w:hAnsi="Arial;sans-serif"/>
                <w:b w:val="false"/>
                <w:color w:val="000000"/>
                <w:sz w:val="20"/>
              </w:rPr>
              <w:t>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199" w:before="40" w:after="283"/>
              <w:jc w:val="right"/>
              <w:rPr>
                <w:rFonts w:ascii="Arial;sans-serif" w:hAnsi="Arial;sans-serif"/>
                <w:b w:val="false"/>
                <w:color w:val="000000"/>
                <w:sz w:val="13"/>
              </w:rPr>
            </w:pP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93.3 </w:t>
            </w:r>
          </w:p>
        </w:tc>
        <w:tc>
          <w:tcPr>
            <w:tcW w:w="101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836"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698"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actual performance levels for each performance metric includes the impact of Ermetic from October 2, 2023 (date of acquisition) through the end of the year.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The target performance level for each performance metric was adjusted to include the expected impact of Ermetic from October 2, 2023 (date of acquisition) through the end of the year as approved by our Board of Directors.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We have chosen not to disclose the target performance level for our bookings performance measure as such information is proprietary in nature, the disclosure of which could result in competitive harm to the Company. For 2023, the Board of Directors considered the target performance achievement levels for the booking performance measure to be challenging but achievable with significant effort requiring circumstances to align as projected. The bookings performance attainment reflected a 14.4% increase over our actual bookings results from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85"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Accordingly, the number of PSUs that were earned based on performance by the Named Executive Officers are:</w:t>
      </w:r>
    </w:p>
    <w:tbl>
      <w:tblPr>
        <w:tblW w:w="6656"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1189"/>
        <w:gridCol w:w="1189"/>
        <w:gridCol w:w="1686"/>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 of 2023 PSUs Eligible to Service-Vest</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Mr.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45,059 </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Mr.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25,515 </w:t>
            </w:r>
          </w:p>
        </w:tc>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Mr.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18,594 </w:t>
            </w:r>
          </w:p>
        </w:tc>
        <w:tc>
          <w:tcPr>
            <w:tcW w:w="1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equity awards granted to our Named Executive Officers in 2023 are set forth in the Summary Compensation Table and the Grants of Plan-Based Awards Table below.</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Health and Welfare, Retirement and ESPP Benefits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Named Executive Officers are eligible to receive the same health and welfare benefits that are generally available to all full-time, salaried employees, subject to the satisfaction of certain eligibility requirements, including medical, dental, and vision insurance, business travel insurance, an employee assistance program, health and dependent care flexible spending accounts, basic life insurance, accidental death and dismemberment insurance, short-term and long-term disability insurance, commuter benefits, and reimbursement for mobile phone coverage.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Named Executive Officers are also eligible to participate in our 401(k) retirement plan (the “Section 401(k) Plan”) that provides eligible employees with an opportunity to save for retirement on a tax-advantaged basis. For 2023, during each pay period, we made matching contributions to all participating employees for each $1.00 of an employee’s contribution, up to a maximum of 4% of the employee’s eligible earnings, subject to annual limitations.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provide additional long-term equity incentives through the 2018 Employee Stock Purchase Plan (the “ESPP”), which became effective in connection with our initial public offering in July 2018. The ESPP is intended to qualify as an “employee stock purchase plan” within the meaning of Section 423 of the Code. Generally, all of our regular employees (including our Named Executive Officers during their employment with us) may participate in the ESPP and may contribute, normally through payroll deductions, up to 15% of their earnings for the purchase of our common stock. The ESPP is implemented through a series of offerings of purchase rights to eligible employees. Each offering will have one or more purchase dates on which our common stock will be purchased for employees participating in the offering. Unless otherwise determined by our Compensation Committee, shares are purchased for accounts of employees participating in the ESPP at a price per share equal to the lower of (a) 85% of the fair market value of our common stock on the first date of an offering or (b) 85% of the fair market value of our common stock on the date of purchase.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Perquisites and Other Personal Benefits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Currently, we do not view perquisites or other personal benefits as a significant component of our executive compensation program. Accordingly, we do not offer perquisites or other personal benefits to our Named Executive Officers, apart from those generally made available to our employees or in situations where we believe it is appropriate to assist an individual in the performance of his or her duties, to make him or her more efficient and effective, and for recruitment and retention purposes. During 2023, none of our Named Executive Officers received perquisites or other personal benefits that were, in the aggregate, $10,000 or more for each individual.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86"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Compensation-Setting Process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Role of Compensation Committee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discharges the responsibilities of our Board of Directors relating to the compensation of our Named Executive Officers, including by overseeing our compensation and benefits policies generally, and overseeing and evaluating the compensation plans, policies, and practices applicable to our CEO and other Named Executive Officers. In so doing, the Compensation Committee reviews our Named Executive Officers’ base salary levels, cash bonus targets, and long-term incentive compensation of our Named Executive Officers and all related performance criteria at the beginning of each year, or more frequently as warranted. Compensation adjustments to base salary are generally effective on March 1 and changes to target bonus amounts are generally effective at the beginning of the year. The Compensation Committee also makes compensation recommendations for the non-employee members of our Board of Directors to our full Board of Directors for their review and approval.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retains a compensation consultant (as described below) to provide support in its review and assessment of our executive compensation program.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Factors Used in Determining Executive Compensation</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making decisions about the compensation of our Named Executive Officers, the members of the Compensation Committee do not establish a specific target or benchmark against our peers for each executive and instead take a holistic approach, relying primarily on their general experience and consideration of various factors, including the following: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executive compensation program objectives;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performance against the financial, operational, and strategic objectives established by the Compensation Committee and our Board of Directors;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each individual Named Executive Officer’s knowledge, skills, experience, qualifications, and tenure relative to other similarly situated executives at the companies in our compensation peer group;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scope of each Named Executive Officer’s role and responsibilities compared to other similarly situated executives at the companies in our compensation peer group;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prior performance of each individual Named Executive Officer, based on a subjective assessment of his or her contributions to our overall performance, ability to lead his or her business unit or function, and work as part of a team, all of which reflect our core values;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potential of each individual Named Executive Officer to contribute to our long-term financial, operational, and strategic objectives;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value of each Named Executive Officer's target total direct compensation opportunity (the sum of base salary, cash bonus opportunity and equity awards);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financial performance relative to our peers;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compensation practices of our compensation peer group and the positioning of each Named Executive Officer’s compensation in a ranking of peer company compensation levels based on an analysis of competitive market data;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recommendations of our CEO with respect to the compensation of our Named Executive Officers (except with respect to his own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Compensation Committee does not weigh these factors in any predetermined manner or formulaically, nor is any single factor determinative in setting compensation levels or making compensation decisions. In addition, we have not adopted any formal policies or employed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87"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allocating compensation between current and long-term compensation, between cash and non-cash compensation, or among different forms of non-cash compensation. Instead, the members of the Compensation Committee consider the above and other information in light of their individual experience, knowledge of the Company, knowledge of the competitive market, knowledge of each Named Executive Officer, and business judgment in making their decisions.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Role of Management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discharging its responsibilities, the Compensation Committee works with members of our management who provide information on corporate and individual performance, market compensation data, and other compensation related matters.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our Compensation Committee seeks the CEO's input with respect to possible adjustments to annual cash compensation, long-term incentive compensation opportunities and other compensation-related matters for our non-CEO Named Executive Officers based on his evaluation of such Named Executive Officers’ performance for the prior year. Our CEO also attends meetings of our Board of Directors and the Compensation Committee at which executive compensation matters are addressed, but is not present during discussions involving his own compensation.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Role of Compensation Consultant</w:t>
      </w:r>
    </w:p>
    <w:p>
      <w:pPr>
        <w:pStyle w:val="TextBody"/>
        <w:bidi w:val="0"/>
        <w:spacing w:lineRule="auto" w:line="26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has retained an independent compensation consultant, Compensia, to advise on executive compensation matters, including competitive market pay practices for our Named Executive Officers, and to assist with the data analysis and development of the compensation peer group. During 2023, Compensia attended the meetings of the Compensation Committee (both with and without management present) as requested and provided various services to assist the committee in carrying out its duties. Under this engagement, Compensia reported directly to the Compensation Committee chair and also coordinated with our management for data collection, job matching for our executives and feedback on PSU design and compensation decisions. In 2023, Compensia did not provide any other services to us other than those done on behalf of the Compensation Committee.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2023, the Compensation Committee evaluated the independence of Compensia and, based on this review, determined that no conflict of interest was raised as a result of the work performed by Compensia. In reaching this conclusion, the Compensation Committee considered applicable SEC rules and regulations and the corresponding Nasdaq independence factors regarding compensation advisor independence.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Risk Management</w:t>
      </w:r>
    </w:p>
    <w:p>
      <w:pPr>
        <w:pStyle w:val="TextBody"/>
        <w:bidi w:val="0"/>
        <w:spacing w:lineRule="auto" w:line="26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Each year, with the help of our independent compensation consultant, our Compensation Committee reviews whether our compensation policies and practices encourage executives or other employees to take unnecessary or unreasonable risks that could threaten the long-term value of the Company, or that are reasonably likely to have a material adverse effect. The Compensation Committee believes that our practices adequately manage this risk in so far as it: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adopts an appropriate pay philosophy,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uses an appropriate, objectively selected peer group to support decision-making,</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reflects risk-mitigating design and governance practices in key areas,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incentivizes execution on our business strategy,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is appropriately balanced, with potential for reward based on long-term company performance,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88"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240"/>
        <w:ind w:left="0" w:right="0" w:hanging="360"/>
        <w:jc w:val="left"/>
        <w:rPr/>
      </w:pPr>
      <w:r>
        <w:rPr>
          <w:color w:val="000000"/>
        </w:rPr>
        <w:t>•</w:t>
      </w:r>
      <w:r>
        <w:rPr>
          <w:rFonts w:ascii="Arial;sans-serif" w:hAnsi="Arial;sans-serif"/>
          <w:b w:val="false"/>
          <w:color w:val="000000"/>
          <w:sz w:val="20"/>
        </w:rPr>
        <w:t>reviews actual pay delivery from performance-based incentives to confirm the rigor of goal setting and the alignment with performance.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Competitive Positioning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purposes of assessing our executive compensation against the competitive market, the Compensation Committee reviews and considers the compensation levels and practices of a select group of peer companies as well as data drawn from the Radford Global Technology Survey. The Compensation Committee reviews our compensation peer group at least annually with the assistance of Compensia and makes adjustments to its composition if warranted, taking into account changes in both our business and the businesses of the companies in the peer group.</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When reviewing the peer group in August 2022, Compensia and the Compensation Committee used the following criteria to identify companies reasonably similar to us in terms of revenue, market capitalization, and industry focus: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publicly traded companies headquartered in the United States and traded on a major United States stock exchange;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in the information technology industry;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with similar revenues - within a range of approximately 0.33x to approximately 3.0x of our last four quarters' revenue of approximately $577 million (approximately $190 million to $1.7 billion)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with similar market capitalizations - within a range of approximately 0.33x to approximately 3.0x of our then market capitalization of approximately $5.35 billion (approximately $1.8 billion to approximately $16.1 billion);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companies in the Internet/network security software sector;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companies with revenue growth generally greater than 20%.</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approved a compensation peer group for use in 2023 consisting of the following companies:</w:t>
      </w:r>
    </w:p>
    <w:tbl>
      <w:tblPr>
        <w:tblW w:w="7558" w:type="dxa"/>
        <w:jc w:val="center"/>
        <w:tblInd w:w="0" w:type="dxa"/>
        <w:tblLayout w:type="fixed"/>
        <w:tblCellMar>
          <w:top w:w="28" w:type="dxa"/>
          <w:left w:w="28" w:type="dxa"/>
          <w:bottom w:w="28" w:type="dxa"/>
          <w:right w:w="28" w:type="dxa"/>
        </w:tblCellMar>
      </w:tblPr>
      <w:tblGrid>
        <w:gridCol w:w="948"/>
        <w:gridCol w:w="834"/>
        <w:gridCol w:w="842"/>
        <w:gridCol w:w="853"/>
        <w:gridCol w:w="853"/>
        <w:gridCol w:w="858"/>
        <w:gridCol w:w="694"/>
        <w:gridCol w:w="694"/>
        <w:gridCol w:w="982"/>
      </w:tblGrid>
      <w:tr>
        <w:trPr/>
        <w:tc>
          <w:tcPr>
            <w:tcW w:w="94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Alteryx (AYX)</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Dynatrace (DT)</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Q2 Holdings (QTWO)</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Avalara (AVLR)</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Elastic N.V. (ESTC)</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Qualys (QLYS)</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Blackbaud (BLKB)</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Five9 (FIVN)</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Rapid7 (RPD)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Blackline (BL)</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Guidewire Software (GWRE)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Smartsheet (SMAR)</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Box (BOX)</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Relic (NEWR)</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Varonis Systems (VRNS)</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Commvault Systems (CVLT)</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Paylocity Holding (PCTY)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Workiva (WK)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Employment Arrangements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February 2019, we entered into amended and restated written employment agreements with each of our Named Executive Officers at the time which superseded each officer’s prior employment agreement. These amended and restated employment agreement reflect a standardized approach for the payment of severance and change in control payments and benefits to our Named Executive Officers. Under this approach, the post-employment compensation arrangements of our Named Executive Officers were established on a uniform basis and at levels that generally align with current market practice. Mr. Thurmond entered into a substantially similar employment agreement as our other Named Executive Officers upon joining the Company in 2020.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89"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detailed descriptions of the amended and restated employment agreements with our Named Executive Officers, see Potential Payments upon Termination or Change in Control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Post-Employment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their amended and restated employment agreements, our Named Executive Officers are eligible for certain benefits in the event of their termination of employment by virtue of death or disability and in the event of an involuntary termination of employment, including an involuntary termination of employment in connection with a change in control of the Company. We believe that these benefits are representative of market practice and therefore are necessary to motivate and retain our Named Executive Officers.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arrangements provide reasonable compensation to the Named Executive Officer if he or she leaves our employ under certain circumstances to facilitate his or her transition to new employment. Further, in some instances we seek to mitigate any potential employer liability and avoid future disputes or litigation by requiring a departing Named Executive Officer to execute and deliver an effective general release of claims in favor of the Company in a form acceptable to us as a condition to receiving post-employment compensation payments or benefits. We also believe that these arrangements help maintain the continued focus and dedication of our Named Executive Officers to their assigned duties to maximize stockholder value if there is a potential transaction that could involve a change in control of the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the amended and restated employment agreements, all payments and benefits in the event of a change in control of the Company are payable only if there is a subsequent loss of employment by a Named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do not use excise tax payments (or “gross-ups”) relating to a change in control of the Company and have no such obligations in place with respect to any of our Named Executive Officers.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that having in place reasonable and competitive post-employment compensation arrangements, including in the event of a change in control of the Company, are essential to attracting and retaining highly qualified executives. The Compensation Committee does not consider the specific amounts payable under the post-employment compensation arrangements when determining the annual compensation for our Named Executive Officers. We do believe, however, that these arrangements are necessary to offer compensation packages that are competitive.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detailed descriptions of the post-employment compensation arrangements with our Named Executive Officers, as well as an estimate of the potential payments and benefits payable under these arrangements, see Potential Payments upon Termination or Change in Control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Other Compensation Policies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Hedging and Pledging Prohibitions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our Insider Trading Policy, our employees (including officers), members of our Board of Directors, and consultants are prohibited from engaging in short sales, transactions in put or call options, hedging transactions, margin accounts, pledges, or other inherently speculative transactions with respect to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0"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Compensation Recoupment Policy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November 2023, in order to comply with Securities and Exchange Commission rules under Section 10D-1 of the Securities Exchange Act of 1934 and Nasdaq listing standards, the Compensation Committee adopted the Company’s Incentive Compensation Recoupment Policy replacing the Company’s previous Policy for Recoupment of Incentive Compensation, which was adopted in February 2022. Under the Incentive Compensation Recoupment Policy, in the event of an accounting restatement the Compensation Committee, as the committee of the Board responsible for administering the policy, is authorized to recover certain incentive-based compensation paid to an executive officer of the Company on or after October 2, 2023 to the extent such incentive-based compensation was erroneously paid on the basis of financial results in respect of any of our three most recently completed fiscal years preceding the restatement.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Tax and Accounting Considerations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takes the applicable tax and accounting requirements into consideration in designing and overseeing our executive compensation program.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Deductibility of Executive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determining executive compensation, the Compensation Committee also considers, among other factors, the possible tax consequences to the company and to its executives. To maintain maximum flexibility in designing compensation programs, the Compensation Committee, while considering company tax deductibility as one of its factors in determining compensation, will not limit compensation to those levels or types of compensation that are intended to be deductible.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Under Section 162(m) of the Code (“Section 162(m)”), compensation paid to each of the Company’s “covered employees” that exceeds $1 million per taxable year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Accounting for Stock-Based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Compensation Committee takes accounting considerations into account in designing compensation plans and arrangements for our executives and other employees. Chief among these is Financial Accounting Standards Board Accounting Standards Codification Topic 718 (“ASC Topic 718”), the standard which governs the accounting treatment of certain stock-based compensation. Among other things, ASC Topic 718 requires us to record a compensation expense in our income statement for all equity awards granted to our executives and other employees. This compensation expense is based on the grant date “fair value” of the equity award and, in most cases, will be recognized ratably over the award’s requisite service period (which, generally, will correspond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1"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award’s vesting schedule). This compensation expense is also reported in the compensation tables below, even though recipients may never realize any value from their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EXECUTIVE COMPENSATION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SUMMARY COMPENSATION TABLE</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information regarding compensation awarded to, earned by and paid to our Named Executive Officers with respect to the years ended December 31, 2021, 2022 and 2023.</w:t>
      </w:r>
    </w:p>
    <w:tbl>
      <w:tblPr>
        <w:tblW w:w="10205" w:type="dxa"/>
        <w:jc w:val="center"/>
        <w:tblInd w:w="0" w:type="dxa"/>
        <w:tblLayout w:type="fixed"/>
        <w:tblCellMar>
          <w:top w:w="28" w:type="dxa"/>
          <w:left w:w="28" w:type="dxa"/>
          <w:bottom w:w="28" w:type="dxa"/>
          <w:right w:w="28" w:type="dxa"/>
        </w:tblCellMar>
      </w:tblPr>
      <w:tblGrid>
        <w:gridCol w:w="467"/>
        <w:gridCol w:w="366"/>
        <w:gridCol w:w="367"/>
        <w:gridCol w:w="109"/>
        <w:gridCol w:w="109"/>
        <w:gridCol w:w="109"/>
        <w:gridCol w:w="154"/>
        <w:gridCol w:w="154"/>
        <w:gridCol w:w="158"/>
        <w:gridCol w:w="109"/>
        <w:gridCol w:w="109"/>
        <w:gridCol w:w="109"/>
        <w:gridCol w:w="196"/>
        <w:gridCol w:w="736"/>
        <w:gridCol w:w="109"/>
        <w:gridCol w:w="109"/>
        <w:gridCol w:w="109"/>
        <w:gridCol w:w="109"/>
        <w:gridCol w:w="199"/>
        <w:gridCol w:w="888"/>
        <w:gridCol w:w="111"/>
        <w:gridCol w:w="109"/>
        <w:gridCol w:w="109"/>
        <w:gridCol w:w="109"/>
        <w:gridCol w:w="312"/>
        <w:gridCol w:w="1179"/>
        <w:gridCol w:w="176"/>
        <w:gridCol w:w="109"/>
        <w:gridCol w:w="109"/>
        <w:gridCol w:w="109"/>
        <w:gridCol w:w="398"/>
        <w:gridCol w:w="824"/>
        <w:gridCol w:w="222"/>
        <w:gridCol w:w="109"/>
        <w:gridCol w:w="109"/>
        <w:gridCol w:w="109"/>
        <w:gridCol w:w="196"/>
        <w:gridCol w:w="871"/>
        <w:gridCol w:w="160"/>
      </w:tblGrid>
      <w:tr>
        <w:trPr/>
        <w:tc>
          <w:tcPr>
            <w:tcW w:w="46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Stock Awards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Non-Equity Incentive Plan Compensation</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All Other Compensation</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00"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Amit Yoran</w:t>
            </w:r>
            <w:r>
              <w:rPr>
                <w:rFonts w:ascii="Arial;sans-serif" w:hAnsi="Arial;sans-serif"/>
                <w:b w:val="false"/>
                <w:color w:val="000000"/>
                <w:sz w:val="10"/>
              </w:rPr>
              <w:t>(4)</w:t>
            </w:r>
            <w:r>
              <w:rPr>
                <w:rFonts w:ascii="Arial;sans-serif" w:hAnsi="Arial;sans-serif"/>
                <w:b w:val="false"/>
                <w:color w:val="000000"/>
                <w:sz w:val="16"/>
              </w:rPr>
              <w:br/>
              <w:t>Chief Executive Officer and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8,299,918 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472,878 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9,259,796 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8,999,981 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500,636 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9,984,784 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7,499,972 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513,992 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8,480,631 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Stephen A. Vintz</w:t>
              <w:b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4,699,929 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351,744 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5,478,873 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5,099,958 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372,393 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5,896,218 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4,099,975 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382,760 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4,890,168 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Thurmond</w:t>
              <w:b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3,424,954 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4,200,648 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3,699,997 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372,393 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4,492,889 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This column reflects the aggregate grant date fair value of RSUs and PSUs granted during the year measured pursuant to ASC Topic 718. This calculation assumes that the Named Executive Officer will perform the requisite service for the award to vest in full as required by SEC rules. The PSUs must satisfy both a performance-based requirement and a service-based requirement to vest. Accordingly, the grant date fair value of the PSUs is based upon achieving the target performance conditions on the grant date. Assuming maximum performance conditions are achieved, the total value of stock awards granted in 2023 to Messrs. Yoran, Vintz, and Thurmond would be $10,374,876, $5,874,889, and $4,281,192, respectively.</w:t>
      </w:r>
    </w:p>
    <w:p>
      <w:pPr>
        <w:pStyle w:val="TextBody"/>
        <w:bidi w:val="0"/>
        <w:spacing w:lineRule="auto" w:line="288" w:before="0" w:after="240"/>
        <w:ind w:left="0" w:right="0" w:firstLine="720"/>
        <w:jc w:val="left"/>
        <w:rPr/>
      </w:pPr>
      <w:r>
        <w:rPr>
          <w:rFonts w:ascii="Arial;sans-serif" w:hAnsi="Arial;sans-serif"/>
          <w:b w:val="false"/>
          <w:color w:val="000000"/>
          <w:sz w:val="20"/>
        </w:rPr>
        <w:t xml:space="preserve">The amounts reported do not reflect the actual economic value that will be realized by the Named Executive Officer upon vesting of the RSU or PSU or the sale of common stock underlying such RSUs or PSUs. The assumptions we used in valuing RSUs and PSUs are described in Note 10 to our consolidated financial statements included in our Annual Report on Form 10-K for the year ended December 31, </w:t>
      </w:r>
      <w:r>
        <w:rPr>
          <w:rFonts w:ascii="Arial;sans-serif" w:hAnsi="Arial;sans-serif"/>
          <w:b w:val="false"/>
          <w:color w:val="000000"/>
          <w:sz w:val="20"/>
          <w:shd w:fill="FFFFFF" w:val="clear"/>
        </w:rPr>
        <w:t>2023</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val="false"/>
          <w:color w:val="000000"/>
          <w:sz w:val="20"/>
        </w:rPr>
        <w:t xml:space="preserve">(2)    These amounts reflect the cash awards paid under the short-term cash incentive bonus plan for performance during the applicable year. See the Compensation Discussion and Analysis for a more complete description of how the cash bonuses were determined for the year ended December 31, </w:t>
      </w:r>
      <w:r>
        <w:rPr>
          <w:rFonts w:ascii="Arial;sans-serif" w:hAnsi="Arial;sans-serif"/>
          <w:b w:val="false"/>
          <w:color w:val="000000"/>
          <w:sz w:val="20"/>
          <w:shd w:fill="FFFFFF" w:val="clear"/>
        </w:rPr>
        <w:t>2023.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(3)    These amounts include company matching contributions under our 401(k) Plan.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(4)    Mr. Yoran is also a member of our Board of Directors but does not receive any additional compensation in his capacity as a director.</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2"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Grants of Plan-Based Awards</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on cash-based performance awards and restricted stock unit awards in 2023 to our Named Executive Officers. There can be no assurance that the Grant Date Fair Value, as listed in this table, of the Stock Awards will ever be realized. These Grant Date Fair Value amounts also are included in the “Stock Awards” column of the Summary Compensation Table.</w:t>
      </w:r>
    </w:p>
    <w:tbl>
      <w:tblPr>
        <w:tblW w:w="11951" w:type="dxa"/>
        <w:jc w:val="left"/>
        <w:tblInd w:w="0" w:type="dxa"/>
        <w:tblLayout w:type="fixed"/>
        <w:tblCellMar>
          <w:top w:w="28" w:type="dxa"/>
          <w:left w:w="28" w:type="dxa"/>
          <w:bottom w:w="28" w:type="dxa"/>
          <w:right w:w="28" w:type="dxa"/>
        </w:tblCellMar>
      </w:tblPr>
      <w:tblGrid>
        <w:gridCol w:w="478"/>
        <w:gridCol w:w="214"/>
        <w:gridCol w:w="179"/>
        <w:gridCol w:w="109"/>
        <w:gridCol w:w="109"/>
        <w:gridCol w:w="109"/>
        <w:gridCol w:w="155"/>
        <w:gridCol w:w="155"/>
        <w:gridCol w:w="15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323"/>
        <w:gridCol w:w="323"/>
        <w:gridCol w:w="174"/>
        <w:gridCol w:w="109"/>
        <w:gridCol w:w="109"/>
        <w:gridCol w:w="109"/>
        <w:gridCol w:w="451"/>
        <w:gridCol w:w="195"/>
        <w:gridCol w:w="109"/>
        <w:gridCol w:w="109"/>
        <w:gridCol w:w="109"/>
        <w:gridCol w:w="109"/>
        <w:gridCol w:w="323"/>
        <w:gridCol w:w="323"/>
        <w:gridCol w:w="159"/>
        <w:gridCol w:w="109"/>
        <w:gridCol w:w="109"/>
        <w:gridCol w:w="109"/>
        <w:gridCol w:w="526"/>
        <w:gridCol w:w="210"/>
        <w:gridCol w:w="211"/>
        <w:gridCol w:w="109"/>
        <w:gridCol w:w="109"/>
        <w:gridCol w:w="109"/>
        <w:gridCol w:w="196"/>
        <w:gridCol w:w="87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Future Payouts Under Non-Equity 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Estimated Future Payouts Under Equity Incentive Plan Awards</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All Other Stock Awards: Number of Shares of Stock or Units (#)</w:t>
            </w:r>
            <w:r>
              <w:rPr>
                <w:rFonts w:ascii="Arial;sans-serif" w:hAnsi="Arial;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Grant Date Fair Value of Stock Awards ($)</w:t>
            </w:r>
            <w:r>
              <w:rPr>
                <w:rFonts w:ascii="Arial;sans-serif" w:hAnsi="Arial;sans-serif"/>
                <w:b/>
                <w:color w:val="000000"/>
                <w:sz w:val="9"/>
              </w:rPr>
              <w:t>(3)</w:t>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Amit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8,299,918 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Stephen A. Vintz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54,346 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81,521 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4,699,929 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PSUs granted under our 2018 Equity Incentive Plan were subject to the achievement of (i) pre-established target levels for global bookings (weighted 33.33%) and revenue + unlevered free cash flow (weighted 66.67%) during the one-year performance period beginning on January 1, 2023, and (ii) a service-based vesting requirement, with 25% of the shares subject to the RSU award vesting on February 22, 2024, and the remainder continue to vest in equal quarterly installments over three years thereafter, in each case subject to the recipient’s continued service, and subject to accelerated vesting in specified circumstances. The amount shown reflect the share amounts, specifically the threshold, target and the maximum potential awards of PSUs granted. The material terms of the PSUs are further described in "Compensation Discussion and Analysis-Compensation Elements-Long-Term Incentive Compensation".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(2)     RSUs granted under our 2018 Equity Incentive Plan vest 25% on February 22, 2024, and quarterly thereafter for the following three years. Each award is settled in shares of common stock on each vesting date, subject to the recipients continued service with the company through the applicable vesting date and subject to accelerated vesting in specified circumstances.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The grant date fair value is computed in accordance with FASB ASC Topic 718 for PSUs and RSUs granted during the year.</w:t>
      </w:r>
    </w:p>
    <w:p>
      <w:pPr>
        <w:pStyle w:val="TextBody"/>
        <w:bidi w:val="0"/>
        <w:spacing w:lineRule="auto" w:line="288" w:before="0" w:after="240"/>
        <w:jc w:val="left"/>
        <w:rPr/>
      </w:pPr>
      <w:r>
        <w:rPr>
          <w:rFonts w:ascii="Arial;sans-serif" w:hAnsi="Arial;sans-serif"/>
          <w:b w:val="false"/>
          <w:color w:val="000000"/>
          <w:sz w:val="20"/>
        </w:rPr>
        <w:t xml:space="preserve">(4)    These rows represent possible payouts pursuant to the short-term cash incentive bonus plan for </w:t>
      </w:r>
      <w:r>
        <w:rPr>
          <w:rFonts w:ascii="Arial;sans-serif" w:hAnsi="Arial;sans-serif"/>
          <w:b w:val="false"/>
          <w:color w:val="000000"/>
          <w:sz w:val="20"/>
          <w:shd w:fill="FFFFFF" w:val="clear"/>
        </w:rPr>
        <w:t>2023</w:t>
      </w:r>
      <w:r>
        <w:rPr>
          <w:rFonts w:ascii="Arial;sans-serif" w:hAnsi="Arial;sans-serif"/>
          <w:b w:val="false"/>
          <w:color w:val="000000"/>
          <w:sz w:val="20"/>
        </w:rPr>
        <w:t xml:space="preserve">. For </w:t>
      </w:r>
      <w:r>
        <w:rPr>
          <w:rFonts w:ascii="Arial;sans-serif" w:hAnsi="Arial;sans-serif"/>
          <w:b w:val="false"/>
          <w:color w:val="000000"/>
          <w:sz w:val="20"/>
          <w:shd w:fill="FFFFFF" w:val="clear"/>
        </w:rPr>
        <w:t>2023</w:t>
      </w:r>
      <w:r>
        <w:rPr>
          <w:rFonts w:ascii="Arial;sans-serif" w:hAnsi="Arial;sans-serif"/>
          <w:b w:val="false"/>
          <w:color w:val="000000"/>
          <w:sz w:val="20"/>
        </w:rPr>
        <w:t>, the short-term cash incentive bonus plan included a minimum threshold of 75% of each quarterly and annual short-term cash incentive bonus opportunity and are capped at 200% of the target amount. For more information about these payments, see the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3"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Outstanding Equity Awards</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certain information about outstanding equity awards granted to our Named Executive Officers that remain outstanding as of December 31, 2023.</w:t>
      </w:r>
    </w:p>
    <w:tbl>
      <w:tblPr>
        <w:tblW w:w="10205" w:type="dxa"/>
        <w:jc w:val="left"/>
        <w:tblInd w:w="0" w:type="dxa"/>
        <w:tblLayout w:type="fixed"/>
        <w:tblCellMar>
          <w:top w:w="28" w:type="dxa"/>
          <w:left w:w="28" w:type="dxa"/>
          <w:bottom w:w="28" w:type="dxa"/>
          <w:right w:w="28" w:type="dxa"/>
        </w:tblCellMar>
      </w:tblPr>
      <w:tblGrid>
        <w:gridCol w:w="377"/>
        <w:gridCol w:w="190"/>
        <w:gridCol w:w="156"/>
        <w:gridCol w:w="156"/>
        <w:gridCol w:w="141"/>
        <w:gridCol w:w="142"/>
        <w:gridCol w:w="109"/>
        <w:gridCol w:w="109"/>
        <w:gridCol w:w="109"/>
        <w:gridCol w:w="483"/>
        <w:gridCol w:w="289"/>
        <w:gridCol w:w="290"/>
        <w:gridCol w:w="109"/>
        <w:gridCol w:w="109"/>
        <w:gridCol w:w="109"/>
        <w:gridCol w:w="276"/>
        <w:gridCol w:w="276"/>
        <w:gridCol w:w="277"/>
        <w:gridCol w:w="109"/>
        <w:gridCol w:w="109"/>
        <w:gridCol w:w="109"/>
        <w:gridCol w:w="182"/>
        <w:gridCol w:w="423"/>
        <w:gridCol w:w="109"/>
        <w:gridCol w:w="109"/>
        <w:gridCol w:w="109"/>
        <w:gridCol w:w="109"/>
        <w:gridCol w:w="205"/>
        <w:gridCol w:w="205"/>
        <w:gridCol w:w="206"/>
        <w:gridCol w:w="109"/>
        <w:gridCol w:w="109"/>
        <w:gridCol w:w="109"/>
        <w:gridCol w:w="484"/>
        <w:gridCol w:w="170"/>
        <w:gridCol w:w="171"/>
        <w:gridCol w:w="109"/>
        <w:gridCol w:w="109"/>
        <w:gridCol w:w="109"/>
        <w:gridCol w:w="613"/>
        <w:gridCol w:w="161"/>
        <w:gridCol w:w="162"/>
        <w:gridCol w:w="109"/>
        <w:gridCol w:w="109"/>
        <w:gridCol w:w="109"/>
        <w:gridCol w:w="207"/>
        <w:gridCol w:w="207"/>
        <w:gridCol w:w="209"/>
        <w:gridCol w:w="109"/>
        <w:gridCol w:w="109"/>
        <w:gridCol w:w="109"/>
        <w:gridCol w:w="330"/>
        <w:gridCol w:w="196"/>
        <w:gridCol w:w="296"/>
      </w:tblGrid>
      <w:tr>
        <w:trPr/>
        <w:tc>
          <w:tcPr>
            <w:tcW w:w="3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Option Awards</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2"/>
              </w:rPr>
            </w:pPr>
            <w:r>
              <w:rPr>
                <w:rFonts w:ascii="Arial;sans-serif" w:hAnsi="Arial;sans-serif"/>
                <w:b/>
                <w:color w:val="000000"/>
                <w:sz w:val="12"/>
              </w:rPr>
              <w:t>Name</w:t>
            </w:r>
          </w:p>
        </w:tc>
        <w:tc>
          <w:tcPr>
            <w:tcW w:w="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 xml:space="preserve">Number of </w:t>
              <w:br/>
              <w:t xml:space="preserve">Securities </w:t>
              <w:br/>
              <w:t>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 xml:space="preserve">Number of </w:t>
              <w:br/>
              <w:t xml:space="preserve">Securities </w:t>
              <w:br/>
              <w:t xml:space="preserve">Underlying </w:t>
              <w:br/>
              <w:t>Unexercised Options (#)</w:t>
              <w:b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0"/>
              </w:rPr>
              <w:t>Option Exercise Price</w:t>
            </w:r>
            <w:r>
              <w:rPr>
                <w:rFonts w:ascii="Arial;sans-serif" w:hAnsi="Arial;sans-serif"/>
                <w:b/>
                <w:color w:val="000000"/>
                <w:sz w:val="7"/>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Number of Shares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0"/>
              </w:rPr>
              <w:t>Market Value of Shares of Stock That Have Not Vested</w:t>
            </w:r>
            <w:r>
              <w:rPr>
                <w:rFonts w:ascii="Arial;sans-serif" w:hAnsi="Arial;sans-serif"/>
                <w:b/>
                <w:color w:val="000000"/>
                <w:sz w:val="7"/>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0"/>
              </w:rPr>
            </w:pPr>
            <w:r>
              <w:rPr>
                <w:rFonts w:ascii="Arial;sans-serif" w:hAnsi="Arial;sans-serif"/>
                <w:b/>
                <w:color w:val="000000"/>
                <w:sz w:val="10"/>
              </w:rPr>
              <w:t>Equity Incentive Plan Awards: Number of Unearned Shares, Units or Other Rights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0"/>
              </w:rPr>
              <w:t>Equity Incentive Plan Awards: Market Value of Unearned Shares, Units or Other Rights That Have Not Vested</w:t>
            </w:r>
            <w:r>
              <w:rPr>
                <w:rFonts w:ascii="Arial;sans-serif" w:hAnsi="Arial;sans-serif"/>
                <w:b/>
                <w:color w:val="000000"/>
                <w:sz w:val="7"/>
              </w:rPr>
              <w:t>(3)</w:t>
            </w:r>
            <w:r>
              <w:rPr>
                <w:color w:val="000000"/>
              </w:rPr>
              <w:t xml:space="preserve"> </w:t>
            </w:r>
            <w:r>
              <w:rPr>
                <w:rFonts w:ascii="Arial;sans-serif" w:hAnsi="Arial;sans-serif"/>
                <w:b/>
                <w:color w:val="000000"/>
                <w:sz w:val="10"/>
              </w:rPr>
              <w:t>($)</w:t>
            </w:r>
          </w:p>
        </w:tc>
      </w:tr>
      <w:tr>
        <w:trPr/>
        <w:tc>
          <w:tcPr>
            <w:tcW w:w="723"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4"/>
              </w:rPr>
            </w:pPr>
            <w:r>
              <w:rPr>
                <w:rFonts w:ascii="Arial;sans-serif" w:hAnsi="Arial;sans-serif"/>
                <w:b w:val="false"/>
                <w:color w:val="000000"/>
                <w:sz w:val="14"/>
              </w:rPr>
              <w:t>Amit Yoran</w:t>
            </w:r>
          </w:p>
        </w:tc>
        <w:tc>
          <w:tcPr>
            <w:tcW w:w="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1/18/2017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1,905,155 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6/21/2018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565,657 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670,219 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2,461,907 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(6)</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3,888,938 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29,834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(7)</w:t>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1,374,154</w:t>
            </w:r>
          </w:p>
        </w:tc>
      </w:tr>
      <w:tr>
        <w:trPr/>
        <w:tc>
          <w:tcPr>
            <w:tcW w:w="72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143,963 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(8)</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6,630,936 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47,987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(9)</w:t>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2,210,281</w:t>
            </w:r>
          </w:p>
        </w:tc>
      </w:tr>
      <w:tr>
        <w:trPr/>
        <w:tc>
          <w:tcPr>
            <w:tcW w:w="7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Stephen A. Vintz</w:t>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12/16/2014</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305,500 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cMar>
              <w:top w:w="0" w:type="dxa"/>
              <w:left w:w="0" w:type="dxa"/>
              <w:bottom w:w="0" w:type="dxa"/>
              <w:right w:w="0" w:type="dxa"/>
            </w:tcMar>
            <w:vAlign w:val="center"/>
          </w:tcPr>
          <w:p>
            <w:pPr>
              <w:pStyle w:val="Normal"/>
              <w:bidi w:val="0"/>
              <w:jc w:val="left"/>
              <w:rPr/>
            </w:pPr>
            <w:r>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6/30/2016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105,000 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cMar>
              <w:top w:w="0" w:type="dxa"/>
              <w:left w:w="0" w:type="dxa"/>
              <w:bottom w:w="0" w:type="dxa"/>
              <w:right w:w="0" w:type="dxa"/>
            </w:tcMar>
            <w:vAlign w:val="center"/>
          </w:tcPr>
          <w:p>
            <w:pPr>
              <w:pStyle w:val="Normal"/>
              <w:bidi w:val="0"/>
              <w:jc w:val="left"/>
              <w:rPr/>
            </w:pPr>
            <w:r>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6/21/2018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423,434 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cMar>
              <w:top w:w="0" w:type="dxa"/>
              <w:left w:w="0" w:type="dxa"/>
              <w:bottom w:w="0" w:type="dxa"/>
              <w:right w:w="0" w:type="dxa"/>
            </w:tcMar>
            <w:vAlign w:val="center"/>
          </w:tcPr>
          <w:p>
            <w:pPr>
              <w:pStyle w:val="Normal"/>
              <w:bidi w:val="0"/>
              <w:jc w:val="left"/>
              <w:rPr/>
            </w:pPr>
            <w:r>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8,819 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(4)</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406,203 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cMar>
              <w:top w:w="0" w:type="dxa"/>
              <w:left w:w="0" w:type="dxa"/>
              <w:bottom w:w="0" w:type="dxa"/>
              <w:right w:w="0" w:type="dxa"/>
            </w:tcMar>
            <w:vAlign w:val="center"/>
          </w:tcPr>
          <w:p>
            <w:pPr>
              <w:pStyle w:val="Normal"/>
              <w:bidi w:val="0"/>
              <w:jc w:val="left"/>
              <w:rPr/>
            </w:pPr>
            <w:r>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2/17/2021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29,220 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1,345,873 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tcMar>
              <w:top w:w="0" w:type="dxa"/>
              <w:left w:w="0" w:type="dxa"/>
              <w:bottom w:w="0" w:type="dxa"/>
              <w:right w:w="0" w:type="dxa"/>
            </w:tcMar>
            <w:vAlign w:val="center"/>
          </w:tcPr>
          <w:p>
            <w:pPr>
              <w:pStyle w:val="Normal"/>
              <w:bidi w:val="0"/>
              <w:jc w:val="left"/>
              <w:rPr/>
            </w:pPr>
            <w:r>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47,844 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(6)</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2,203,695 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16,906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(7)</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778,690</w:t>
            </w:r>
          </w:p>
        </w:tc>
      </w:tr>
      <w:tr>
        <w:trPr/>
        <w:tc>
          <w:tcPr>
            <w:tcW w:w="723" w:type="dxa"/>
            <w:gridSpan w:val="3"/>
            <w:vMerge w:val="continue"/>
            <w:tcBorders/>
            <w:tcMar>
              <w:top w:w="0" w:type="dxa"/>
              <w:left w:w="0" w:type="dxa"/>
              <w:bottom w:w="0" w:type="dxa"/>
              <w:right w:w="0" w:type="dxa"/>
            </w:tcMar>
            <w:vAlign w:val="center"/>
          </w:tcPr>
          <w:p>
            <w:pPr>
              <w:pStyle w:val="Normal"/>
              <w:bidi w:val="0"/>
              <w:jc w:val="left"/>
              <w:rPr/>
            </w:pPr>
            <w:r>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81,521 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(8)</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3,754,857 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27,173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(9)</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1,251,588</w:t>
            </w:r>
          </w:p>
        </w:tc>
      </w:tr>
      <w:tr>
        <w:trPr/>
        <w:tc>
          <w:tcPr>
            <w:tcW w:w="7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 Thurmond</w:t>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2/7/2020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(11)</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603,524 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(5)</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1,050,398 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(6)</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1,598,881 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12,267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(7)</w:t>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565,018</w:t>
            </w:r>
          </w:p>
        </w:tc>
      </w:tr>
      <w:tr>
        <w:trPr/>
        <w:tc>
          <w:tcPr>
            <w:tcW w:w="7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(8)</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2,736,240 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19,802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(9)</w:t>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912,080</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pPr>
      <w:r>
        <w:rPr>
          <w:rFonts w:ascii="Arial;sans-serif" w:hAnsi="Arial;sans-serif"/>
          <w:b w:val="false"/>
          <w:color w:val="000000"/>
          <w:sz w:val="20"/>
          <w:shd w:fill="FFFFFF" w:val="clear"/>
        </w:rPr>
        <w:t>(1)    </w:t>
      </w:r>
      <w:r>
        <w:rPr>
          <w:rFonts w:ascii="Arial;sans-serif" w:hAnsi="Arial;sans-serif"/>
          <w:b w:val="false"/>
          <w:color w:val="000000"/>
          <w:sz w:val="20"/>
        </w:rPr>
        <w:t>Except as noted, all of the options listed in the table were granted under our 2016 Stock Incentive Plan.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All of the options listed in the table were granted with a per share exercise price equal to or above the fair market value of one share of our common stock on the date of grant, as determined in good faith by our Board of Directors.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(3)    Represents the market value of the RSU or PSU based on the closing price of our common stock of $46.06 per share on December 29, 2023.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(4)    Granted under our 2018 Equity Incentive Plan. 25% of the shares subject to the RSU award vested on February 19, 2021, and the remainder continue to vest in equal quarterly installments over three years thereafter, in each case subject to the recipient’s continued service,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(5)    Granted under our 2018 Equity Incentive Plan. 25% of the shares subject to the RSU award vested on February 17, 2022, and the remainder continue to vest in equal quarterly installments over three years thereafter, in each case subject to the recipient’s continued service, and subject to accelerated vesting in specified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4"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(6)    Granted under our 2018 Equity Incentive Plan. 25% of the shares subject to the RSU award vested on February 23, 2023, and the remainder continue to vest in equal quarterly installments over three years thereafter, in each case subject to the recipient’s continued service,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(7)     Granted under our 2018 Equity Incentive Plan. The PSU awards are subject to the achievement of (i) pre-established target levels for global bookings (weighted 33.33%) and revenue + unlevered free cash flow (weighted 66.67%) during the one-year performance period beginning on January 1, 2022, and (ii) a service-based vesting requirement, with 25% of the shares subject to the PSU award vesting on February 23, 2023, and the remainder continuing to vest in equal quarterly installments over three years thereafter, in each case subject to the recipient’s continued service, and subject to accelerated vesting in specified circumstances. The performance period for the PSU awards ended as of December 31, 2022.</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(8)    Granted under our 2018 Equity Incentive Plan. 25% of the shares subject to the RSU award vested on February 22, 2024, and the remainder continue to vest in equal quarterly installments over three years thereafter, in each case subject to the recipient’s continued service, and subject to accelerated vesting in specified circumstances.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(9)    Granted under our 2018 Equity Incentive Plan. The PSU awards are subject to the achievement of (i) pre-established target levels for global bookings (weighted 33.33%) and revenue + unlevered free cash flow (weighted 66.67%) during the one-year performance period beginning on January 1, 2023, and (ii) a service-based vesting requirement, with 25% of the shares subject to the PSU award vesting on February 22, 2024, and the remainder continuing to vest in equal quarterly installments over three years thereafter, in each case subject to the recipient’s continued service, and subject to accelerated vesting in specified circumstances. The performance period for the PSU awards ended as of December 31, 2023.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(10)    Granted under our 2012 Stock Incentive Plan.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(11)    Granted under our 2018 Equity Incentive Plan. 25% of the shares subject to the RSU award vested on February 3, 2021, and the remainder continue to vest in equal quarterly installments over three years thereafter, in each case subject to the recipient’s continued service, and subject to accelerated vesting in specified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Options Exercised and Stock Vested</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shows information regarding the exercise of options and the vesting of stock previously granted to our Named Executive Officers during 2023.</w:t>
      </w:r>
    </w:p>
    <w:tbl>
      <w:tblPr>
        <w:tblW w:w="10205" w:type="dxa"/>
        <w:jc w:val="left"/>
        <w:tblInd w:w="0" w:type="dxa"/>
        <w:tblLayout w:type="fixed"/>
        <w:tblCellMar>
          <w:top w:w="28" w:type="dxa"/>
          <w:left w:w="28" w:type="dxa"/>
          <w:bottom w:w="28" w:type="dxa"/>
          <w:right w:w="28" w:type="dxa"/>
        </w:tblCellMar>
      </w:tblPr>
      <w:tblGrid>
        <w:gridCol w:w="522"/>
        <w:gridCol w:w="322"/>
        <w:gridCol w:w="297"/>
        <w:gridCol w:w="109"/>
        <w:gridCol w:w="109"/>
        <w:gridCol w:w="109"/>
        <w:gridCol w:w="727"/>
        <w:gridCol w:w="642"/>
        <w:gridCol w:w="645"/>
        <w:gridCol w:w="109"/>
        <w:gridCol w:w="109"/>
        <w:gridCol w:w="109"/>
        <w:gridCol w:w="300"/>
        <w:gridCol w:w="1392"/>
        <w:gridCol w:w="155"/>
        <w:gridCol w:w="109"/>
        <w:gridCol w:w="109"/>
        <w:gridCol w:w="109"/>
        <w:gridCol w:w="780"/>
        <w:gridCol w:w="628"/>
        <w:gridCol w:w="631"/>
        <w:gridCol w:w="109"/>
        <w:gridCol w:w="109"/>
        <w:gridCol w:w="109"/>
        <w:gridCol w:w="291"/>
        <w:gridCol w:w="1347"/>
        <w:gridCol w:w="218"/>
      </w:tblGrid>
      <w:tr>
        <w:trPr/>
        <w:tc>
          <w:tcPr>
            <w:tcW w:w="5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Stock Awards</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 Acquired on Exercise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Value Realized on Exercise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Shares Acquired on Vesting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Value Realized on Vesting ($)</w:t>
            </w:r>
            <w:r>
              <w:rPr>
                <w:rFonts w:ascii="Arial;sans-serif" w:hAnsi="Arial;sans-serif"/>
                <w:b/>
                <w:color w:val="000000"/>
                <w:sz w:val="12"/>
              </w:rPr>
              <w:t>(2)</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Amit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82,900 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3,572,825 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203,074 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8,538,548 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A.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117,555 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4,943,687 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107,185 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4,433,229 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pPr>
      <w:r>
        <w:rPr>
          <w:rFonts w:ascii="Arial;sans-serif" w:hAnsi="Arial;sans-serif"/>
          <w:b w:val="false"/>
          <w:color w:val="000000"/>
          <w:sz w:val="20"/>
          <w:shd w:fill="FFFFFF" w:val="clear"/>
        </w:rPr>
        <w:t>(1)    </w:t>
      </w:r>
      <w:r>
        <w:rPr>
          <w:rFonts w:ascii="Arial;sans-serif" w:hAnsi="Arial;sans-serif"/>
          <w:b w:val="false"/>
          <w:color w:val="000000"/>
          <w:sz w:val="20"/>
        </w:rPr>
        <w:t>The dollar amounts shown are determined by multiplying the number of options that were exercised by the intrinsic value of the options exercised based on the per share closing price of our common stock on the exercise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95"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The dollar amounts shown are determined by multiplying the number of shares that vested by the per share closing price of our common stock on the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Employment Agreements with Our Named Executive Officers</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Mr. Yoran</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entered into an offer letter with Mr. Yoran in October 2016, an addendum thereto in February 2017 and an amended and restated employment agreement in February 2019. Pursuant to the terms of his amended and restated employment agreement, Mr. Yoran’s employment is at will and may be terminated at any time by us or Mr. Yoran. The employment agreement provided for an initial annual base salary and bonus target, each subject to increase by the Board or Compensation Committee. In connection with entering into his amended and restated employment agreement, Mr. Yoran also entered into an intellectual property, non-disclosure and non-solicitation agreement with us.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Under his employment agreement currently in effect, if Mr. Yoran is terminated without cause or resigns for good reason (each as defined in his amended and restated employment agreement), or if Mr. Yoran dies or his employment is terminated due to disability (as defined in his amended and restated employment agreement), provided he (or his estate, as applicable) signs and does not revoke a separation agreement that includes a release of claims, Mr. Yoran (or his estate) is eligible to receive 18 months of continued base salary, payment by the company of the employer-portion of premiums for continued group health coverage for up to 12 months following termination, and a lump sum cash payment equal to Mr. Yoran’s target annual bonus for the year in which the termination occurs, prorated based on the last day of employment and reduced by the amount of any quarterly bonuses previously paid or due for the year in which the termination occurs. If Mr. Yoran is terminated without cause or resigns for good reason within the three months prior to or 12 months following a change in control (as defined in his amended and restated employment agreement), provided he signs and does not revoke a separation agreement that includes a release of claims, Mr. Yoran is eligible to receive the same base salary severance and group health plan contributions set forth above (provided that the base salary severance will be paid in a lump sum), a bonus severance payment equal to the sum of (i) 1.5 times Mr. Yoran’s target annual bonus for the year in which the termination occurs, prorated based on the last day of employment and reduced by the amount of any quarterly bonuses previously paid or due for the year in which the termination occurs, plus (ii) 1.5 times Mr. Yoran’s target annual bonus for the year in which the termination occurs, and accelerated vesting in full of any outstanding unvested equity incentive awards held by Mr. Yoran. Such severance is further conditioned upon Mr. Yoran’s compliance with certain non-disclosure and non-solicitation obligations and resignation from all positions with us.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pursuant to the terms of Mr. Yoran's outstanding restricted stock unit awards granted under the Company's 2018 Equity Incentive Plan, if Mr. Yoran's employment is terminated due to death or disability, or if he remains employed through the date of a change in control and his restricted stock units are not continued, assumed or substituted for by the acquiror in connection with the change in control, the unvested restricted stock units will become fully vested.</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Mr. Vintz and Mr. Thurmond</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We entered into an offer letter with Mr. Vintz in October 2014 and an amended and restated employment agreement in February 2019. Pursuant to the terms of his amended and restated employment agreement, Mr. Vintz’s employment is at will and may be terminated at any time by us or Mr. Vintz. </w:t>
      </w:r>
      <w:r>
        <w:rPr>
          <w:rFonts w:ascii="Arial;sans-serif" w:hAnsi="Arial;sans-serif"/>
          <w:b w:val="false"/>
          <w:color w:val="000000"/>
          <w:sz w:val="20"/>
          <w:shd w:fill="FFFFFF" w:val="clear"/>
        </w:rPr>
        <w:t>The employment agreement provided for an initial annual base salary and bonus target, each subject to increase by the Board or Compensation Committee</w:t>
      </w:r>
      <w:r>
        <w:rPr>
          <w:rFonts w:ascii="Arial;sans-serif" w:hAnsi="Arial;sans-serif"/>
          <w:b w:val="false"/>
          <w:color w:val="000000"/>
          <w:sz w:val="20"/>
        </w:rPr>
        <w:t xml:space="preserve">. In connection with entering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96"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his amended and restated employment agreement, Mr. Vintz also entered into an intellectual property, non-disclosure and non-solicitation agreement with us.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entered into an employment agreement with Mr. Thurmond in January 2020. Pursuant to the terms of his employment agreement, Mr. Thurmond's employment is at will and may be terminated at any time by us or Mr. Thurmond. The employment agreement provided for an initial base salary and bonus target, each subject to increase by the Board or Compensation Committee. The employment agreement also provided for a one-time signing bonus and an annual equity award target which is subject to the discretion of the Board or the Compensation Committee. In connection with entering into his employment agreement, Mr. Thurmond also entered into an intellectual property, non-disclosure and non-solicitation agreement with us.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Under the employment agreements currently in effect with Mr. Vintz and Mr. Thurmond, if the Named Executive Officer is terminated without cause or resigns for good reason (each as defined in the amended and restated employment agreement), provided the Named Executive Officer signs and does not revoke a separation agreement that includes a release of claims, the Named Executive Officer is eligible to receive 12 months of continued base salary, payment by the company of the employer-portion of premiums for continued group health coverage for up to 12 months following termination, and a lump sum cash payment equal to the Named Executive Officer’s target annual bonus for the year in which the termination occurs, prorated based on the last day of employment and reduced by the amount of any quarterly bonuses previously paid or due for the year in which the termination occurs. If such termination or resignation occurs within the three months prior to or 12 months following a change in control (as defined in his amended and restated employment agreement), provided the Named Executive Officer signs and does not revoke a separation agreement that includes a release of claims, the Named Executive Officer is eligible to receive the same base salary severance and group health plan contributions set forth above (provided that the base salary severance will be paid in a lump sum), a bonus severance payment equal to the sum of (i) one times the Named Executive Officer’s target annual bonus for the year in which the termination occurs, prorated based on the last day of employment and reduced by the amount of any quarterly bonuses previously paid or due for the year in which the termination occurs, plus (ii) one times the Named Executive Officer’s target annual bonus for the year in which the termination occurs, and accelerated vesting in full of any outstanding unvested equity incentive awards held by the Named Executive Officer. In addition, if the Named Executive Officer dies or his employment is terminated due to disability (as defined in his employment agreement), provided the Named Executive Officer’s estate or the Named Executive Officer, as applicable, signs and does not revoke a separation agreement that includes a release of claims, the Named Executive Officer’s dependents and the Named Executive Officer, as applicable, are eligible to receive payment by the company of the employer-portion of premiums for continued group health coverage for up to 12 months following termination. </w:t>
      </w:r>
      <w:r>
        <w:rPr>
          <w:rFonts w:ascii="Arial;sans-serif" w:hAnsi="Arial;sans-serif"/>
          <w:b w:val="false"/>
          <w:color w:val="000000"/>
          <w:sz w:val="20"/>
          <w:shd w:fill="FFFFFF" w:val="clear"/>
        </w:rPr>
        <w:t xml:space="preserve">Such severance is further conditioned upon </w:t>
      </w:r>
      <w:r>
        <w:rPr>
          <w:rFonts w:ascii="Arial;sans-serif" w:hAnsi="Arial;sans-serif"/>
          <w:b w:val="false"/>
          <w:color w:val="000000"/>
          <w:sz w:val="20"/>
        </w:rPr>
        <w:t>the Named Executive Officer</w:t>
      </w:r>
      <w:r>
        <w:rPr>
          <w:color w:val="000000"/>
          <w:shd w:fill="FFFFFF" w:val="clear"/>
        </w:rPr>
        <w:t>’</w:t>
      </w:r>
      <w:r>
        <w:rPr>
          <w:rFonts w:ascii="Arial;sans-serif" w:hAnsi="Arial;sans-serif"/>
          <w:b w:val="false"/>
          <w:color w:val="000000"/>
          <w:sz w:val="20"/>
          <w:shd w:fill="FFFFFF" w:val="clear"/>
        </w:rPr>
        <w:t>s compliance with certain non-disclosure and non-solicitation obligations and resignation from all positions with us.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pursuant to the terms of the outstanding restricted stock unit awards granted under the Company's 2018 Equity Incentive Plan held by Mr. Vintz and Mr. Thurmond, if his employment is terminated due to death or disability, or if he remains employed through the date of a change in control and his restricted stock units are not continued, assumed or substituted for by the acquiror in connection with the change in control, the unvested restricted stock units will become fully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 below sets forth the values that the continuing Named Executive Officers would derive in the event of (i) death or disability, (ii) termination without cause or resignation for good reason not in connection with a change of control (“Non-CIC Termination”), and (iii) termination without cause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97"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resignation for good reason in connection with a change of control (“CIC Termination”), assuming that in each case the event occurred on the last business day of 2023.</w:t>
      </w:r>
    </w:p>
    <w:tbl>
      <w:tblPr>
        <w:tblW w:w="10205" w:type="dxa"/>
        <w:jc w:val="center"/>
        <w:tblInd w:w="0" w:type="dxa"/>
        <w:tblLayout w:type="fixed"/>
        <w:tblCellMar>
          <w:top w:w="28" w:type="dxa"/>
          <w:left w:w="28" w:type="dxa"/>
          <w:bottom w:w="28" w:type="dxa"/>
          <w:right w:w="28" w:type="dxa"/>
        </w:tblCellMar>
      </w:tblPr>
      <w:tblGrid>
        <w:gridCol w:w="479"/>
        <w:gridCol w:w="251"/>
        <w:gridCol w:w="231"/>
        <w:gridCol w:w="109"/>
        <w:gridCol w:w="109"/>
        <w:gridCol w:w="109"/>
        <w:gridCol w:w="212"/>
        <w:gridCol w:w="799"/>
        <w:gridCol w:w="118"/>
        <w:gridCol w:w="109"/>
        <w:gridCol w:w="109"/>
        <w:gridCol w:w="109"/>
        <w:gridCol w:w="206"/>
        <w:gridCol w:w="1010"/>
        <w:gridCol w:w="114"/>
        <w:gridCol w:w="109"/>
        <w:gridCol w:w="109"/>
        <w:gridCol w:w="109"/>
        <w:gridCol w:w="212"/>
        <w:gridCol w:w="799"/>
        <w:gridCol w:w="118"/>
        <w:gridCol w:w="109"/>
        <w:gridCol w:w="109"/>
        <w:gridCol w:w="109"/>
        <w:gridCol w:w="295"/>
        <w:gridCol w:w="614"/>
        <w:gridCol w:w="165"/>
        <w:gridCol w:w="109"/>
        <w:gridCol w:w="109"/>
        <w:gridCol w:w="109"/>
        <w:gridCol w:w="206"/>
        <w:gridCol w:w="917"/>
        <w:gridCol w:w="114"/>
        <w:gridCol w:w="109"/>
        <w:gridCol w:w="109"/>
        <w:gridCol w:w="109"/>
        <w:gridCol w:w="205"/>
        <w:gridCol w:w="1008"/>
        <w:gridCol w:w="170"/>
      </w:tblGrid>
      <w:tr>
        <w:trPr/>
        <w:tc>
          <w:tcPr>
            <w:tcW w:w="4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Death/Disability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Non-CIC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CIC Termination</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Cash Severance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Severance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Cash Severance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Severance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Cash Severance</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Severance</w:t>
            </w:r>
            <w:r>
              <w:rPr>
                <w:rFonts w:ascii="Arial;sans-serif" w:hAnsi="Arial;sans-serif"/>
                <w:b/>
                <w:color w:val="000000"/>
                <w:sz w:val="10"/>
              </w:rPr>
              <w:t>(5)</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Amit Yoran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958,601 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17,236,435 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958,601 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1,932,601 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17,236,435 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Stephen A. Vintz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9,740,907 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579,799 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942,049 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9,740,907 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Thurmond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7,466,142 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640,764 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1,003,014 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7,466,142 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pPr>
      <w:r>
        <w:rPr>
          <w:rFonts w:ascii="Arial;sans-serif" w:hAnsi="Arial;sans-serif"/>
          <w:b w:val="false"/>
          <w:color w:val="000000"/>
          <w:sz w:val="20"/>
          <w:shd w:fill="FFFFFF" w:val="clear"/>
        </w:rPr>
        <w:t xml:space="preserve">(1)    For Mr. Vintz and Mr. Thurmond, represents the value of the payment by the company of the employer-paid portion of premiums for continued group health coverage for 12 months following termination. For Mr. Thurmond, it also includes the value of any accrued but unused vacation, as required by state law. For Mr. Yoran, represents the value of 18 months of continued base salary, payment by </w:t>
      </w:r>
      <w:r>
        <w:rPr>
          <w:rFonts w:ascii="Arial;sans-serif" w:hAnsi="Arial;sans-serif"/>
          <w:b w:val="false"/>
          <w:color w:val="000000"/>
          <w:sz w:val="20"/>
        </w:rPr>
        <w:t>the company of the employer-paid portion of premiums for continued group health coverage for 12 months following termination, and a lump sum cash payment equal to Mr. Yoran’s target annual bonus reduced by the amount of the quarterly bonuses paid during 2023.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Represents the value of accelerated vesting of restricted stock units and the value of accelerated vesting of the target amount of performance restricted stock units, as applicable, in each case based on the closing price of our common stock of $46.06 per share on December 29, 2023. The PSUs granted in 2023 would have been forfeited in connection with a termination due to a Non-CIC Termination prior to satisfaction of the applicable performance-based vesting condition.</w:t>
      </w:r>
    </w:p>
    <w:p>
      <w:pPr>
        <w:pStyle w:val="TextBody"/>
        <w:bidi w:val="0"/>
        <w:spacing w:lineRule="auto" w:line="288" w:before="0" w:after="240"/>
        <w:jc w:val="left"/>
        <w:rPr/>
      </w:pPr>
      <w:r>
        <w:rPr>
          <w:rFonts w:ascii="Arial;sans-serif" w:hAnsi="Arial;sans-serif"/>
          <w:b w:val="false"/>
          <w:color w:val="000000"/>
          <w:sz w:val="20"/>
        </w:rPr>
        <w:t xml:space="preserve">(3)    Represents the value of 12 months of continued base salary (18 months for Mr. Yoran), payment by the company of the employer-paid portion of premiums for continued group health coverage for 12 months following termination, and a lump sum cash payment equal to the Named Executive Officer’s target annual bonus reduced by the amount of the quarterly bonuses paid during 2023. </w:t>
      </w:r>
      <w:r>
        <w:rPr>
          <w:rFonts w:ascii="Arial;sans-serif" w:hAnsi="Arial;sans-serif"/>
          <w:b w:val="false"/>
          <w:color w:val="000000"/>
          <w:sz w:val="20"/>
          <w:shd w:fill="FFFFFF" w:val="clear"/>
        </w:rPr>
        <w:t>For Mr. Thurmond, it also includes the value of any accrued but unused vacation, as required by state law.</w:t>
      </w:r>
    </w:p>
    <w:p>
      <w:pPr>
        <w:pStyle w:val="TextBody"/>
        <w:bidi w:val="0"/>
        <w:spacing w:lineRule="auto" w:line="288" w:before="0" w:after="240"/>
        <w:jc w:val="left"/>
        <w:rPr/>
      </w:pPr>
      <w:r>
        <w:rPr>
          <w:rFonts w:ascii="Arial;sans-serif" w:hAnsi="Arial;sans-serif"/>
          <w:b w:val="false"/>
          <w:color w:val="000000"/>
          <w:sz w:val="20"/>
          <w:shd w:fill="FFFFFF" w:val="clear"/>
        </w:rPr>
        <w:t>(4)</w:t>
      </w:r>
      <w:r>
        <w:rPr>
          <w:color w:val="000000"/>
        </w:rPr>
        <w:t>    </w:t>
      </w:r>
      <w:r>
        <w:rPr>
          <w:rFonts w:ascii="Arial;sans-serif" w:hAnsi="Arial;sans-serif"/>
          <w:b w:val="false"/>
          <w:color w:val="000000"/>
          <w:sz w:val="20"/>
          <w:shd w:fill="FFFFFF" w:val="clear"/>
        </w:rPr>
        <w:t>Represents the value of a lump sum cash payment equal to 12 months of base salary (18 months for Mr. Yoran), payment by the company of the employer-paid portion of premiums for continued group health coverage for 12 months following termination, a lump sum cash payment equal to one times the Named Executive Officer’s target annual bonus (1.5 times for Mr. Yoran) reduced by the amount of the quarterly bonuses paid during 2023, and a lump sum cash payment equal to one times the Named Executive Officer’s target annual bonus (1.5 times for Mr. Yoran). For Mr. Thurmond, it also includes the value of any accrued but unused vacation, as required by state law.</w:t>
      </w:r>
    </w:p>
    <w:p>
      <w:pPr>
        <w:pStyle w:val="TextBody"/>
        <w:bidi w:val="0"/>
        <w:spacing w:lineRule="auto" w:line="288" w:before="0" w:after="240"/>
        <w:jc w:val="left"/>
        <w:rPr/>
      </w:pPr>
      <w:r>
        <w:rPr>
          <w:rFonts w:ascii="Arial;sans-serif" w:hAnsi="Arial;sans-serif"/>
          <w:b w:val="false"/>
          <w:color w:val="000000"/>
          <w:sz w:val="20"/>
          <w:shd w:fill="FFFFFF" w:val="clear"/>
        </w:rPr>
        <w:t>(5)    </w:t>
      </w:r>
      <w:r>
        <w:rPr>
          <w:rFonts w:ascii="Arial;sans-serif" w:hAnsi="Arial;sans-serif"/>
          <w:b w:val="false"/>
          <w:color w:val="000000"/>
          <w:sz w:val="20"/>
        </w:rPr>
        <w:t>Represents the value of accelerated vesting of restricted stock units and the value of accelerated vesting of PSUs granted in 2023, as applicable. In connection with a CIC Termination (or upon the occurrence of a change of control where the PSUs are not continued, assumed or substituted by the acquirer), the performance-based vesting condition would be deemed satisfied at 100% of target, and the service-based condition would be deemed satisfied as of the later to occur of the closing date of the change in control or the CIC Termination. All values reported in this column are based on the closing price of our common stock of $46.06 per share on December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CEO Pay Ratio</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 xml:space="preserve">Under the </w:t>
      </w:r>
      <w:r>
        <w:rPr>
          <w:rFonts w:ascii="Arial;sans-serif" w:hAnsi="Arial;sans-serif"/>
          <w:b w:val="false"/>
          <w:color w:val="000000"/>
          <w:sz w:val="20"/>
        </w:rPr>
        <w:t xml:space="preserve">Dodd-Frank Wall Street Reform and Consumer Protection Act and </w:t>
      </w:r>
      <w:r>
        <w:rPr>
          <w:rFonts w:ascii="Arial;sans-serif" w:hAnsi="Arial;sans-serif"/>
          <w:b w:val="false"/>
          <w:color w:val="000000"/>
          <w:sz w:val="20"/>
          <w:shd w:fill="FFFFFF" w:val="clear"/>
        </w:rPr>
        <w:t xml:space="preserve">SEC rules, we are required to provide a reasonable estimate of the ratio of the annual total compensation of Mr. Yoran,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98"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Chief Executive Officer, to the median of the annual total compensation of our other employees. For our last completed year, which ended December 31, 2023:</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The median of the annual total compensation of all of our employees (other than Mr. Yoran), including employees of our consolidated subsidiaries, was</w:t>
      </w:r>
      <w:r>
        <w:rPr>
          <w:color w:val="000000"/>
        </w:rPr>
        <w:t xml:space="preserve"> </w:t>
      </w:r>
      <w:r>
        <w:rPr>
          <w:rFonts w:ascii="Arial;sans-serif" w:hAnsi="Arial;sans-serif"/>
          <w:b w:val="false"/>
          <w:color w:val="000000"/>
          <w:sz w:val="20"/>
        </w:rPr>
        <w:t>$200,816. T</w:t>
      </w:r>
      <w:r>
        <w:rPr>
          <w:rFonts w:ascii="Arial;sans-serif" w:hAnsi="Arial;sans-serif"/>
          <w:b w:val="false"/>
          <w:color w:val="000000"/>
          <w:sz w:val="20"/>
          <w:shd w:fill="FFFFFF" w:val="clear"/>
        </w:rPr>
        <w:t>his annual total compensation is calculated in accordance with Item 402(c)(2)(x) of Regulation S-K, and reflects, among other things, salary and bonus earned and aggregate “grant date fair value” of RSU awards granted during 2023.</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Mr. Yoran's annual total compensation for 2023, as reported in the Summary Compensation Table, was $9,259,796.</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Based on the above, for 2023, the ratio of Mr. Yoran's annual total compensation to the median of the annual total compensation of all employees was 46.1</w:t>
      </w:r>
      <w:r>
        <w:rPr>
          <w:color w:val="000000"/>
        </w:rPr>
        <w:t xml:space="preserve"> </w:t>
      </w:r>
      <w:r>
        <w:rPr>
          <w:rFonts w:ascii="Arial;sans-serif" w:hAnsi="Arial;sans-serif"/>
          <w:b w:val="false"/>
          <w:color w:val="000000"/>
          <w:sz w:val="20"/>
        </w:rPr>
        <w:t>to 1</w:t>
      </w:r>
      <w:r>
        <w:rPr>
          <w:rFonts w:ascii="Arial;sans-serif" w:hAnsi="Arial;sans-serif"/>
          <w:b w:val="false"/>
          <w:color w:val="000000"/>
          <w:sz w:val="20"/>
          <w:shd w:fill="FFFFFF" w:val="clear"/>
        </w:rPr>
        <w:t>.</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This pay ratio is a reasonable estimate calculated in a manner consistent with Item 402(u) of Regulation S-K under the Securities Act of 1933, as amended, and applicable guidance and is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even companies within the same industry as us, may not be comparable to our pay ratio as disclosed above.</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methodology, including any material assumptions, adjustments and estimates, we used to calculate identify the median employee and calculate the 2023 pay ratio is described below.</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For purposes of the pay ratio calculation, we included substantially all of our full-time, part-time and temporary employees globally as of December 31, 2023. As permitted by the SEC rules, we excluded 5% of our global employee population from the calculation by excluding all employees in a given jurisdiction located outside of the United States, starting with the jurisdiction that had the lowest number of employees as of December 31, 2023, and continuing to exclude all employees in jurisdictions with an increasingly greater number of employees as of such date until 5% of our total global employee population was excluded. We excluded these employees given the small number of employees in those jurisdictions and the estimated cost of obtaining their compensation information. As of December 31, 2023, our workforce consisted of 1,903 employees (including individuals employed by our consolidated subsidiaries), 1,101 of whom were U.S. employees, and 802 (or approximately 42</w:t>
      </w:r>
      <w:r>
        <w:rPr>
          <w:rFonts w:ascii="Arial;sans-serif" w:hAnsi="Arial;sans-serif"/>
          <w:b w:val="false"/>
          <w:color w:val="000000"/>
          <w:sz w:val="20"/>
        </w:rPr>
        <w:t>.14% o</w:t>
      </w:r>
      <w:r>
        <w:rPr>
          <w:rFonts w:ascii="Arial;sans-serif" w:hAnsi="Arial;sans-serif"/>
          <w:b w:val="false"/>
          <w:color w:val="000000"/>
          <w:sz w:val="20"/>
          <w:shd w:fill="FFFFFF" w:val="clear"/>
        </w:rPr>
        <w:t>f our total employee population as of December 31, 2023) were employees located outside of the United States, after excluding 96 employees located outside the United States via the methodology described above.</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 xml:space="preserve">To identify the median employee from the employee population described above, we determined the sum of each employee's (i) annual base salary as of December 31, 2023 (calculated as annual base pay using a reasonable estimate of hours worked during 2023 for hourly employees and using annual base salary for our remaining employees), plus (ii) earned annual cash incentive bonus or commission, as applicable, for 2023. Permanent employees who joined in 2023 were assumed to have worked for the entire year, and thus we annualized the pay of such new hires. This compensation measure was consistently applied to all employees included in the calculation and reasonably reflects the annual compensation of all of our employees. Compensation paid in foreign currency was converted to U.S. dollars using a spot exchange rate on December 31, 2023 In determining the median compensated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99"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employee, we did not make any cost of living adjustments to the compensation paid to any employee outside of the U.S.</w:t>
      </w:r>
    </w:p>
    <w:p>
      <w:pPr>
        <w:pStyle w:val="TextBody"/>
        <w:bidi w:val="0"/>
        <w:spacing w:lineRule="auto" w:line="288" w:before="0" w:after="240"/>
        <w:ind w:left="0" w:right="0" w:hanging="360"/>
        <w:jc w:val="left"/>
        <w:rPr/>
      </w:pPr>
      <w:r>
        <w:rPr>
          <w:color w:val="000000"/>
          <w:shd w:fill="FFFFFF" w:val="clear"/>
        </w:rPr>
        <w:t>•</w:t>
      </w:r>
      <w:r>
        <w:rPr>
          <w:rFonts w:ascii="Arial;sans-serif" w:hAnsi="Arial;sans-serif"/>
          <w:b w:val="false"/>
          <w:color w:val="000000"/>
          <w:sz w:val="20"/>
          <w:shd w:fill="FFFFFF" w:val="clear"/>
        </w:rPr>
        <w:t>Once we identified our median employee, we calculated the median employee’s annual total compensation in accordance with the requirements of Item 402(c)(2)(x) of Regulation S-K, including for this purpose the aggregate grant date fair value of equity awards (as determined in accordance with footnote 1 of the 2023 Summary Compensation Table) granted in 2023, yielding the median annual total compensation disclosed above. With respect to Mr. Yoran's annual total compensation, we used the amount reported in the “Total” column of our 2023 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PAY VERSUS PERFORMANCE</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The disclosure included in this section is prescribed by SEC rules and does not necessarily align with how the Company or the Compensation Committee view the link between the Company’s performance and NEO pay.</w:t>
      </w:r>
      <w:r>
        <w:rPr>
          <w:color w:val="000000"/>
        </w:rPr>
        <w:t xml:space="preserve"> </w:t>
      </w:r>
      <w:r>
        <w:rPr>
          <w:rFonts w:ascii="Arial;sans-serif" w:hAnsi="Arial;sans-serif"/>
          <w:b w:val="false"/>
          <w:color w:val="000000"/>
          <w:sz w:val="20"/>
          <w:shd w:fill="FFFFFF" w:val="clear"/>
        </w:rPr>
        <w:t>For additional information about our pay-for-performance philosophy and how we align executive compensation with Company performance, refer to the Compensation Discussion and Analysis.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Pay Versus Performance Table</w:t>
      </w:r>
    </w:p>
    <w:tbl>
      <w:tblPr>
        <w:tblW w:w="11518" w:type="dxa"/>
        <w:jc w:val="left"/>
        <w:tblInd w:w="0" w:type="dxa"/>
        <w:tblLayout w:type="fixed"/>
        <w:tblCellMar>
          <w:top w:w="28" w:type="dxa"/>
          <w:left w:w="28" w:type="dxa"/>
          <w:bottom w:w="28" w:type="dxa"/>
          <w:right w:w="28" w:type="dxa"/>
        </w:tblCellMar>
      </w:tblPr>
      <w:tblGrid>
        <w:gridCol w:w="174"/>
        <w:gridCol w:w="153"/>
        <w:gridCol w:w="154"/>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196"/>
        <w:gridCol w:w="736"/>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Summary Compensation Table Total for PEO</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Compensation Actually Paid to PEO</w:t>
            </w:r>
            <w:r>
              <w:rPr>
                <w:rFonts w:ascii="Arial;sans-serif" w:hAnsi="Arial;sans-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Average Summary Compensation Table Total for Non-PEO NEOs</w:t>
            </w:r>
            <w:r>
              <w:rPr>
                <w:rFonts w:ascii="Arial;sans-serif" w:hAnsi="Arial;sans-serif"/>
                <w:b/>
                <w:color w:val="000000"/>
                <w:sz w:val="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Average Compensation Actually Paid to Non-PEO NEOs</w:t>
            </w:r>
            <w:r>
              <w:rPr>
                <w:rFonts w:ascii="Arial;sans-serif" w:hAnsi="Arial;sans-serif"/>
                <w:b/>
                <w:color w:val="000000"/>
                <w:sz w:val="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Net Loss </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Revenue</w:t>
            </w:r>
            <w:r>
              <w:rPr>
                <w:rFonts w:ascii="Arial;sans-serif" w:hAnsi="Arial;sans-serif"/>
                <w:b/>
                <w:color w:val="000000"/>
                <w:sz w:val="8"/>
              </w:rPr>
              <w:t>(7)</w:t>
            </w:r>
          </w:p>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(In 000s)</w:t>
            </w:r>
          </w:p>
        </w:tc>
      </w:tr>
      <w:tr>
        <w:trPr/>
        <w:tc>
          <w:tcPr>
            <w:tcW w:w="4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Total Shareholder Return</w:t>
            </w:r>
            <w:r>
              <w:rPr>
                <w:rFonts w:ascii="Arial;sans-serif" w:hAnsi="Arial;sans-serif"/>
                <w:b/>
                <w:color w:val="000000"/>
                <w:sz w:val="8"/>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Peer Group Total Shareholder Return</w:t>
            </w:r>
            <w:r>
              <w:rPr>
                <w:rFonts w:ascii="Arial;sans-serif" w:hAnsi="Arial;sans-serif"/>
                <w:b/>
                <w:color w:val="000000"/>
                <w:sz w:val="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9,259,796 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11,610,194 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6,033,046 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42,535,471 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dollar amounts are the total compensation reported for Mr. Yoran (our principal executive officer ("PEO") for each corresponding year in the “Total” column of the Summary Compensation Table.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Compensation actually paid to Mr. Yoran does not reflect the actual amount of compensation earned by or paid. In accordance with the requirements of Item 402(v) of Regulation S-K, the following adjustments were made to Mr. Yoran’s total compensation to determine the compensation actually paid:</w:t>
      </w:r>
    </w:p>
    <w:tbl>
      <w:tblPr>
        <w:tblW w:w="10205" w:type="dxa"/>
        <w:jc w:val="left"/>
        <w:tblInd w:w="0" w:type="dxa"/>
        <w:tblLayout w:type="fixed"/>
        <w:tblCellMar>
          <w:top w:w="28" w:type="dxa"/>
          <w:left w:w="28" w:type="dxa"/>
          <w:bottom w:w="28" w:type="dxa"/>
          <w:right w:w="28" w:type="dxa"/>
        </w:tblCellMar>
      </w:tblPr>
      <w:tblGrid>
        <w:gridCol w:w="196"/>
        <w:gridCol w:w="172"/>
        <w:gridCol w:w="173"/>
        <w:gridCol w:w="214"/>
        <w:gridCol w:w="992"/>
        <w:gridCol w:w="110"/>
        <w:gridCol w:w="109"/>
        <w:gridCol w:w="109"/>
        <w:gridCol w:w="109"/>
        <w:gridCol w:w="214"/>
        <w:gridCol w:w="990"/>
        <w:gridCol w:w="110"/>
        <w:gridCol w:w="109"/>
        <w:gridCol w:w="109"/>
        <w:gridCol w:w="109"/>
        <w:gridCol w:w="216"/>
        <w:gridCol w:w="1002"/>
        <w:gridCol w:w="111"/>
        <w:gridCol w:w="109"/>
        <w:gridCol w:w="109"/>
        <w:gridCol w:w="109"/>
        <w:gridCol w:w="224"/>
        <w:gridCol w:w="1039"/>
        <w:gridCol w:w="116"/>
        <w:gridCol w:w="109"/>
        <w:gridCol w:w="109"/>
        <w:gridCol w:w="109"/>
        <w:gridCol w:w="224"/>
        <w:gridCol w:w="878"/>
        <w:gridCol w:w="115"/>
        <w:gridCol w:w="109"/>
        <w:gridCol w:w="109"/>
        <w:gridCol w:w="109"/>
        <w:gridCol w:w="213"/>
        <w:gridCol w:w="1095"/>
        <w:gridCol w:w="16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Award Adjustments</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Summary Compensation Table Total for 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Less: Reported Value of Equity Awards</w:t>
            </w:r>
            <w:r>
              <w:rPr>
                <w:rFonts w:ascii="Arial;sans-serif" w:hAnsi="Arial;sans-serif"/>
                <w:b/>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 Year End Fair Value of Equity Awards Granted in the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 Change in Fair Value from the end of the Prior Year to the end of the Covered Year of Equity Awards Granted in Prior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 Change in Fair Value on the Vesting Date of Equity Awards Granted in Prior Years that Vested in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Compensation Actually Paid to PEO</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9,259,796 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8,299,918 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8,302,787 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1,506,143 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841,386 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11,610,194 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68" w:before="0" w:after="0"/>
        <w:jc w:val="left"/>
        <w:rPr/>
      </w:pPr>
      <w:r>
        <w:rPr>
          <w:rFonts w:ascii="Arial;sans-serif" w:hAnsi="Arial;sans-serif"/>
          <w:b w:val="false"/>
          <w:color w:val="000000"/>
          <w:sz w:val="20"/>
        </w:rPr>
        <w:t>(a)    There were no other assumptions made in the valuation of equity awards that differ materially from those disclosed as of the grant date of such equity awards</w:t>
      </w:r>
      <w:r>
        <w:rPr>
          <w:rFonts w:ascii="Arial;sans-serif" w:hAnsi="Arial;sans-serif"/>
          <w:b w:val="false"/>
          <w:color w:val="000000"/>
          <w:sz w:val="24"/>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0"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    The grant date fair value of equity awards represents the total of the amounts reported in the “Stock Awards” columns in the Summary Compensation Table for the applicable year.</w:t>
      </w:r>
    </w:p>
    <w:p>
      <w:pPr>
        <w:pStyle w:val="TextBody"/>
        <w:bidi w:val="0"/>
        <w:spacing w:lineRule="auto" w:line="288" w:before="0" w:after="240"/>
        <w:jc w:val="left"/>
        <w:rPr/>
      </w:pPr>
      <w:r>
        <w:rPr>
          <w:rFonts w:ascii="Arial;sans-serif" w:hAnsi="Arial;sans-serif"/>
          <w:b w:val="false"/>
          <w:color w:val="000000"/>
          <w:sz w:val="20"/>
        </w:rPr>
        <w:t>(3)    The dollar amounts represent the average of the amounts reported for our NEOs as a group (excluding Mr. Yoran) in the “Total” column of the Summary Compensation Table in each applicable year. The non-PEO NEOs in each applicable year are as follows: (i) for 2023, Messrs. Thurmond and Vintz; (ii)</w:t>
      </w:r>
      <w:r>
        <w:rPr>
          <w:color w:val="000000"/>
        </w:rPr>
        <w:t xml:space="preserve"> </w:t>
      </w:r>
      <w:r>
        <w:rPr>
          <w:rFonts w:ascii="Arial;sans-serif" w:hAnsi="Arial;sans-serif"/>
          <w:b w:val="false"/>
          <w:color w:val="000000"/>
          <w:sz w:val="20"/>
        </w:rPr>
        <w:t>for 2022, Messrs. Riddick, Thurmond and Vintz and (iii) for 2021 and 2020, Messrs. Riddick and Vintz.</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Average compensation actually paid to our non-PEO NEOs does not reflect the actual amount of compensation earned by or paid. In accordance with the requirements of Item 402(v) of Regulation S-K, the following adjustments were made to our non-PEO NEOs average total compensation to determine the compensation actually paid, using the same methodology described above in Note 2:</w:t>
      </w:r>
    </w:p>
    <w:tbl>
      <w:tblPr>
        <w:tblW w:w="10205" w:type="dxa"/>
        <w:jc w:val="left"/>
        <w:tblInd w:w="0" w:type="dxa"/>
        <w:tblLayout w:type="fixed"/>
        <w:tblCellMar>
          <w:top w:w="28" w:type="dxa"/>
          <w:left w:w="28" w:type="dxa"/>
          <w:bottom w:w="28" w:type="dxa"/>
          <w:right w:w="28" w:type="dxa"/>
        </w:tblCellMar>
      </w:tblPr>
      <w:tblGrid>
        <w:gridCol w:w="196"/>
        <w:gridCol w:w="172"/>
        <w:gridCol w:w="173"/>
        <w:gridCol w:w="221"/>
        <w:gridCol w:w="1024"/>
        <w:gridCol w:w="114"/>
        <w:gridCol w:w="109"/>
        <w:gridCol w:w="109"/>
        <w:gridCol w:w="109"/>
        <w:gridCol w:w="216"/>
        <w:gridCol w:w="999"/>
        <w:gridCol w:w="111"/>
        <w:gridCol w:w="109"/>
        <w:gridCol w:w="109"/>
        <w:gridCol w:w="109"/>
        <w:gridCol w:w="221"/>
        <w:gridCol w:w="1023"/>
        <w:gridCol w:w="114"/>
        <w:gridCol w:w="109"/>
        <w:gridCol w:w="109"/>
        <w:gridCol w:w="109"/>
        <w:gridCol w:w="240"/>
        <w:gridCol w:w="940"/>
        <w:gridCol w:w="124"/>
        <w:gridCol w:w="109"/>
        <w:gridCol w:w="109"/>
        <w:gridCol w:w="109"/>
        <w:gridCol w:w="235"/>
        <w:gridCol w:w="921"/>
        <w:gridCol w:w="121"/>
        <w:gridCol w:w="109"/>
        <w:gridCol w:w="109"/>
        <w:gridCol w:w="109"/>
        <w:gridCol w:w="220"/>
        <w:gridCol w:w="1019"/>
        <w:gridCol w:w="16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18"/>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Award Adjustments</w:t>
            </w:r>
            <w:r>
              <w:rPr>
                <w:rFonts w:ascii="Arial;sans-serif" w:hAnsi="Arial;sans-serif"/>
                <w:b/>
                <w:color w:val="000000"/>
                <w:sz w:val="10"/>
              </w:rPr>
              <w:t>(a)</w:t>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 Summary Compensation Table Total for Non-PEO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Less: Reported Value of Equity Awards</w:t>
            </w:r>
            <w:r>
              <w:rPr>
                <w:rFonts w:ascii="Arial;sans-serif" w:hAnsi="Arial;sans-serif"/>
                <w:b/>
                <w:color w:val="000000"/>
                <w:sz w:val="9"/>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Add: Year End Fair Value of Equity Awards Granted in the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Add: Change in Fair Value from the end of the Prior Year to the end of the Covered Year of Equity Awards Granted in Prior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Add: Change in Fair Value on the Vesting Date of Equity Awards Granted in Prior Years that Vested in the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Average Compensation Actually Paid to Non-PEO NEOs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4,839,761 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4,062,442 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4,063,845 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765,842 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6,033,046 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68" w:before="0" w:after="0"/>
        <w:jc w:val="left"/>
        <w:rPr/>
      </w:pPr>
      <w:r>
        <w:rPr>
          <w:rFonts w:ascii="Arial;sans-serif" w:hAnsi="Arial;sans-serif"/>
          <w:b w:val="false"/>
          <w:color w:val="000000"/>
          <w:sz w:val="20"/>
        </w:rPr>
        <w:t>(a)    There were no other assumptions made in the valuation of equity awards that differ materially from those disclosed as of the grant date of such equity awards</w:t>
      </w:r>
      <w:r>
        <w:rPr>
          <w:rFonts w:ascii="Arial;sans-serif" w:hAnsi="Arial;sans-serif"/>
          <w:b w:val="false"/>
          <w:color w:val="000000"/>
          <w:sz w:val="24"/>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    The grant date fair value of equity awards represents the total of the amounts reported in the “Stock Awards” columns in the Summary Compensation Table for the applicable year.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(5)    Total shareholder return ("TSR") is determined based on the value of an initial fixed investment of $100 on December 31, 2019.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(6)    Represents the weighted peer group TSR, weighted according to the respective companies’ stock market capitalization at the beginning of each period for which a return is indicated. As permitted by SEC rules, the peer group used for this purpose is the group of companies included in the NASDAQ Computer Index, which is the industry peer group used in our Annual Report pursuant to Item 201(e) of Regulation S-K for the year ended December 31, 2023.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(7)    Revenue is selected as the most important performance measurement for the current year.</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Important Performance Measures</w:t>
      </w:r>
    </w:p>
    <w:p>
      <w:pPr>
        <w:pStyle w:val="TextBody"/>
        <w:bidi w:val="0"/>
        <w:spacing w:lineRule="auto" w:line="288" w:before="0" w:after="60"/>
        <w:ind w:left="0" w:right="0" w:firstLine="360"/>
        <w:jc w:val="left"/>
        <w:rPr/>
      </w:pPr>
      <w:r>
        <w:rPr>
          <w:rFonts w:ascii="Arial;sans-serif" w:hAnsi="Arial;sans-serif"/>
          <w:b w:val="false"/>
          <w:color w:val="000000"/>
          <w:sz w:val="20"/>
        </w:rPr>
        <w:t>The most important financial performance measures used by the company to link compensation actually paid to the Company’s NEOs for the most recently completed fiscal year to the Company’s performance are set forth below.</w:t>
      </w:r>
      <w:r>
        <w:rPr>
          <w:color w:val="000000"/>
        </w:rPr>
        <w:t xml:space="preserve"> </w:t>
      </w:r>
      <w:r>
        <w:rPr>
          <w:rFonts w:ascii="Arial;sans-serif" w:hAnsi="Arial;sans-serif"/>
          <w:b w:val="false"/>
          <w:color w:val="000000"/>
          <w:sz w:val="20"/>
        </w:rPr>
        <w:t>For further information regarding these performance metrics and their function in our executive compensation program, please see Compensation Discussion and Analysis.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Bookings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1"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Unlevered Free Cash Flow</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Relationships Between Compensation Actually Paid and Financial Performance Measures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required by Item 402(v) of Regulation S-K, we are providing the following graphs to illustrate the relationships between the pay and performance measures that are included in the pay versus performance tabular disclosure above. As noted above, other than with respect to Revenue, the performance measures included in the graphs below do not align with how the Company or the Compensation Committee view the link between the Company's performance and NEO pay. The “compensation actually paid” for purposes of the tabular disclosure and the following graphs were calculated in accordance with SEC rules and do not fully represent how our Compensation Committee assesses or determines the actual final amount of compensation earned by or actually paid to our NEOs during the applicable years.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Compensation Actually Paid, TSR and Peer Group TSR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graph sets forth the relationship between compensation actually paid to our PEO, the average of compensation actually paid to our other NEOs, and the Company’s cumulative TSR and the cumulative TSR of the NASDAQ Computer Index over the four most recently completed fiscal years.</w:t>
      </w:r>
    </w:p>
    <w:p>
      <w:pPr>
        <w:pStyle w:val="TextBody"/>
        <w:bidi w:val="0"/>
        <w:spacing w:before="0" w:after="240"/>
        <w:jc w:val="left"/>
        <w:rPr/>
      </w:pPr>
      <w:r>
        <w:rPr/>
        <w:drawing>
          <wp:inline distT="0" distB="0" distL="0" distR="0">
            <wp:extent cx="5715000" cy="3048000"/>
            <wp:effectExtent l="0" t="0" r="0" b="0"/>
            <wp:docPr id="10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9" descr=""/>
                    <pic:cNvPicPr>
                      <a:picLocks noChangeAspect="1" noChangeArrowheads="1"/>
                    </pic:cNvPicPr>
                  </pic:nvPicPr>
                  <pic:blipFill>
                    <a:blip r:embed="rId30"/>
                    <a:stretch>
                      <a:fillRect/>
                    </a:stretch>
                  </pic:blipFill>
                  <pic:spPr bwMode="auto">
                    <a:xfrm>
                      <a:off x="0" y="0"/>
                      <a:ext cx="5715000" cy="3048000"/>
                    </a:xfrm>
                    <a:prstGeom prst="rect">
                      <a:avLst/>
                    </a:prstGeom>
                  </pic:spPr>
                </pic:pic>
              </a:graphicData>
            </a:graphic>
          </wp:inline>
        </w:drawing>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Compensation Actually Paid and Net Loss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graph sets forth the relationship between compensation actually paid to our PEO, the average of compensation actually paid to our other NEOs, and the Company’s net loss over the four most recently completed fiscal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3"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firstLine="360"/>
        <w:jc w:val="left"/>
        <w:rPr/>
      </w:pPr>
      <w:r>
        <w:rPr/>
        <w:drawing>
          <wp:inline distT="0" distB="0" distL="0" distR="0">
            <wp:extent cx="5715000" cy="3048000"/>
            <wp:effectExtent l="0" t="0" r="0" b="0"/>
            <wp:docPr id="10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0" descr=""/>
                    <pic:cNvPicPr>
                      <a:picLocks noChangeAspect="1" noChangeArrowheads="1"/>
                    </pic:cNvPicPr>
                  </pic:nvPicPr>
                  <pic:blipFill>
                    <a:blip r:embed="rId31"/>
                    <a:stretch>
                      <a:fillRect/>
                    </a:stretch>
                  </pic:blipFill>
                  <pic:spPr bwMode="auto">
                    <a:xfrm>
                      <a:off x="0" y="0"/>
                      <a:ext cx="5715000" cy="3048000"/>
                    </a:xfrm>
                    <a:prstGeom prst="rect">
                      <a:avLst/>
                    </a:prstGeom>
                  </pic:spPr>
                </pic:pic>
              </a:graphicData>
            </a:graphic>
          </wp:inline>
        </w:drawing>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Compensation Actually Paid and Revenue</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following graph sets forth the relationship between compensation actually paid to our PEO, the average of compensation actually paid to our other NEOs, and revenue over the four most recently completed fiscal years. For further information on how Revenue impacts executive compensation, please see the Compensation Discussion and Analysis beginning on page </w:t>
      </w:r>
      <w:hyperlink w:anchor="i4745a22ced2644e19764f281b17b55e8_94">
        <w:r>
          <w:rPr>
            <w:rStyle w:val="InternetLink"/>
            <w:rFonts w:ascii="Arial;sans-serif" w:hAnsi="Arial;sans-serif"/>
            <w:b w:val="false"/>
            <w:color w:val="0000FF"/>
            <w:sz w:val="20"/>
            <w:u w:val="single"/>
          </w:rPr>
          <w:t>45</w:t>
        </w:r>
      </w:hyperlink>
      <w:r>
        <w:rPr>
          <w:rFonts w:ascii="Arial;sans-serif" w:hAnsi="Arial;sans-serif"/>
          <w:b w:val="false"/>
          <w:color w:val="000000"/>
          <w:sz w:val="20"/>
        </w:rPr>
        <w:t>.</w:t>
      </w:r>
    </w:p>
    <w:p>
      <w:pPr>
        <w:pStyle w:val="TextBody"/>
        <w:bidi w:val="0"/>
        <w:spacing w:before="0" w:after="240"/>
        <w:jc w:val="left"/>
        <w:rPr/>
      </w:pPr>
      <w:r>
        <w:rPr/>
        <w:drawing>
          <wp:inline distT="0" distB="0" distL="0" distR="0">
            <wp:extent cx="5715000" cy="3048000"/>
            <wp:effectExtent l="0" t="0" r="0" b="0"/>
            <wp:docPr id="10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1" descr=""/>
                    <pic:cNvPicPr>
                      <a:picLocks noChangeAspect="1" noChangeArrowheads="1"/>
                    </pic:cNvPicPr>
                  </pic:nvPicPr>
                  <pic:blipFill>
                    <a:blip r:embed="rId32"/>
                    <a:stretch>
                      <a:fillRect/>
                    </a:stretch>
                  </pic:blipFill>
                  <pic:spPr bwMode="auto">
                    <a:xfrm>
                      <a:off x="0" y="0"/>
                      <a:ext cx="5715000" cy="3048000"/>
                    </a:xfrm>
                    <a:prstGeom prst="rect">
                      <a:avLst/>
                    </a:prstGeom>
                  </pic:spPr>
                </pic:pic>
              </a:graphicData>
            </a:graphic>
          </wp:inline>
        </w:drawing>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All information provided above under the “Pay Versus Performance” heading will not be deemed to be incorporated by reference into any filing of the Company under the Securities Act of 1933,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288" w:before="0" w:after="240"/>
        <w:ind w:left="0" w:right="0" w:firstLine="360"/>
        <w:jc w:val="left"/>
        <w:rPr/>
      </w:pPr>
      <w:r>
        <w:rPr>
          <w:rFonts w:ascii="Arial;sans-serif" w:hAnsi="Arial;sans-serif"/>
          <w:b w:val="false"/>
          <w:color w:val="000000"/>
          <w:sz w:val="20"/>
          <w:shd w:fill="FFFFFF" w:val="clear"/>
        </w:rPr>
        <w:t xml:space="preserve">This section provides information regarding the compensation of our non-employee directors in 2023. Our non-employee directors are also entitled to reimbursement of direct expenses incurred in connection with attending meetings of our Board of Directors or committees thereof. </w:t>
      </w:r>
      <w:r>
        <w:rPr>
          <w:rFonts w:ascii="Arial;sans-serif" w:hAnsi="Arial;sans-serif"/>
          <w:b w:val="false"/>
          <w:color w:val="000000"/>
          <w:sz w:val="20"/>
        </w:rPr>
        <w:t>We may provide both cash and equity compensation to our independent directors.</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2023 Cash Compensation</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Except as described in the footnotes to the director compensation table below, the cash compensation amounts set forth below were payable to each non-employee director for their service on the Board of Directors of the company for the year ended December 31, 2023:</w:t>
      </w:r>
    </w:p>
    <w:tbl>
      <w:tblPr>
        <w:tblW w:w="6146" w:type="dxa"/>
        <w:jc w:val="left"/>
        <w:tblInd w:w="0" w:type="dxa"/>
        <w:tblLayout w:type="fixed"/>
        <w:tblCellMar>
          <w:top w:w="28" w:type="dxa"/>
          <w:left w:w="28" w:type="dxa"/>
          <w:bottom w:w="28" w:type="dxa"/>
          <w:right w:w="28" w:type="dxa"/>
        </w:tblCellMar>
      </w:tblPr>
      <w:tblGrid>
        <w:gridCol w:w="1409"/>
        <w:gridCol w:w="1243"/>
        <w:gridCol w:w="1247"/>
        <w:gridCol w:w="109"/>
        <w:gridCol w:w="109"/>
        <w:gridCol w:w="109"/>
        <w:gridCol w:w="363"/>
        <w:gridCol w:w="1292"/>
        <w:gridCol w:w="265"/>
      </w:tblGrid>
      <w:tr>
        <w:trPr/>
        <w:tc>
          <w:tcPr>
            <w:tcW w:w="14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Annual Retainer ($)</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Annual Board Service Retainer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Lead Independent Director Service Retainer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49" w:type="dxa"/>
        <w:jc w:val="left"/>
        <w:tblInd w:w="0" w:type="dxa"/>
        <w:tblLayout w:type="fixed"/>
        <w:tblCellMar>
          <w:top w:w="28" w:type="dxa"/>
          <w:left w:w="28" w:type="dxa"/>
          <w:bottom w:w="28" w:type="dxa"/>
          <w:right w:w="28" w:type="dxa"/>
        </w:tblCellMar>
      </w:tblPr>
      <w:tblGrid>
        <w:gridCol w:w="1624"/>
        <w:gridCol w:w="1427"/>
        <w:gridCol w:w="1434"/>
        <w:gridCol w:w="109"/>
        <w:gridCol w:w="109"/>
        <w:gridCol w:w="109"/>
        <w:gridCol w:w="245"/>
        <w:gridCol w:w="873"/>
        <w:gridCol w:w="128"/>
        <w:gridCol w:w="109"/>
        <w:gridCol w:w="109"/>
        <w:gridCol w:w="109"/>
        <w:gridCol w:w="370"/>
        <w:gridCol w:w="1321"/>
        <w:gridCol w:w="273"/>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Annual Retainer ($)</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Committee Member</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Cybersecurity Risk Management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2023 Equity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23, 2023, every current director as of that date was granted 5,201 RSUs, with the shares underlying the RSUs vesting on the earlier of the first anniversary of the date of grant of the company’s next annual stockholder meeting, subject to each director’s continued service as a director through the applicable vesting date and accelerated vesting in specified circumstances. Ms. Keane was appointed to the Board in June 2023 and received 9,562 RSUs in connection with such appointment. The shares underlying the RSUs vest annually over three years, subject to continued service as a director through the applicable vesting dates and accelerated vesting in specified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2023 Director Compensation Table</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as to the compensation of our non-employee directors for the year ended December 31, 2023.</w:t>
      </w:r>
    </w:p>
    <w:tbl>
      <w:tblPr>
        <w:tblW w:w="8724" w:type="dxa"/>
        <w:jc w:val="left"/>
        <w:tblInd w:w="0" w:type="dxa"/>
        <w:tblLayout w:type="fixed"/>
        <w:tblCellMar>
          <w:top w:w="28" w:type="dxa"/>
          <w:left w:w="28" w:type="dxa"/>
          <w:bottom w:w="28" w:type="dxa"/>
          <w:right w:w="28" w:type="dxa"/>
        </w:tblCellMar>
      </w:tblPr>
      <w:tblGrid>
        <w:gridCol w:w="868"/>
        <w:gridCol w:w="763"/>
        <w:gridCol w:w="768"/>
        <w:gridCol w:w="109"/>
        <w:gridCol w:w="109"/>
        <w:gridCol w:w="109"/>
        <w:gridCol w:w="496"/>
        <w:gridCol w:w="1767"/>
        <w:gridCol w:w="256"/>
        <w:gridCol w:w="109"/>
        <w:gridCol w:w="109"/>
        <w:gridCol w:w="109"/>
        <w:gridCol w:w="288"/>
        <w:gridCol w:w="1168"/>
        <w:gridCol w:w="148"/>
        <w:gridCol w:w="109"/>
        <w:gridCol w:w="109"/>
        <w:gridCol w:w="109"/>
        <w:gridCol w:w="211"/>
        <w:gridCol w:w="85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Name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Stock Awards</w:t>
            </w:r>
            <w:r>
              <w:rPr>
                <w:rFonts w:ascii="Arial;sans-serif" w:hAnsi="Arial;sans-serif"/>
                <w:b/>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Arthur W. Coviello,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199,978 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Niloofar Razi Howe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John C. Huffard,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 Brooke Seawell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Linda Zecher Higgins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George Alexander Tosheff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Raymond Vicks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Margaret Keane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399,978 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    Mr. Yoran did not earn compensation during 2023 for his service on our Board of Directors. Mr. Yoran’s compensation is fully reflected in the Summary Compensation Table above.</w:t>
      </w:r>
    </w:p>
    <w:p>
      <w:pPr>
        <w:pStyle w:val="TextBody"/>
        <w:bidi w:val="0"/>
        <w:spacing w:lineRule="auto" w:line="288" w:before="0" w:after="240"/>
        <w:jc w:val="left"/>
        <w:rPr/>
      </w:pPr>
      <w:r>
        <w:rPr>
          <w:rFonts w:ascii="Arial;sans-serif" w:hAnsi="Arial;sans-serif"/>
          <w:b w:val="false"/>
          <w:color w:val="000000"/>
          <w:sz w:val="20"/>
          <w:shd w:fill="FFFFFF" w:val="clear"/>
        </w:rPr>
        <w:t xml:space="preserve">(2)    The amounts in the Stock Awards column reflect the aggregate grant date fair value of each RSU award granted during the year ended December 31, 2023, computed in accordance with ASC Topic 718. </w:t>
      </w:r>
      <w:r>
        <w:rPr>
          <w:rFonts w:ascii="Arial;sans-serif" w:hAnsi="Arial;sans-serif"/>
          <w:b w:val="false"/>
          <w:color w:val="000000"/>
          <w:sz w:val="20"/>
        </w:rPr>
        <w:t>This calculation assumes that the director will perform the requisite service for the award to vest in full as required by SEC rules. These amounts do not reflect the actual economic value that will be realized by the director upon vesting of the RSUs or the sale of the common stock underlying such RSUs.</w:t>
      </w:r>
    </w:p>
    <w:p>
      <w:pPr>
        <w:pStyle w:val="TextBody"/>
        <w:bidi w:val="0"/>
        <w:spacing w:lineRule="auto" w:line="288" w:before="0" w:after="240"/>
        <w:jc w:val="left"/>
        <w:rPr/>
      </w:pPr>
      <w:r>
        <w:rPr>
          <w:rFonts w:ascii="Arial;sans-serif" w:hAnsi="Arial;sans-serif"/>
          <w:b w:val="false"/>
          <w:color w:val="000000"/>
          <w:sz w:val="20"/>
          <w:shd w:fill="FFFFFF" w:val="clear"/>
        </w:rPr>
        <w:t xml:space="preserve">(3)    As of December 31, 2023, Mr. Seawell held options to purchase 230,000 shares of our common stock. None of our other non-employee directors held options to purchase shares of our common stock as of December 31, 2023. As of December 31, 2023, Ms. Higgins and Messrs. Coviello, Huffard and Seawell each held 5,201 RSUs, Mr. Tosheff held 11,776 RSUs, Ms. Howe held 8,510 RSUs, Mr. Vicks held 10,592 RSUs and Ms. Keane held 9,562 RSUs. </w:t>
      </w:r>
      <w:r>
        <w:rPr>
          <w:rFonts w:ascii="Arial;sans-serif" w:hAnsi="Arial;sans-serif"/>
          <w:b w:val="false"/>
          <w:color w:val="000000"/>
          <w:sz w:val="20"/>
        </w:rPr>
        <w:t>Historically, the Board has provided an initial and annual RSU grant to directors with aggregate dollar values on the date of grant, of $400,000 and $200,000, respectively.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Director Stock Ownership Guidelines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Compensation Committee believes that stock ownership guidelines help align the interests of our non-employee directors with those of our stockholders and may act as a risk mitigation device. In February 2022, our Compensation Committee adopted stock ownership guidelines for our non-employee directors. Under these guidelines, the non-employee members of our Board are each required to beneficially own shares of our common stock (including shares owned outright and unvested time-vesting shares of restricted stock or RSUs) with a value equal to at least five times their annual base cash retainer; for 2023, this equates to $175,000. Directors have five years from the date that they become subject to the guidelines to comply, and if the required ownership level is not achieved within five years, they must hold 50% of the net shares received from their equity grants until the guidelines are achieved. As of December 31, 2023, all of our non-employee directors satisfied the required ownership guideline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0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SECURITIES AUTHORIZED FOR ISSUANCE UNDER EQUITY COMPENSATION PLANS</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equity compensation plan information as of December 31, 2023.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684"/>
        <w:gridCol w:w="603"/>
        <w:gridCol w:w="582"/>
        <w:gridCol w:w="109"/>
        <w:gridCol w:w="109"/>
        <w:gridCol w:w="109"/>
        <w:gridCol w:w="1077"/>
        <w:gridCol w:w="757"/>
        <w:gridCol w:w="759"/>
        <w:gridCol w:w="115"/>
        <w:gridCol w:w="115"/>
        <w:gridCol w:w="115"/>
        <w:gridCol w:w="349"/>
        <w:gridCol w:w="1072"/>
        <w:gridCol w:w="183"/>
        <w:gridCol w:w="109"/>
        <w:gridCol w:w="109"/>
        <w:gridCol w:w="109"/>
        <w:gridCol w:w="918"/>
        <w:gridCol w:w="918"/>
        <w:gridCol w:w="1304"/>
      </w:tblGrid>
      <w:tr>
        <w:trPr/>
        <w:tc>
          <w:tcPr>
            <w:tcW w:w="68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Arial;sans-serif" w:hAnsi="Arial;sans-serif"/>
                <w:b/>
                <w:color w:val="000000"/>
                <w:sz w:val="16"/>
              </w:rPr>
            </w:pPr>
            <w:r>
              <w:rPr>
                <w:rFonts w:ascii="Arial;sans-serif" w:hAnsi="Arial;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 Securities to be Issued Upon Exercise of Outstanding Options, Warrants, and Rights(a)</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Weighted Average Exercise Price of Outstanding </w:t>
            </w:r>
          </w:p>
          <w:p>
            <w:pPr>
              <w:pStyle w:val="TableContents"/>
              <w:bidi w:val="0"/>
              <w:spacing w:lineRule="auto" w:line="240" w:before="0" w:after="0"/>
              <w:jc w:val="center"/>
              <w:rPr/>
            </w:pPr>
            <w:r>
              <w:rPr>
                <w:rFonts w:ascii="Arial;sans-serif" w:hAnsi="Arial;sans-serif"/>
                <w:b/>
                <w:color w:val="000000"/>
                <w:sz w:val="16"/>
              </w:rPr>
              <w:t>Options, Warrants and Rights (b)</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Number of Securities Remaining Available for Future Issuance Under Equity Compensation Plans (Excluding Securities Reflected in Column (a))(c)</w:t>
            </w:r>
            <w:r>
              <w:rPr>
                <w:rFonts w:ascii="Arial;sans-serif" w:hAnsi="Arial;sans-serif"/>
                <w:b/>
                <w:color w:val="000000"/>
                <w:sz w:val="10"/>
              </w:rPr>
              <w:t>(2)</w:t>
            </w:r>
          </w:p>
        </w:tc>
      </w:tr>
      <w:tr>
        <w:trPr/>
        <w:tc>
          <w:tcPr>
            <w:tcW w:w="1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ind w:left="0" w:right="0" w:hanging="135"/>
              <w:jc w:val="left"/>
              <w:rPr>
                <w:rFonts w:ascii="Arial;sans-serif" w:hAnsi="Arial;sans-serif"/>
                <w:b w:val="false"/>
                <w:color w:val="000000"/>
                <w:sz w:val="20"/>
              </w:rPr>
            </w:pPr>
            <w:r>
              <w:rPr>
                <w:rFonts w:ascii="Arial;sans-serif" w:hAnsi="Arial;sans-serif"/>
                <w:b w:val="false"/>
                <w:color w:val="000000"/>
                <w:sz w:val="20"/>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13,040,304 </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(3) (4)</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31,880,453</w:t>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35"/>
              <w:jc w:val="left"/>
              <w:rPr>
                <w:rFonts w:ascii="Arial;sans-serif" w:hAnsi="Arial;sans-serif"/>
                <w:b w:val="false"/>
                <w:color w:val="000000"/>
                <w:sz w:val="20"/>
              </w:rPr>
            </w:pPr>
            <w:r>
              <w:rPr>
                <w:rFonts w:ascii="Arial;sans-serif" w:hAnsi="Arial;sans-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35"/>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13,040,304 </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31,880,453</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    The weighted average exercise price of the outstanding stock options and rights excludes 7,699,725 shares in column (a) that are issuable upon vesting of RSUs and PSUs, which have no exercise price.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    Includes our 2018 Equity Incentive Plan (“2018 Plan”) and 2018 ESPP. Stock options or other stock awards granted under our 2002 Stock Incentive Plan, 2012 Stock Incentive Plan and 2016 Stock Incentive Plan that are forfeited, terminated, expired or repurchased become available for issuance under our 2018 Plan. Our 2018 Plan provides that the total number of shares reserved of common stock reserved for issuance thereunder will be automatically increased, on January 1 of each calendar year, in an amount equal to 5% of the total number of shares of our capital stock outstanding on December 31 of the prior calendar year, or a lesser number of shares determined by our Board. Our 2018 ESPP provides that the number of shares of our common stock reserved for issuance thereunder will automatically increase on January of each calendar year by the lesser of: (1) 1.5% of the total number of shares our capital stock outstanding on December 31st of the preceding year; (2) 8,000,000 shares; or (3) a lesser number of shares determined by our Board. On January 1, 2024, the number of shares reserved for issuance under our 2018 Plan and our 2018 ESPP automatically increased by 5,857,374 shares and 1,757,212 shares, respectively, pursuant to these provisions. These increases are not reflected in the table above.</w:t>
      </w:r>
    </w:p>
    <w:p>
      <w:pPr>
        <w:pStyle w:val="TextBody"/>
        <w:bidi w:val="0"/>
        <w:spacing w:lineRule="auto" w:line="288" w:before="0" w:after="240"/>
        <w:jc w:val="left"/>
        <w:rPr/>
      </w:pPr>
      <w:r>
        <w:rPr>
          <w:rFonts w:ascii="Arial;sans-serif" w:hAnsi="Arial;sans-serif"/>
          <w:b w:val="false"/>
          <w:color w:val="000000"/>
          <w:sz w:val="20"/>
        </w:rPr>
        <w:t>(3)    </w:t>
      </w:r>
      <w:r>
        <w:rPr>
          <w:rFonts w:ascii="Arial;sans-serif" w:hAnsi="Arial;sans-serif"/>
          <w:b w:val="false"/>
          <w:color w:val="000000"/>
          <w:sz w:val="20"/>
          <w:shd w:fill="FFFFFF" w:val="clear"/>
        </w:rPr>
        <w:t xml:space="preserve">This amount includes </w:t>
      </w:r>
      <w:r>
        <w:rPr>
          <w:rFonts w:ascii="Arial;sans-serif" w:hAnsi="Arial;sans-serif"/>
          <w:b w:val="false"/>
          <w:color w:val="000000"/>
          <w:sz w:val="20"/>
        </w:rPr>
        <w:t>357,344</w:t>
      </w:r>
      <w:r>
        <w:rPr>
          <w:color w:val="000000"/>
          <w:shd w:fill="FFFFFF" w:val="clear"/>
        </w:rPr>
        <w:t xml:space="preserve"> </w:t>
      </w:r>
      <w:r>
        <w:rPr>
          <w:rFonts w:ascii="Arial;sans-serif" w:hAnsi="Arial;sans-serif"/>
          <w:b w:val="false"/>
          <w:color w:val="000000"/>
          <w:sz w:val="20"/>
          <w:shd w:fill="FFFFFF" w:val="clear"/>
        </w:rPr>
        <w:t>PSUs that, if and when vested, will be settled in shares of our common stock. For PSUs for which the performance period has ended as of December 31, 2023, the amounts reported in the table reflect the actual number of PSUs earned above and below target levels based on actual performance measured at the end of the performance period.</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(4)    Pursuant to the share purchase agreement with Ermetic, pursuant to which we acquired all of the outstanding share capital of Ermetic, all outstanding, unvested and unexercised options (other than underwater options) held by then-current employees of Ermetic were substituted for Tenable unvested RSUs and all outstanding and unvested RSUs of Ermetic held by then-current employees of Ermetic were substituted for Tenable unvested RSUs (collectively, the "Acquisition RSUs"). There were 172,770 Acquisition RSUs outstanding as of December 31, 2023, which have no exercise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0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TRANSACTIONS WITH RELATED PERSONS AND INDEMNIFICATION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Related-Person Transactions Policy and Procedures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pStyle w:val="TextBody"/>
        <w:bidi w:val="0"/>
        <w:spacing w:lineRule="auto" w:line="288" w:before="0" w:after="6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Under the policy, if a transaction has been identified as a related person transaction, including any transaction that was not a related person transaction when originally consummated, any transaction that was not initially identified as a related person transaction prior to consummation, or any customer or vendor transaction with an entity related to a director of the Company that is conducted in the ordinary course of business and subject to usual trade terms, our management must present information regarding the related person transaction to our Audit Committee, or, if Audit Committee approval would be inappropriate, to another independent body of our Board of Directors, for review, consideration and approval, ratification, or rejection.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risks, costs and benefits to us; </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impact on a director's independence in the event that the related person is a director, immediate family member of a director or an entity with which a director is affiliated; </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terms of the transaction; </w:t>
      </w:r>
    </w:p>
    <w:p>
      <w:pPr>
        <w:pStyle w:val="TextBody"/>
        <w:bidi w:val="0"/>
        <w:spacing w:lineRule="auto" w:line="288" w:before="0" w:after="6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availability of other sources for comparable services or products; and </w:t>
      </w:r>
    </w:p>
    <w:p>
      <w:pPr>
        <w:pStyle w:val="TextBody"/>
        <w:bidi w:val="0"/>
        <w:spacing w:lineRule="auto" w:line="288" w:before="0" w:after="240"/>
        <w:ind w:left="0" w:right="0" w:hanging="360"/>
        <w:jc w:val="left"/>
        <w:rPr/>
      </w:pPr>
      <w:r>
        <w:rPr>
          <w:color w:val="000000"/>
          <w:shd w:fill="FFFFFF" w:val="clear"/>
        </w:rPr>
        <w:t>•</w:t>
      </w:r>
      <w:r>
        <w:rPr>
          <w:color w:val="000000"/>
        </w:rPr>
        <w:t>    </w:t>
      </w:r>
      <w:r>
        <w:rPr>
          <w:rFonts w:ascii="Arial;sans-serif" w:hAnsi="Arial;sans-serif"/>
          <w:b w:val="false"/>
          <w:color w:val="000000"/>
          <w:sz w:val="20"/>
          <w:shd w:fill="FFFFFF" w:val="clear"/>
        </w:rPr>
        <w:t>the terms available to or from, as the case may be, unrelated third parties or to or from employees generally.</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policy requires that, in determining whether to approve, ratify or reject a related person transaction, our Audit Committee, or other independent body of our Board of Directors, shall approve only those transactions that, in light of known circumstances, it determines in the good faith exercise of its discretion are in, or are not inconsistent with, our best interests and our stockholders'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Certain Related Person Transactions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includes a summary of transactions since January 1, 2023 to which we have been a party, in which the amount involved in the transaction exceeded $120,000, and in which any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Employment Arrangements with Messrs. Schonberger and Vintz</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employed Ron Schonberger, the brother of Amit Yoran, our Chief Executive Officer and Chairman, as our Senior Associate General Counsel since October 2017, and Frank Vintz, the brother of Stephen A. Vintz, our Chief Financial Officer, as a Senior Director of Customer Success since March 2017. Each of Mr. Schonberger and Mr. Frank Vintz is paid compensation consisting of salary, bonus and the fair value of RSUs. In 2023, Mr. Schonberger and Mr. Frank Vintz each received total cash and equity compensation in a range from $450,000 to $650,000.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Indemnification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provide indemnification for our directors and executive officers so that they will be free from undue concern about personal liability in connection with their service to the Company. Under our Bylaws, we are required to indemnify our directors and executive officers to the extent not prohibited under Delaware law. We have also entered into indemnity agreements with our executive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HOUSEHOLDING OF PROXY MATERIALS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This year, 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Tenable Holdings, Inc., Attn: Corporate Secretary, 6100 Merriweather Drive, 12th Floor, Columbia, Maryland 21044. Stockholders who currently receive multiple copies of the Notices of Internet Availability of Proxy Materials at their addresses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4285" w:type="dxa"/>
        <w:jc w:val="center"/>
        <w:tblInd w:w="0" w:type="dxa"/>
        <w:tblLayout w:type="fixed"/>
        <w:tblCellMar>
          <w:top w:w="28" w:type="dxa"/>
          <w:left w:w="28" w:type="dxa"/>
          <w:bottom w:w="28" w:type="dxa"/>
          <w:right w:w="28" w:type="dxa"/>
        </w:tblCellMar>
      </w:tblPr>
      <w:tblGrid>
        <w:gridCol w:w="726"/>
        <w:gridCol w:w="634"/>
        <w:gridCol w:w="634"/>
        <w:gridCol w:w="634"/>
        <w:gridCol w:w="634"/>
        <w:gridCol w:w="651"/>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Order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6"/>
            <w:tcBorders>
              <w:bottom w:val="single" w:sz="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1047750" cy="285750"/>
                  <wp:effectExtent l="0" t="0" r="0" b="0"/>
                  <wp:docPr id="11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2" descr=""/>
                          <pic:cNvPicPr>
                            <a:picLocks noChangeAspect="1" noChangeArrowheads="1"/>
                          </pic:cNvPicPr>
                        </pic:nvPicPr>
                        <pic:blipFill>
                          <a:blip r:embed="rId33"/>
                          <a:stretch>
                            <a:fillRect/>
                          </a:stretch>
                        </pic:blipFill>
                        <pic:spPr bwMode="auto">
                          <a:xfrm>
                            <a:off x="0" y="0"/>
                            <a:ext cx="1047750" cy="2857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360"/>
        <w:jc w:val="left"/>
        <w:rPr/>
      </w:pPr>
      <w:r>
        <w:rPr>
          <w:rFonts w:ascii="Arial;sans-serif" w:hAnsi="Arial;sans-serif"/>
          <w:b/>
          <w:color w:val="000000"/>
          <w:sz w:val="20"/>
        </w:rPr>
        <w:t>A copy of the Company’s Annual Report to the Securities and Exchange Commission on Form 10-K for the year ended December 31, 2023 is available without charge upon written request to Tenable Holdings, Inc., Attention: Corporate Secretary, Tenable Holdings, Inc.</w:t>
      </w:r>
      <w:r>
        <w:rPr>
          <w:rFonts w:ascii="Arial;sans-serif" w:hAnsi="Arial;sans-serif"/>
          <w:b w:val="false"/>
          <w:color w:val="000000"/>
          <w:sz w:val="20"/>
        </w:rPr>
        <w:t xml:space="preserve">, </w:t>
      </w:r>
      <w:r>
        <w:rPr>
          <w:rFonts w:ascii="Arial;sans-serif" w:hAnsi="Arial;sans-serif"/>
          <w:b/>
          <w:color w:val="000000"/>
          <w:sz w:val="20"/>
        </w:rPr>
        <w:t>6100 Merriweather Drive, 12th Floor, Columbia, Maryland 21044</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APPENDIX</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RECONCILIATION OF NON-GAAP MEASURES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this proxy statement, we discuss certain operating metrics and non-GAAP financial measures, as described below, which we think are important to better understand and evaluate our core operating and financial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 included in our Annual Report on Form 10-K. 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t>
      </w:r>
    </w:p>
    <w:p>
      <w:pPr>
        <w:pStyle w:val="TextBody"/>
        <w:bidi w:val="0"/>
        <w:spacing w:lineRule="auto" w:line="288" w:before="0" w:after="240"/>
        <w:ind w:left="0" w:right="0" w:firstLine="360"/>
        <w:jc w:val="left"/>
        <w:rPr/>
      </w:pPr>
      <w:r>
        <w:rPr>
          <w:rFonts w:ascii="Arial;sans-serif" w:hAnsi="Arial;sans-serif"/>
          <w:b/>
          <w:i/>
          <w:color w:val="000000"/>
          <w:sz w:val="20"/>
        </w:rPr>
        <w:t>Calculated Current Billings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define calculated current billings, a non-GAAP financial measure, as revenue recognized in a period plus the change in current deferred revenue in the corresponding period. We believe that calculated current billings is a key metric to measure our periodic performance. Given that most of our customers pay in advance, but we typically recognize a majority of the related revenue ratably over time, we use calculated current billings to measure and monitor our ability to provide our business with the working capital generated by upfront payments from our customers.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revenue, the most directly comparable financial measure calculated in accordance with GAAP, to calculated current billings:</w:t>
      </w:r>
    </w:p>
    <w:tbl>
      <w:tblPr>
        <w:tblW w:w="7029" w:type="dxa"/>
        <w:jc w:val="left"/>
        <w:tblInd w:w="0" w:type="dxa"/>
        <w:tblLayout w:type="fixed"/>
        <w:tblCellMar>
          <w:top w:w="28" w:type="dxa"/>
          <w:left w:w="28" w:type="dxa"/>
          <w:bottom w:w="28" w:type="dxa"/>
          <w:right w:w="28" w:type="dxa"/>
        </w:tblCellMar>
      </w:tblPr>
      <w:tblGrid>
        <w:gridCol w:w="1561"/>
        <w:gridCol w:w="1370"/>
        <w:gridCol w:w="1374"/>
        <w:gridCol w:w="211"/>
        <w:gridCol w:w="856"/>
        <w:gridCol w:w="109"/>
        <w:gridCol w:w="109"/>
        <w:gridCol w:w="109"/>
        <w:gridCol w:w="109"/>
        <w:gridCol w:w="211"/>
        <w:gridCol w:w="85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 end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Deferred revenue (current), beginning of period</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Calculated current billings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8"/>
          <w:shd w:fill="FFFFFF" w:val="clear"/>
        </w:rPr>
        <w:t>(1)    </w:t>
      </w:r>
      <w:r>
        <w:rPr>
          <w:rFonts w:ascii="Arial;sans-serif" w:hAnsi="Arial;sans-serif"/>
          <w:b w:val="false"/>
          <w:color w:val="000000"/>
          <w:sz w:val="18"/>
        </w:rPr>
        <w:t>Deferred revenue (current), beginning of period for 2023 and 2022 includes $4.1 million and $0.9 million, respectively, related to acquired deferred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Free Cash Flow and Unlevered Free Cash Flow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define free cash flow, a non-GAAP financial measure, as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or use cash.</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also use the non-GAAP measure of unlevered free cash flow, which we define as free cash flow plus cash paid for interest and other financing costs. We believe unlevered free cash flow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useful as a liquidity measure as it measures the cash that is available to invest in our business and meet our current debt obligations and future financing needs. However, given our debt obligations, non-cancelable commitments and other contractual obligations, unlevered free cash flow does not represent residual cash flow available for discretionary expense.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a reconciliation of net cash provided by operating activities, the most directly comparable financial measure calculated in accordance with GAAP, to free cash flow and unlevered free cash flow: </w:t>
      </w:r>
    </w:p>
    <w:tbl>
      <w:tblPr>
        <w:tblW w:w="6954" w:type="dxa"/>
        <w:jc w:val="left"/>
        <w:tblInd w:w="0" w:type="dxa"/>
        <w:tblLayout w:type="fixed"/>
        <w:tblCellMar>
          <w:top w:w="28" w:type="dxa"/>
          <w:left w:w="28" w:type="dxa"/>
          <w:bottom w:w="28" w:type="dxa"/>
          <w:right w:w="28" w:type="dxa"/>
        </w:tblCellMar>
      </w:tblPr>
      <w:tblGrid>
        <w:gridCol w:w="1534"/>
        <w:gridCol w:w="1346"/>
        <w:gridCol w:w="1350"/>
        <w:gridCol w:w="211"/>
        <w:gridCol w:w="856"/>
        <w:gridCol w:w="109"/>
        <w:gridCol w:w="109"/>
        <w:gridCol w:w="109"/>
        <w:gridCol w:w="109"/>
        <w:gridCol w:w="211"/>
        <w:gridCol w:w="856"/>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and other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Unlevered free cash flow</w:t>
            </w:r>
            <w:r>
              <w:rPr>
                <w:rFonts w:ascii="Arial;sans-serif" w:hAnsi="Arial;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(1)    Free cash flow and unlevered free cash flow for the periods presented were impacted by: </w:t>
      </w:r>
    </w:p>
    <w:tbl>
      <w:tblPr>
        <w:tblW w:w="6251" w:type="dxa"/>
        <w:jc w:val="left"/>
        <w:tblInd w:w="0" w:type="dxa"/>
        <w:tblLayout w:type="fixed"/>
        <w:tblCellMar>
          <w:top w:w="28" w:type="dxa"/>
          <w:left w:w="28" w:type="dxa"/>
          <w:bottom w:w="28" w:type="dxa"/>
          <w:right w:w="28" w:type="dxa"/>
        </w:tblCellMar>
      </w:tblPr>
      <w:tblGrid>
        <w:gridCol w:w="1403"/>
        <w:gridCol w:w="1232"/>
        <w:gridCol w:w="1235"/>
        <w:gridCol w:w="235"/>
        <w:gridCol w:w="720"/>
        <w:gridCol w:w="121"/>
        <w:gridCol w:w="121"/>
        <w:gridCol w:w="121"/>
        <w:gridCol w:w="121"/>
        <w:gridCol w:w="235"/>
        <w:gridCol w:w="536"/>
        <w:gridCol w:w="171"/>
      </w:tblGrid>
      <w:tr>
        <w:trPr/>
        <w:tc>
          <w:tcPr>
            <w:tcW w:w="140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 activity</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intra-entity asset transfers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payment on intra-entity asset transfers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Free cash flow and unlevered free cash flow in 2022 were benefited by approximately $8 million due to prepayments of software subscription costs, insurance and rent in prior quarters.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Non-GAAP Income from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use non-GAAP income from operations as a key indicator of our financial performance. We define non-GAAP income from operations as loss from operations, excluding the effects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loss from operations, the most directly comparable financial measure calculated in accordance with GAAP, to non-GAAP income from operations:</w:t>
      </w:r>
    </w:p>
    <w:tbl>
      <w:tblPr>
        <w:tblW w:w="6683" w:type="dxa"/>
        <w:jc w:val="left"/>
        <w:tblInd w:w="0" w:type="dxa"/>
        <w:tblLayout w:type="fixed"/>
        <w:tblCellMar>
          <w:top w:w="28" w:type="dxa"/>
          <w:left w:w="28" w:type="dxa"/>
          <w:bottom w:w="28" w:type="dxa"/>
          <w:right w:w="28" w:type="dxa"/>
        </w:tblCellMar>
      </w:tblPr>
      <w:tblGrid>
        <w:gridCol w:w="1452"/>
        <w:gridCol w:w="1274"/>
        <w:gridCol w:w="1278"/>
        <w:gridCol w:w="211"/>
        <w:gridCol w:w="856"/>
        <w:gridCol w:w="109"/>
        <w:gridCol w:w="109"/>
        <w:gridCol w:w="109"/>
        <w:gridCol w:w="109"/>
        <w:gridCol w:w="211"/>
        <w:gridCol w:w="81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related to intra-entity asset transfers</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    The costs related to the intra-entity asset transfers resulted from our internal restructuring of Cymptom.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Non-GAAP Net Income and Non-GAAP Earnings Per Share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non-GAAP net income, which excludes stock-based compensation, acquisition-related expenses, restructuring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loss and net loss per share, the most comparable financial measures calculated in accordance with GAAP, to non-GAAP net income and non-GAAP earnings per share:</w:t>
      </w:r>
    </w:p>
    <w:tbl>
      <w:tblPr>
        <w:tblW w:w="9818" w:type="dxa"/>
        <w:jc w:val="left"/>
        <w:tblInd w:w="0" w:type="dxa"/>
        <w:tblLayout w:type="fixed"/>
        <w:tblCellMar>
          <w:top w:w="28" w:type="dxa"/>
          <w:left w:w="28" w:type="dxa"/>
          <w:bottom w:w="28" w:type="dxa"/>
          <w:right w:w="28" w:type="dxa"/>
        </w:tblCellMar>
      </w:tblPr>
      <w:tblGrid>
        <w:gridCol w:w="2602"/>
        <w:gridCol w:w="2284"/>
        <w:gridCol w:w="2298"/>
        <w:gridCol w:w="211"/>
        <w:gridCol w:w="811"/>
        <w:gridCol w:w="109"/>
        <w:gridCol w:w="109"/>
        <w:gridCol w:w="109"/>
        <w:gridCol w:w="109"/>
        <w:gridCol w:w="211"/>
        <w:gridCol w:w="811"/>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for per share amounts)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related to intra-entity asset transfers</w:t>
            </w:r>
            <w:r>
              <w:rPr>
                <w:rFonts w:ascii="Arial;sans-serif" w:hAnsi="Arial;sans-serif"/>
                <w:b w:val="false"/>
                <w:color w:val="000000"/>
                <w:sz w:val="13"/>
              </w:rPr>
              <w:t>(3)</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(4)</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acquisitions</w:t>
            </w:r>
            <w:r>
              <w:rPr>
                <w:rFonts w:ascii="Arial;sans-serif" w:hAnsi="Arial;sans-serif"/>
                <w:b w:val="false"/>
                <w:color w:val="000000"/>
                <w:sz w:val="13"/>
              </w:rPr>
              <w:t>(5)</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intra-entity asset transfers</w:t>
            </w:r>
            <w:r>
              <w:rPr>
                <w:rFonts w:ascii="Arial;sans-serif" w:hAnsi="Arial;sans-serif"/>
                <w:b w:val="false"/>
                <w:color w:val="000000"/>
                <w:sz w:val="13"/>
              </w:rPr>
              <w:t>(6)</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related to intra-entity asset transfers</w:t>
            </w:r>
            <w:r>
              <w:rPr>
                <w:rFonts w:ascii="Arial;sans-serif" w:hAnsi="Arial;sans-serif"/>
                <w:b w:val="false"/>
                <w:color w:val="000000"/>
                <w:sz w:val="13"/>
              </w:rPr>
              <w:t>(3)</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(4)</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acquisitions</w:t>
            </w:r>
            <w:r>
              <w:rPr>
                <w:rFonts w:ascii="Arial;sans-serif" w:hAnsi="Arial;sans-serif"/>
                <w:b w:val="false"/>
                <w:color w:val="000000"/>
                <w:sz w:val="13"/>
              </w:rPr>
              <w:t>(5)</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intra-entity asset transfers</w:t>
            </w:r>
            <w:r>
              <w:rPr>
                <w:rFonts w:ascii="Arial;sans-serif" w:hAnsi="Arial;sans-serif"/>
                <w:b w:val="false"/>
                <w:color w:val="000000"/>
                <w:sz w:val="13"/>
              </w:rPr>
              <w:t>(6)</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 to diluted earnings per share</w:t>
            </w:r>
            <w:r>
              <w:rPr>
                <w:rFonts w:ascii="Arial;sans-serif" w:hAnsi="Arial;sans-serif"/>
                <w:b w:val="false"/>
                <w:color w:val="000000"/>
                <w:sz w:val="13"/>
              </w:rPr>
              <w:t>(7)</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earnings per share,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GAAP net loss per share, diluted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non-GAAP earnings per share, diluted</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117,534</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60"/>
        <w:jc w:val="left"/>
        <w:rPr/>
      </w:pPr>
      <w:r>
        <w:rPr>
          <w:rFonts w:ascii="Arial;sans-serif" w:hAnsi="Arial;sans-serif"/>
          <w:b w:val="false"/>
          <w:color w:val="000000"/>
          <w:sz w:val="18"/>
        </w:rPr>
        <w:t>(1)</w:t>
      </w:r>
      <w:r>
        <w:rPr>
          <w:color w:val="000000"/>
        </w:rPr>
        <w:t>    </w:t>
      </w:r>
      <w:r>
        <w:rPr>
          <w:rFonts w:ascii="Arial;sans-serif" w:hAnsi="Arial;sans-serif"/>
          <w:b w:val="false"/>
          <w:color w:val="000000"/>
          <w:sz w:val="18"/>
        </w:rPr>
        <w:t>The tax impact of stock-based compensation is based on the tax treatment for the applicable tax jurisdictions.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(2)    The tax impact of acquisition-related expenses and restructuring expenses are not material.</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(3)    The costs related to the intra-entity asset transfers resulted from our internal restructuring of Cymptom.</w:t>
      </w:r>
    </w:p>
    <w:p>
      <w:pPr>
        <w:pStyle w:val="TextBody"/>
        <w:bidi w:val="0"/>
        <w:spacing w:lineRule="auto" w:line="288" w:before="0" w:after="60"/>
        <w:jc w:val="left"/>
        <w:rPr/>
      </w:pPr>
      <w:r>
        <w:rPr>
          <w:rFonts w:ascii="Arial;sans-serif" w:hAnsi="Arial;sans-serif"/>
          <w:b w:val="false"/>
          <w:color w:val="000000"/>
          <w:sz w:val="18"/>
          <w:shd w:fill="FFFFFF" w:val="clear"/>
        </w:rPr>
        <w:t>(4)    </w:t>
      </w:r>
      <w:r>
        <w:rPr>
          <w:rFonts w:ascii="Arial;sans-serif" w:hAnsi="Arial;sans-serif"/>
          <w:b w:val="false"/>
          <w:color w:val="000000"/>
          <w:sz w:val="18"/>
        </w:rPr>
        <w:t>The tax impact of the amortization of acquired intangible assets is included in the tax impact of acquisitions.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(5)    The tax impact of acquisitions in 2023 includes the deferred tax benefits of the Alsid acquisition and a reversal of deferred tax expense related to indefinite-lived intangible assets. The tax impact of acquisitions in 2022 includes a deferred tax benefit of $1.2 million related to Alsid and reversal of the $2.5 million income tax benefit recognized for GAAP purposes related to the partial release of our valuation allowance associated with the Bit Discovery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1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jc w:val="left"/>
        <w:rPr/>
      </w:pPr>
      <w:r>
        <w:rPr>
          <w:rFonts w:ascii="Arial;sans-serif" w:hAnsi="Arial;sans-serif"/>
          <w:b w:val="false"/>
          <w:color w:val="000000"/>
          <w:sz w:val="18"/>
          <w:shd w:fill="FFFFFF" w:val="clear"/>
        </w:rPr>
        <w:t>(6)    </w:t>
      </w:r>
      <w:r>
        <w:rPr>
          <w:rFonts w:ascii="Arial;sans-serif" w:hAnsi="Arial;sans-serif"/>
          <w:b w:val="false"/>
          <w:color w:val="000000"/>
          <w:sz w:val="18"/>
        </w:rPr>
        <w:t>The tax impact of the intra-entity transfers is related to current tax expense based on the applicable Israeli tax rates resulting from our internal restructuring of Cymptom.</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(7)    An adjustment to reconcile GAAP net loss per share, which excludes potentially dilutive shares, to non-GAAP earnings per share, which includes potentially dilutive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1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240"/>
        <w:ind w:left="0" w:right="0" w:firstLine="360"/>
        <w:jc w:val="left"/>
        <w:rPr/>
      </w:pPr>
      <w:r>
        <w:rPr/>
      </w:r>
    </w:p>
    <w:p>
      <w:pPr>
        <w:pStyle w:val="TextBody"/>
        <w:bidi w:val="0"/>
        <w:spacing w:before="0" w:after="240"/>
        <w:jc w:val="center"/>
        <w:rPr/>
      </w:pPr>
      <w:r>
        <w:rPr/>
        <w:drawing>
          <wp:inline distT="0" distB="0" distL="0" distR="0">
            <wp:extent cx="5991225" cy="8001000"/>
            <wp:effectExtent l="0" t="0" r="0" b="0"/>
            <wp:docPr id="12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3" descr=""/>
                    <pic:cNvPicPr>
                      <a:picLocks noChangeAspect="1" noChangeArrowheads="1"/>
                    </pic:cNvPicPr>
                  </pic:nvPicPr>
                  <pic:blipFill>
                    <a:blip r:embed="rId34"/>
                    <a:stretch>
                      <a:fillRect/>
                    </a:stretch>
                  </pic:blipFill>
                  <pic:spPr bwMode="auto">
                    <a:xfrm>
                      <a:off x="0" y="0"/>
                      <a:ext cx="5991225" cy="80010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58240"/>
                <wp:effectExtent l="0" t="0" r="0" b="0"/>
                <wp:wrapNone/>
                <wp:docPr id="121" name="Frame88"/>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v:textbox>
                <w10:wrap type="none"/>
              </v:rect>
            </w:pict>
          </mc:Fallback>
        </mc:AlternateContent>
      </w:r>
    </w:p>
    <w:p>
      <w:pPr>
        <w:pStyle w:val="TextBody"/>
        <w:bidi w:val="0"/>
        <w:spacing w:before="0" w:after="240"/>
        <w:ind w:left="0" w:right="0" w:firstLine="360"/>
        <w:jc w:val="left"/>
        <w:rPr/>
      </w:pPr>
      <w:r>
        <w:rPr/>
      </w:r>
    </w:p>
    <w:p>
      <w:pPr>
        <w:pStyle w:val="TextBody"/>
        <w:bidi w:val="0"/>
        <w:spacing w:before="0" w:after="240"/>
        <w:jc w:val="center"/>
        <w:rPr/>
      </w:pPr>
      <w:r>
        <w:rPr/>
        <w:drawing>
          <wp:inline distT="0" distB="0" distL="0" distR="0">
            <wp:extent cx="5981700" cy="8001000"/>
            <wp:effectExtent l="0" t="0" r="0" b="0"/>
            <wp:docPr id="12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4" descr=""/>
                    <pic:cNvPicPr>
                      <a:picLocks noChangeAspect="1" noChangeArrowheads="1"/>
                    </pic:cNvPicPr>
                  </pic:nvPicPr>
                  <pic:blipFill>
                    <a:blip r:embed="rId35"/>
                    <a:stretch>
                      <a:fillRect/>
                    </a:stretch>
                  </pic:blipFill>
                  <pic:spPr bwMode="auto">
                    <a:xfrm>
                      <a:off x="0" y="0"/>
                      <a:ext cx="5981700" cy="80010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58240"/>
                <wp:effectExtent l="0" t="0" r="0" b="0"/>
                <wp:wrapNone/>
                <wp:docPr id="123" name="Frame89"/>
                <a:graphic xmlns:a="http://schemas.openxmlformats.org/drawingml/2006/main">
                  <a:graphicData uri="http://schemas.microsoft.com/office/word/2010/wordprocessingShape">
                    <wps:wsp>
                      <wps:cNvSpPr txBox="1"/>
                      <wps:spPr>
                        <a:xfrm>
                          <a:off x="0" y="0"/>
                          <a:ext cx="6480175" cy="1158240"/>
                        </a:xfrm>
                        <a:prstGeom prst="rect"/>
                        <a:solidFill>
                          <a:srgbClr val="FFFFFF"/>
                        </a:solidFill>
                      </wps:spPr>
                      <wps:txbx>
                        <w:txbxContent>
                          <w:p>
                            <w:pPr>
                              <w:pStyle w:val="TextBody"/>
                              <w:bidi w:val="0"/>
                              <w:spacing w:before="0" w:after="240"/>
                              <w:ind w:left="0" w:right="0" w:firstLine="360"/>
                              <w:jc w:val="left"/>
                              <w:rPr/>
                            </w:pPr>
                            <w:r>
                              <w:rPr/>
                            </w:r>
                            <w:r>
                              <w:br w:type="page"/>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Barlow Semi Bold">
    <w:altName w:val="sans-serif"/>
    <w:charset w:val="01"/>
    <w:family w:val="auto"/>
    <w:pitch w:val="default"/>
  </w:font>
  <w:font w:name="Barlow">
    <w:altName w:val="sans-serif"/>
    <w:charset w:val="01"/>
    <w:family w:val="auto"/>
    <w:pitch w:val="default"/>
  </w:font>
  <w:font w:name="Wingdings 2">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6.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36257</Words>
  <Characters>201824</Characters>
  <CharactersWithSpaces>236799</CharactersWithSpaces>
  <Paragraphs>2200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