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231F20"/>
        </w:rPr>
        <w:t>UNITED STATES</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231F20"/>
        </w:rPr>
        <w:t>SECURITIES AND EXCHANGE COMMISSION</w:t>
      </w:r>
    </w:p>
    <w:p>
      <w:pPr>
        <w:spacing w:after="0" w:line="71"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231F20"/>
        </w:rPr>
        <w:t>Washington, D.C. 20549</w:t>
      </w:r>
    </w:p>
    <w:p>
      <w:pPr>
        <w:spacing w:after="0" w:line="17"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26"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231F20"/>
        </w:rPr>
        <w:t>FORM 10-K</w:t>
      </w:r>
    </w:p>
    <w:p>
      <w:pPr>
        <w:spacing w:after="0" w:line="37"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19" w:lineRule="exact"/>
        <w:rPr>
          <w:sz w:val="24"/>
          <w:szCs w:val="24"/>
          <w:color w:val="auto"/>
        </w:rPr>
      </w:pPr>
    </w:p>
    <w:p>
      <w:pPr>
        <w:ind w:left="820" w:hanging="478"/>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4"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For the fiscal year ended December 31, 2025</w:t>
      </w:r>
    </w:p>
    <w:p>
      <w:pPr>
        <w:spacing w:after="0" w:line="25"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or</w:t>
      </w:r>
    </w:p>
    <w:p>
      <w:pPr>
        <w:spacing w:after="0" w:line="130" w:lineRule="exact"/>
        <w:rPr>
          <w:sz w:val="24"/>
          <w:szCs w:val="24"/>
          <w:color w:val="auto"/>
        </w:rPr>
      </w:pPr>
    </w:p>
    <w:p>
      <w:pPr>
        <w:ind w:left="840" w:hanging="498"/>
        <w:spacing w:after="0"/>
        <w:tabs>
          <w:tab w:leader="none" w:pos="8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4"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Commission file number 001-38600</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83"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231F20"/>
        </w:rPr>
        <w:t>TENABLE HOLDINGS, INC.</w:t>
      </w:r>
    </w:p>
    <w:p>
      <w:pPr>
        <w:spacing w:after="0" w:line="76"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231F20"/>
        </w:rPr>
        <w:t>(Exact name of registrant as specified in its charter)</w:t>
      </w:r>
    </w:p>
    <w:p>
      <w:pPr>
        <w:spacing w:after="0" w:line="22"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240"/>
          </w:cols>
          <w:pgMar w:left="320" w:top="1389" w:right="339" w:bottom="1440" w:gutter="0" w:footer="0" w:header="0"/>
        </w:sectPr>
      </w:pPr>
    </w:p>
    <w:p>
      <w:pPr>
        <w:spacing w:after="0" w:line="132"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47-5580846</w:t>
      </w:r>
    </w:p>
    <w:p>
      <w:pPr>
        <w:spacing w:after="0" w:line="38" w:lineRule="exact"/>
        <w:rPr>
          <w:sz w:val="24"/>
          <w:szCs w:val="24"/>
          <w:color w:val="auto"/>
        </w:rPr>
      </w:pPr>
    </w:p>
    <w:p>
      <w:pPr>
        <w:sectPr>
          <w:pgSz w:w="11900" w:h="16838" w:orient="portrait"/>
          <w:cols w:equalWidth="0" w:num="2">
            <w:col w:w="8120" w:space="720"/>
            <w:col w:w="2400"/>
          </w:cols>
          <w:pgMar w:left="320" w:top="1389" w:right="339" w:bottom="1440" w:gutter="0" w:footer="0" w:header="0"/>
          <w:type w:val="continuous"/>
        </w:sectPr>
      </w:pPr>
    </w:p>
    <w:p>
      <w:pPr>
        <w:ind w:left="8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57" w:lineRule="exact"/>
        <w:rPr>
          <w:sz w:val="24"/>
          <w:szCs w:val="24"/>
          <w:color w:val="auto"/>
        </w:rPr>
      </w:pPr>
    </w:p>
    <w:p>
      <w:pPr>
        <w:sectPr>
          <w:pgSz w:w="11900" w:h="16838" w:orient="portrait"/>
          <w:cols w:equalWidth="0" w:num="2">
            <w:col w:w="7260" w:space="720"/>
            <w:col w:w="3260"/>
          </w:cols>
          <w:pgMar w:left="320" w:top="1389" w:right="33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6100 Merriweather Drive, Columbia, Maryland 21044</w:t>
      </w:r>
    </w:p>
    <w:p>
      <w:pPr>
        <w:spacing w:after="0" w:line="25"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1" w:lineRule="exact"/>
        <w:rPr>
          <w:sz w:val="24"/>
          <w:szCs w:val="24"/>
          <w:color w:val="auto"/>
        </w:rPr>
      </w:pPr>
    </w:p>
    <w:p>
      <w:pPr>
        <w:ind w:left="5300"/>
        <w:spacing w:after="0"/>
        <w:rPr>
          <w:sz w:val="20"/>
          <w:szCs w:val="20"/>
          <w:color w:val="auto"/>
        </w:rPr>
      </w:pPr>
      <w:r>
        <w:rPr>
          <w:rFonts w:ascii="Arial" w:cs="Arial" w:eastAsia="Arial" w:hAnsi="Arial"/>
          <w:sz w:val="14"/>
          <w:szCs w:val="14"/>
          <w:b w:val="1"/>
          <w:bCs w:val="1"/>
          <w:color w:val="auto"/>
        </w:rPr>
        <w:t>(410) 872-0555</w:t>
      </w:r>
    </w:p>
    <w:p>
      <w:pPr>
        <w:spacing w:after="0" w:line="2"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(Registrant’s telephone number, including area code)</w:t>
      </w: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32"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389" w:right="339" w:bottom="1440" w:gutter="0" w:footer="0" w:header="0"/>
          <w:type w:val="continuous"/>
        </w:sectPr>
      </w:pPr>
    </w:p>
    <w:p>
      <w:pPr>
        <w:spacing w:after="0" w:line="38" w:lineRule="exact"/>
        <w:rPr>
          <w:sz w:val="24"/>
          <w:szCs w:val="24"/>
          <w:color w:val="auto"/>
        </w:rPr>
      </w:pPr>
    </w:p>
    <w:p>
      <w:pPr>
        <w:jc w:val="center"/>
        <w:ind w:left="7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38" w:lineRule="exact"/>
        <w:rPr>
          <w:sz w:val="24"/>
          <w:szCs w:val="24"/>
          <w:color w:val="auto"/>
        </w:rPr>
      </w:pPr>
    </w:p>
    <w:p>
      <w:pPr>
        <w:sectPr>
          <w:pgSz w:w="11900" w:h="16838" w:orient="portrait"/>
          <w:cols w:equalWidth="0" w:num="3">
            <w:col w:w="4600" w:space="720"/>
            <w:col w:w="1860" w:space="720"/>
            <w:col w:w="3340"/>
          </w:cols>
          <w:pgMar w:left="320" w:top="1389" w:right="3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38" w:lineRule="exact"/>
        <w:rPr>
          <w:sz w:val="24"/>
          <w:szCs w:val="24"/>
          <w:color w:val="auto"/>
        </w:rPr>
      </w:pPr>
    </w:p>
    <w:p>
      <w:pPr>
        <w:sectPr>
          <w:pgSz w:w="11900" w:h="16838" w:orient="portrait"/>
          <w:cols w:equalWidth="0" w:num="3">
            <w:col w:w="5020" w:space="720"/>
            <w:col w:w="1840" w:space="720"/>
            <w:col w:w="2940"/>
          </w:cols>
          <w:pgMar w:left="320" w:top="1389" w:right="339" w:bottom="1440" w:gutter="0" w:footer="0" w:header="0"/>
          <w:type w:val="continuous"/>
        </w:sectPr>
      </w:pPr>
    </w:p>
    <w:p>
      <w:pPr>
        <w:ind w:left="39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26" w:lineRule="exact"/>
        <w:rPr>
          <w:sz w:val="24"/>
          <w:szCs w:val="24"/>
          <w:color w:val="auto"/>
        </w:rPr>
      </w:pPr>
    </w:p>
    <w:p>
      <w:pPr>
        <w:ind w:right="3040"/>
        <w:spacing w:after="0" w:line="23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6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340" w:type="dxa"/>
        <w:tblCellMar>
          <w:top w:w="0" w:type="dxa"/>
          <w:left w:w="0" w:type="dxa"/>
          <w:bottom w:w="0" w:type="dxa"/>
          <w:right w:w="0" w:type="dxa"/>
        </w:tblCellMar>
      </w:tblPr>
      <w:tr>
        <w:trPr>
          <w:trHeight w:val="244"/>
        </w:trPr>
        <w:tc>
          <w:tcPr>
            <w:tcW w:w="3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42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2"/>
        </w:trPr>
        <w:tc>
          <w:tcPr>
            <w:tcW w:w="31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420"/>
              <w:spacing w:after="0"/>
              <w:rPr>
                <w:sz w:val="20"/>
                <w:szCs w:val="20"/>
                <w:color w:val="auto"/>
              </w:rPr>
            </w:pPr>
            <w:r>
              <w:rPr>
                <w:rFonts w:ascii="Arial" w:cs="Arial" w:eastAsia="Arial" w:hAnsi="Arial"/>
                <w:sz w:val="14"/>
                <w:szCs w:val="14"/>
                <w:color w:val="auto"/>
              </w:rPr>
              <w:t>Smaller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2"/>
        </w:trPr>
        <w:tc>
          <w:tcPr>
            <w:tcW w:w="3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720" w:type="dxa"/>
            <w:vAlign w:val="bottom"/>
          </w:tcPr>
          <w:p>
            <w:pPr>
              <w:ind w:left="42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340" w:right="180"/>
        <w:spacing w:after="0" w:line="254"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3" w:lineRule="exact"/>
        <w:rPr>
          <w:sz w:val="24"/>
          <w:szCs w:val="24"/>
          <w:color w:val="auto"/>
        </w:rPr>
      </w:pPr>
    </w:p>
    <w:p>
      <w:pPr>
        <w:ind w:right="2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1" w:lineRule="exact"/>
        <w:rPr>
          <w:sz w:val="24"/>
          <w:szCs w:val="24"/>
          <w:color w:val="auto"/>
        </w:rPr>
      </w:pPr>
    </w:p>
    <w:p>
      <w:pPr>
        <w:ind w:right="160"/>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1" w:lineRule="exact"/>
        <w:rPr>
          <w:sz w:val="24"/>
          <w:szCs w:val="24"/>
          <w:color w:val="auto"/>
        </w:rPr>
      </w:pPr>
    </w:p>
    <w:p>
      <w:pPr>
        <w:ind w:right="680"/>
        <w:spacing w:after="0" w:line="18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2025, the aggregate market value of the common stock of the registrant held by non-affiliates was approximately $4.1 billion.</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February 20, 2026 was 114,887,618.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1010285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64" w:lineRule="exact"/>
        <w:rPr>
          <w:sz w:val="20"/>
          <w:szCs w:val="20"/>
          <w:color w:val="auto"/>
        </w:rPr>
      </w:pPr>
    </w:p>
    <w:p>
      <w:pPr>
        <w:ind w:firstLine="318"/>
        <w:spacing w:after="0" w:line="293" w:lineRule="auto"/>
        <w:rPr>
          <w:sz w:val="20"/>
          <w:szCs w:val="20"/>
          <w:color w:val="auto"/>
        </w:rPr>
      </w:pPr>
      <w:r>
        <w:rPr>
          <w:rFonts w:ascii="Arial" w:cs="Arial" w:eastAsia="Arial" w:hAnsi="Arial"/>
          <w:sz w:val="14"/>
          <w:szCs w:val="14"/>
          <w:color w:val="auto"/>
        </w:rPr>
        <w:t>Portions of the registrant's definitive Proxy Statement relating to the 2026 Annual Meeting of Stockholders are incorporated herein by reference in Part III of this Annual Report on Form 10-K. The Proxy Statement will be filed with the Securities and Exchange Commission within 120 days after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862330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60" w:type="dxa"/>
            <w:vAlign w:val="bottom"/>
            <w:gridSpan w:val="8"/>
          </w:tcPr>
          <w:p>
            <w:pPr>
              <w:jc w:val="center"/>
              <w:ind w:right="1680"/>
              <w:spacing w:after="0"/>
              <w:rPr>
                <w:sz w:val="20"/>
                <w:szCs w:val="20"/>
                <w:color w:val="auto"/>
              </w:rPr>
            </w:pPr>
            <w:r>
              <w:rPr>
                <w:rFonts w:ascii="Arial" w:cs="Arial" w:eastAsia="Arial" w:hAnsi="Arial"/>
                <w:sz w:val="16"/>
                <w:szCs w:val="16"/>
                <w:b w:val="1"/>
                <w:bCs w:val="1"/>
                <w:color w:val="auto"/>
                <w:w w:val="99"/>
              </w:rPr>
              <w:t>TENABLE HOLDINGS, INC.</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60" w:type="dxa"/>
            <w:vAlign w:val="bottom"/>
            <w:gridSpan w:val="8"/>
          </w:tcPr>
          <w:p>
            <w:pPr>
              <w:jc w:val="center"/>
              <w:ind w:right="1660"/>
              <w:spacing w:after="0"/>
              <w:rPr>
                <w:sz w:val="20"/>
                <w:szCs w:val="20"/>
                <w:color w:val="auto"/>
              </w:rPr>
            </w:pPr>
            <w:r>
              <w:rPr>
                <w:rFonts w:ascii="Arial" w:cs="Arial" w:eastAsia="Arial" w:hAnsi="Arial"/>
                <w:sz w:val="16"/>
                <w:szCs w:val="16"/>
                <w:b w:val="1"/>
                <w:bCs w:val="1"/>
                <w:color w:val="auto"/>
                <w:w w:val="98"/>
              </w:rPr>
              <w:t>TABLE OF CONTENTS</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6"/>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gridSpan w:val="5"/>
          </w:tcPr>
          <w:p>
            <w:pPr>
              <w:jc w:val="right"/>
              <w:ind w:right="140"/>
              <w:spacing w:after="0"/>
              <w:rPr>
                <w:sz w:val="20"/>
                <w:szCs w:val="20"/>
                <w:color w:val="auto"/>
              </w:rPr>
            </w:pPr>
            <w:r>
              <w:rPr>
                <w:rFonts w:ascii="Arial" w:cs="Arial" w:eastAsia="Arial" w:hAnsi="Arial"/>
                <w:sz w:val="16"/>
                <w:szCs w:val="16"/>
                <w:color w:val="auto"/>
              </w:rPr>
              <w:t>Page</w:t>
            </w:r>
          </w:p>
        </w:tc>
      </w:tr>
      <w:tr>
        <w:trPr>
          <w:trHeight w:val="192"/>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5"/>
              </w:rPr>
              <w:t>PART I</w:t>
            </w:r>
          </w:p>
        </w:tc>
        <w:tc>
          <w:tcPr>
            <w:tcW w:w="520" w:type="dxa"/>
            <w:vAlign w:val="bottom"/>
            <w:gridSpan w:val="3"/>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1040" w:type="dxa"/>
            <w:vAlign w:val="bottom"/>
            <w:gridSpan w:val="5"/>
          </w:tcPr>
          <w:p>
            <w:pPr>
              <w:spacing w:after="0"/>
              <w:rPr>
                <w:sz w:val="20"/>
                <w:szCs w:val="20"/>
                <w:color w:val="auto"/>
              </w:rPr>
            </w:pPr>
            <w:r>
              <w:rPr>
                <w:rFonts w:ascii="Arial" w:cs="Arial" w:eastAsia="Arial" w:hAnsi="Arial"/>
                <w:sz w:val="16"/>
                <w:szCs w:val="16"/>
                <w:color w:val="0000FF"/>
              </w:rPr>
              <w:t>Item 1.</w:t>
            </w:r>
          </w:p>
        </w:tc>
        <w:tc>
          <w:tcPr>
            <w:tcW w:w="7840" w:type="dxa"/>
            <w:vAlign w:val="bottom"/>
            <w:gridSpan w:val="21"/>
          </w:tcPr>
          <w:p>
            <w:pPr>
              <w:spacing w:after="0"/>
              <w:rPr>
                <w:sz w:val="20"/>
                <w:szCs w:val="20"/>
                <w:color w:val="auto"/>
              </w:rPr>
            </w:pPr>
            <w:r>
              <w:rPr>
                <w:rFonts w:ascii="Arial" w:cs="Arial" w:eastAsia="Arial" w:hAnsi="Arial"/>
                <w:sz w:val="16"/>
                <w:szCs w:val="16"/>
                <w:color w:val="0000FF"/>
              </w:rPr>
              <w:t>Business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7"/>
              </w:rPr>
              <w:t>Item 1A.</w:t>
            </w:r>
          </w:p>
        </w:tc>
        <w:tc>
          <w:tcPr>
            <w:tcW w:w="480" w:type="dxa"/>
            <w:vAlign w:val="bottom"/>
            <w:gridSpan w:val="2"/>
          </w:tcPr>
          <w:p>
            <w:pPr>
              <w:spacing w:after="0"/>
              <w:rPr>
                <w:sz w:val="16"/>
                <w:szCs w:val="16"/>
                <w:color w:val="auto"/>
              </w:rPr>
            </w:pPr>
          </w:p>
        </w:tc>
        <w:tc>
          <w:tcPr>
            <w:tcW w:w="7840" w:type="dxa"/>
            <w:vAlign w:val="bottom"/>
            <w:gridSpan w:val="21"/>
          </w:tcPr>
          <w:p>
            <w:pPr>
              <w:spacing w:after="0"/>
              <w:rPr>
                <w:sz w:val="20"/>
                <w:szCs w:val="20"/>
                <w:color w:val="auto"/>
              </w:rPr>
            </w:pPr>
            <w:r>
              <w:rPr>
                <w:rFonts w:ascii="Arial" w:cs="Arial" w:eastAsia="Arial" w:hAnsi="Arial"/>
                <w:sz w:val="16"/>
                <w:szCs w:val="16"/>
                <w:color w:val="0000FF"/>
              </w:rPr>
              <w:t>Risk Factors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12</w:t>
            </w: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7"/>
              </w:rPr>
              <w:t>Item 1B.</w:t>
            </w:r>
          </w:p>
        </w:tc>
        <w:tc>
          <w:tcPr>
            <w:tcW w:w="480" w:type="dxa"/>
            <w:vAlign w:val="bottom"/>
            <w:gridSpan w:val="2"/>
          </w:tcPr>
          <w:p>
            <w:pPr>
              <w:spacing w:after="0"/>
              <w:rPr>
                <w:sz w:val="16"/>
                <w:szCs w:val="16"/>
                <w:color w:val="auto"/>
              </w:rPr>
            </w:pPr>
          </w:p>
        </w:tc>
        <w:tc>
          <w:tcPr>
            <w:tcW w:w="7840" w:type="dxa"/>
            <w:vAlign w:val="bottom"/>
            <w:gridSpan w:val="21"/>
          </w:tcPr>
          <w:p>
            <w:pPr>
              <w:spacing w:after="0"/>
              <w:rPr>
                <w:sz w:val="20"/>
                <w:szCs w:val="20"/>
                <w:color w:val="auto"/>
              </w:rPr>
            </w:pPr>
            <w:r>
              <w:rPr>
                <w:rFonts w:ascii="Arial" w:cs="Arial" w:eastAsia="Arial" w:hAnsi="Arial"/>
                <w:sz w:val="16"/>
                <w:szCs w:val="16"/>
                <w:color w:val="0000FF"/>
              </w:rPr>
              <w:t>Unresolved Staff Comments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620" w:type="dxa"/>
            <w:vAlign w:val="bottom"/>
            <w:gridSpan w:val="4"/>
          </w:tcPr>
          <w:p>
            <w:pPr>
              <w:spacing w:after="0"/>
              <w:rPr>
                <w:sz w:val="20"/>
                <w:szCs w:val="20"/>
                <w:color w:val="auto"/>
              </w:rPr>
            </w:pPr>
            <w:r>
              <w:rPr>
                <w:rFonts w:ascii="Arial" w:cs="Arial" w:eastAsia="Arial" w:hAnsi="Arial"/>
                <w:sz w:val="16"/>
                <w:szCs w:val="16"/>
                <w:color w:val="0000FF"/>
                <w:w w:val="99"/>
              </w:rPr>
              <w:t>Item 1C.</w:t>
            </w:r>
          </w:p>
        </w:tc>
        <w:tc>
          <w:tcPr>
            <w:tcW w:w="420" w:type="dxa"/>
            <w:vAlign w:val="bottom"/>
          </w:tcPr>
          <w:p>
            <w:pPr>
              <w:spacing w:after="0"/>
              <w:rPr>
                <w:sz w:val="16"/>
                <w:szCs w:val="16"/>
                <w:color w:val="auto"/>
              </w:rPr>
            </w:pPr>
          </w:p>
        </w:tc>
        <w:tc>
          <w:tcPr>
            <w:tcW w:w="7840" w:type="dxa"/>
            <w:vAlign w:val="bottom"/>
            <w:gridSpan w:val="21"/>
          </w:tcPr>
          <w:p>
            <w:pPr>
              <w:spacing w:after="0"/>
              <w:rPr>
                <w:sz w:val="20"/>
                <w:szCs w:val="20"/>
                <w:color w:val="auto"/>
              </w:rPr>
            </w:pPr>
            <w:r>
              <w:rPr>
                <w:rFonts w:ascii="Arial" w:cs="Arial" w:eastAsia="Arial" w:hAnsi="Arial"/>
                <w:sz w:val="16"/>
                <w:szCs w:val="16"/>
                <w:color w:val="0000FF"/>
              </w:rPr>
              <w:t>Cybersecurity</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46</w:t>
            </w:r>
          </w:p>
        </w:tc>
      </w:tr>
      <w:tr>
        <w:trPr>
          <w:trHeight w:val="192"/>
        </w:trPr>
        <w:tc>
          <w:tcPr>
            <w:tcW w:w="62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Item 2.</w:t>
            </w:r>
          </w:p>
        </w:tc>
        <w:tc>
          <w:tcPr>
            <w:tcW w:w="420" w:type="dxa"/>
            <w:vAlign w:val="bottom"/>
          </w:tcPr>
          <w:p>
            <w:pPr>
              <w:spacing w:after="0"/>
              <w:rPr>
                <w:sz w:val="16"/>
                <w:szCs w:val="16"/>
                <w:color w:val="auto"/>
              </w:rPr>
            </w:pPr>
          </w:p>
        </w:tc>
        <w:tc>
          <w:tcPr>
            <w:tcW w:w="96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Properties</w:t>
            </w:r>
          </w:p>
        </w:tc>
        <w:tc>
          <w:tcPr>
            <w:tcW w:w="6880" w:type="dxa"/>
            <w:vAlign w:val="bottom"/>
            <w:gridSpan w:val="16"/>
          </w:tcPr>
          <w:p>
            <w:pPr>
              <w:spacing w:after="0"/>
              <w:rPr>
                <w:sz w:val="16"/>
                <w:szCs w:val="16"/>
                <w:color w:val="auto"/>
              </w:rPr>
            </w:pPr>
          </w:p>
        </w:tc>
        <w:tc>
          <w:tcPr>
            <w:tcW w:w="2180" w:type="dxa"/>
            <w:vAlign w:val="bottom"/>
            <w:gridSpan w:val="3"/>
          </w:tcPr>
          <w:p>
            <w:pPr>
              <w:spacing w:after="0"/>
              <w:rPr>
                <w:sz w:val="16"/>
                <w:szCs w:val="16"/>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48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1040" w:type="dxa"/>
            <w:vAlign w:val="bottom"/>
            <w:gridSpan w:val="5"/>
          </w:tcPr>
          <w:p>
            <w:pPr>
              <w:spacing w:after="0"/>
              <w:rPr>
                <w:sz w:val="20"/>
                <w:szCs w:val="20"/>
                <w:color w:val="auto"/>
              </w:rPr>
            </w:pPr>
            <w:r>
              <w:rPr>
                <w:rFonts w:ascii="Arial" w:cs="Arial" w:eastAsia="Arial" w:hAnsi="Arial"/>
                <w:sz w:val="16"/>
                <w:szCs w:val="16"/>
                <w:color w:val="0000FF"/>
              </w:rPr>
              <w:t>Item 3.</w:t>
            </w:r>
          </w:p>
        </w:tc>
        <w:tc>
          <w:tcPr>
            <w:tcW w:w="7840" w:type="dxa"/>
            <w:vAlign w:val="bottom"/>
            <w:gridSpan w:val="21"/>
          </w:tcPr>
          <w:p>
            <w:pPr>
              <w:spacing w:after="0"/>
              <w:rPr>
                <w:sz w:val="20"/>
                <w:szCs w:val="20"/>
                <w:color w:val="auto"/>
              </w:rPr>
            </w:pPr>
            <w:r>
              <w:rPr>
                <w:rFonts w:ascii="Arial" w:cs="Arial" w:eastAsia="Arial" w:hAnsi="Arial"/>
                <w:sz w:val="16"/>
                <w:szCs w:val="16"/>
                <w:color w:val="0000FF"/>
              </w:rPr>
              <w:t>Legal Proceedings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48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1040" w:type="dxa"/>
            <w:vAlign w:val="bottom"/>
            <w:gridSpan w:val="5"/>
          </w:tcPr>
          <w:p>
            <w:pPr>
              <w:spacing w:after="0"/>
              <w:rPr>
                <w:sz w:val="20"/>
                <w:szCs w:val="20"/>
                <w:color w:val="auto"/>
              </w:rPr>
            </w:pPr>
            <w:r>
              <w:rPr>
                <w:rFonts w:ascii="Arial" w:cs="Arial" w:eastAsia="Arial" w:hAnsi="Arial"/>
                <w:sz w:val="16"/>
                <w:szCs w:val="16"/>
                <w:color w:val="0000FF"/>
              </w:rPr>
              <w:t>Item 4.</w:t>
            </w:r>
          </w:p>
        </w:tc>
        <w:tc>
          <w:tcPr>
            <w:tcW w:w="7840" w:type="dxa"/>
            <w:vAlign w:val="bottom"/>
            <w:gridSpan w:val="21"/>
          </w:tcPr>
          <w:p>
            <w:pPr>
              <w:spacing w:after="0"/>
              <w:rPr>
                <w:sz w:val="20"/>
                <w:szCs w:val="20"/>
                <w:color w:val="auto"/>
              </w:rPr>
            </w:pPr>
            <w:r>
              <w:rPr>
                <w:rFonts w:ascii="Arial" w:cs="Arial" w:eastAsia="Arial" w:hAnsi="Arial"/>
                <w:sz w:val="16"/>
                <w:szCs w:val="16"/>
                <w:color w:val="0000FF"/>
              </w:rPr>
              <w:t>Mine Safety Disclosures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48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7"/>
        </w:trPr>
        <w:tc>
          <w:tcPr>
            <w:tcW w:w="5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1"/>
              </w:rPr>
              <w:t>PART II</w:t>
            </w:r>
          </w:p>
        </w:tc>
        <w:tc>
          <w:tcPr>
            <w:tcW w:w="4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1040" w:type="dxa"/>
            <w:vAlign w:val="bottom"/>
            <w:gridSpan w:val="5"/>
          </w:tcPr>
          <w:p>
            <w:pPr>
              <w:spacing w:after="0"/>
              <w:rPr>
                <w:sz w:val="20"/>
                <w:szCs w:val="20"/>
                <w:color w:val="auto"/>
              </w:rPr>
            </w:pPr>
            <w:r>
              <w:rPr>
                <w:rFonts w:ascii="Arial" w:cs="Arial" w:eastAsia="Arial" w:hAnsi="Arial"/>
                <w:sz w:val="16"/>
                <w:szCs w:val="16"/>
                <w:color w:val="0000FF"/>
              </w:rPr>
              <w:t>Item 5.</w:t>
            </w:r>
          </w:p>
        </w:tc>
        <w:tc>
          <w:tcPr>
            <w:tcW w:w="7840" w:type="dxa"/>
            <w:vAlign w:val="bottom"/>
            <w:gridSpan w:val="21"/>
          </w:tcPr>
          <w:p>
            <w:pPr>
              <w:spacing w:after="0"/>
              <w:rPr>
                <w:sz w:val="20"/>
                <w:szCs w:val="20"/>
                <w:color w:val="auto"/>
              </w:rPr>
            </w:pPr>
            <w:r>
              <w:rPr>
                <w:rFonts w:ascii="Arial" w:cs="Arial" w:eastAsia="Arial" w:hAnsi="Arial"/>
                <w:sz w:val="16"/>
                <w:szCs w:val="16"/>
                <w:color w:val="0000FF"/>
                <w:w w:val="98"/>
              </w:rPr>
              <w:t>Market for Registrant's Common Equity, Related Stockholder Matters and Issuer Purchases of Equity Securities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49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1040" w:type="dxa"/>
            <w:vAlign w:val="bottom"/>
            <w:gridSpan w:val="5"/>
          </w:tcPr>
          <w:p>
            <w:pPr>
              <w:spacing w:after="0"/>
              <w:rPr>
                <w:sz w:val="20"/>
                <w:szCs w:val="20"/>
                <w:color w:val="auto"/>
              </w:rPr>
            </w:pPr>
            <w:r>
              <w:rPr>
                <w:rFonts w:ascii="Arial" w:cs="Arial" w:eastAsia="Arial" w:hAnsi="Arial"/>
                <w:sz w:val="16"/>
                <w:szCs w:val="16"/>
                <w:color w:val="0000FF"/>
              </w:rPr>
              <w:t>Item 6.</w:t>
            </w:r>
          </w:p>
        </w:tc>
        <w:tc>
          <w:tcPr>
            <w:tcW w:w="7840" w:type="dxa"/>
            <w:vAlign w:val="bottom"/>
            <w:gridSpan w:val="21"/>
          </w:tcPr>
          <w:p>
            <w:pPr>
              <w:spacing w:after="0"/>
              <w:rPr>
                <w:sz w:val="20"/>
                <w:szCs w:val="20"/>
                <w:color w:val="auto"/>
              </w:rPr>
            </w:pPr>
            <w:r>
              <w:rPr>
                <w:rFonts w:ascii="Arial" w:cs="Arial" w:eastAsia="Arial" w:hAnsi="Arial"/>
                <w:sz w:val="16"/>
                <w:szCs w:val="16"/>
                <w:color w:val="0000FF"/>
              </w:rPr>
              <w:t>Reserved</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50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1040" w:type="dxa"/>
            <w:vAlign w:val="bottom"/>
            <w:gridSpan w:val="5"/>
          </w:tcPr>
          <w:p>
            <w:pPr>
              <w:spacing w:after="0"/>
              <w:rPr>
                <w:sz w:val="20"/>
                <w:szCs w:val="20"/>
                <w:color w:val="auto"/>
              </w:rPr>
            </w:pPr>
            <w:r>
              <w:rPr>
                <w:rFonts w:ascii="Arial" w:cs="Arial" w:eastAsia="Arial" w:hAnsi="Arial"/>
                <w:sz w:val="16"/>
                <w:szCs w:val="16"/>
                <w:color w:val="0000FF"/>
              </w:rPr>
              <w:t>Item 7.</w:t>
            </w:r>
          </w:p>
        </w:tc>
        <w:tc>
          <w:tcPr>
            <w:tcW w:w="7840" w:type="dxa"/>
            <w:vAlign w:val="bottom"/>
            <w:gridSpan w:val="2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51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7"/>
              </w:rPr>
              <w:t>Item 7A.</w:t>
            </w:r>
          </w:p>
        </w:tc>
        <w:tc>
          <w:tcPr>
            <w:tcW w:w="480" w:type="dxa"/>
            <w:vAlign w:val="bottom"/>
            <w:gridSpan w:val="2"/>
          </w:tcPr>
          <w:p>
            <w:pPr>
              <w:spacing w:after="0"/>
              <w:rPr>
                <w:sz w:val="16"/>
                <w:szCs w:val="16"/>
                <w:color w:val="auto"/>
              </w:rPr>
            </w:pPr>
          </w:p>
        </w:tc>
        <w:tc>
          <w:tcPr>
            <w:tcW w:w="7840" w:type="dxa"/>
            <w:vAlign w:val="bottom"/>
            <w:gridSpan w:val="2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64</w:t>
            </w:r>
          </w:p>
        </w:tc>
      </w:tr>
      <w:tr>
        <w:trPr>
          <w:trHeight w:val="192"/>
        </w:trPr>
        <w:tc>
          <w:tcPr>
            <w:tcW w:w="56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Item 8.</w:t>
            </w:r>
          </w:p>
        </w:tc>
        <w:tc>
          <w:tcPr>
            <w:tcW w:w="480" w:type="dxa"/>
            <w:vAlign w:val="bottom"/>
            <w:gridSpan w:val="2"/>
          </w:tcPr>
          <w:p>
            <w:pPr>
              <w:spacing w:after="0"/>
              <w:rPr>
                <w:sz w:val="16"/>
                <w:szCs w:val="16"/>
                <w:color w:val="auto"/>
              </w:rPr>
            </w:pPr>
          </w:p>
        </w:tc>
        <w:tc>
          <w:tcPr>
            <w:tcW w:w="414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Financial Statements and Supplementary Data</w:t>
            </w:r>
          </w:p>
        </w:tc>
        <w:tc>
          <w:tcPr>
            <w:tcW w:w="3700" w:type="dxa"/>
            <w:vAlign w:val="bottom"/>
            <w:gridSpan w:val="6"/>
          </w:tcPr>
          <w:p>
            <w:pPr>
              <w:spacing w:after="0"/>
              <w:rPr>
                <w:sz w:val="16"/>
                <w:szCs w:val="16"/>
                <w:color w:val="auto"/>
              </w:rPr>
            </w:pPr>
          </w:p>
        </w:tc>
        <w:tc>
          <w:tcPr>
            <w:tcW w:w="2180" w:type="dxa"/>
            <w:vAlign w:val="bottom"/>
            <w:gridSpan w:val="3"/>
          </w:tcPr>
          <w:p>
            <w:pPr>
              <w:spacing w:after="0"/>
              <w:rPr>
                <w:sz w:val="16"/>
                <w:szCs w:val="16"/>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66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2"/>
        </w:trPr>
        <w:tc>
          <w:tcPr>
            <w:tcW w:w="1040" w:type="dxa"/>
            <w:vAlign w:val="bottom"/>
            <w:gridSpan w:val="5"/>
          </w:tcPr>
          <w:p>
            <w:pPr>
              <w:spacing w:after="0"/>
              <w:rPr>
                <w:sz w:val="20"/>
                <w:szCs w:val="20"/>
                <w:color w:val="auto"/>
              </w:rPr>
            </w:pPr>
            <w:r>
              <w:rPr>
                <w:rFonts w:ascii="Arial" w:cs="Arial" w:eastAsia="Arial" w:hAnsi="Arial"/>
                <w:sz w:val="16"/>
                <w:szCs w:val="16"/>
                <w:color w:val="0000FF"/>
              </w:rPr>
              <w:t>Item 9.</w:t>
            </w:r>
          </w:p>
        </w:tc>
        <w:tc>
          <w:tcPr>
            <w:tcW w:w="7840" w:type="dxa"/>
            <w:vAlign w:val="bottom"/>
            <w:gridSpan w:val="21"/>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7"/>
              </w:rPr>
              <w:t>Item 9A.</w:t>
            </w:r>
          </w:p>
        </w:tc>
        <w:tc>
          <w:tcPr>
            <w:tcW w:w="480" w:type="dxa"/>
            <w:vAlign w:val="bottom"/>
            <w:gridSpan w:val="2"/>
          </w:tcPr>
          <w:p>
            <w:pPr>
              <w:spacing w:after="0"/>
              <w:rPr>
                <w:sz w:val="16"/>
                <w:szCs w:val="16"/>
                <w:color w:val="auto"/>
              </w:rPr>
            </w:pPr>
          </w:p>
        </w:tc>
        <w:tc>
          <w:tcPr>
            <w:tcW w:w="1760" w:type="dxa"/>
            <w:vAlign w:val="bottom"/>
            <w:gridSpan w:val="10"/>
          </w:tcPr>
          <w:p>
            <w:pPr>
              <w:spacing w:after="0"/>
              <w:rPr>
                <w:sz w:val="20"/>
                <w:szCs w:val="20"/>
                <w:color w:val="auto"/>
              </w:rPr>
            </w:pPr>
            <w:r>
              <w:rPr>
                <w:rFonts w:ascii="Arial" w:cs="Arial" w:eastAsia="Arial" w:hAnsi="Arial"/>
                <w:sz w:val="16"/>
                <w:szCs w:val="16"/>
                <w:color w:val="0000FF"/>
                <w:w w:val="98"/>
              </w:rPr>
              <w:t>Controls and Procedures</w:t>
            </w:r>
          </w:p>
        </w:tc>
        <w:tc>
          <w:tcPr>
            <w:tcW w:w="6080" w:type="dxa"/>
            <w:vAlign w:val="bottom"/>
            <w:gridSpan w:val="11"/>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100</w:t>
            </w: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7"/>
              </w:rPr>
              <w:t>Item 9B.</w:t>
            </w:r>
          </w:p>
        </w:tc>
        <w:tc>
          <w:tcPr>
            <w:tcW w:w="480" w:type="dxa"/>
            <w:vAlign w:val="bottom"/>
            <w:gridSpan w:val="2"/>
          </w:tcPr>
          <w:p>
            <w:pPr>
              <w:spacing w:after="0"/>
              <w:rPr>
                <w:sz w:val="16"/>
                <w:szCs w:val="16"/>
                <w:color w:val="auto"/>
              </w:rPr>
            </w:pPr>
          </w:p>
        </w:tc>
        <w:tc>
          <w:tcPr>
            <w:tcW w:w="1240" w:type="dxa"/>
            <w:vAlign w:val="bottom"/>
            <w:gridSpan w:val="6"/>
          </w:tcPr>
          <w:p>
            <w:pPr>
              <w:spacing w:after="0"/>
              <w:rPr>
                <w:sz w:val="20"/>
                <w:szCs w:val="20"/>
                <w:color w:val="auto"/>
              </w:rPr>
            </w:pPr>
            <w:r>
              <w:rPr>
                <w:rFonts w:ascii="Arial" w:cs="Arial" w:eastAsia="Arial" w:hAnsi="Arial"/>
                <w:sz w:val="16"/>
                <w:szCs w:val="16"/>
                <w:color w:val="0000FF"/>
                <w:w w:val="97"/>
              </w:rPr>
              <w:t>Other Information</w:t>
            </w:r>
          </w:p>
        </w:tc>
        <w:tc>
          <w:tcPr>
            <w:tcW w:w="520" w:type="dxa"/>
            <w:vAlign w:val="bottom"/>
            <w:gridSpan w:val="4"/>
          </w:tcPr>
          <w:p>
            <w:pPr>
              <w:spacing w:after="0"/>
              <w:rPr>
                <w:sz w:val="16"/>
                <w:szCs w:val="16"/>
                <w:color w:val="auto"/>
              </w:rPr>
            </w:pPr>
          </w:p>
        </w:tc>
        <w:tc>
          <w:tcPr>
            <w:tcW w:w="6080" w:type="dxa"/>
            <w:vAlign w:val="bottom"/>
            <w:gridSpan w:val="11"/>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101</w:t>
            </w: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2"/>
        </w:trPr>
        <w:tc>
          <w:tcPr>
            <w:tcW w:w="620" w:type="dxa"/>
            <w:vAlign w:val="bottom"/>
            <w:gridSpan w:val="4"/>
          </w:tcPr>
          <w:p>
            <w:pPr>
              <w:spacing w:after="0"/>
              <w:rPr>
                <w:sz w:val="20"/>
                <w:szCs w:val="20"/>
                <w:color w:val="auto"/>
              </w:rPr>
            </w:pPr>
            <w:r>
              <w:rPr>
                <w:rFonts w:ascii="Arial" w:cs="Arial" w:eastAsia="Arial" w:hAnsi="Arial"/>
                <w:sz w:val="16"/>
                <w:szCs w:val="16"/>
                <w:color w:val="0000FF"/>
                <w:w w:val="99"/>
              </w:rPr>
              <w:t>Item 9C.</w:t>
            </w:r>
          </w:p>
        </w:tc>
        <w:tc>
          <w:tcPr>
            <w:tcW w:w="420" w:type="dxa"/>
            <w:vAlign w:val="bottom"/>
          </w:tcPr>
          <w:p>
            <w:pPr>
              <w:spacing w:after="0"/>
              <w:rPr>
                <w:sz w:val="18"/>
                <w:szCs w:val="18"/>
                <w:color w:val="auto"/>
              </w:rPr>
            </w:pPr>
          </w:p>
        </w:tc>
        <w:tc>
          <w:tcPr>
            <w:tcW w:w="7840" w:type="dxa"/>
            <w:vAlign w:val="bottom"/>
            <w:gridSpan w:val="21"/>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101</w:t>
            </w:r>
          </w:p>
        </w:tc>
      </w:tr>
      <w:tr>
        <w:trPr>
          <w:trHeight w:val="437"/>
        </w:trPr>
        <w:tc>
          <w:tcPr>
            <w:tcW w:w="620" w:type="dxa"/>
            <w:vAlign w:val="bottom"/>
            <w:tcBorders>
              <w:top w:val="single" w:sz="8" w:color="0000FF"/>
            </w:tcBorders>
            <w:gridSpan w:val="4"/>
          </w:tcPr>
          <w:p>
            <w:pPr>
              <w:spacing w:after="0"/>
              <w:rPr>
                <w:sz w:val="20"/>
                <w:szCs w:val="20"/>
                <w:color w:val="auto"/>
              </w:rPr>
            </w:pPr>
            <w:r>
              <w:rPr>
                <w:rFonts w:ascii="Arial" w:cs="Arial" w:eastAsia="Arial" w:hAnsi="Arial"/>
                <w:sz w:val="16"/>
                <w:szCs w:val="16"/>
                <w:b w:val="1"/>
                <w:bCs w:val="1"/>
                <w:color w:val="0000FF"/>
                <w:w w:val="97"/>
              </w:rPr>
              <w:t>PART III</w:t>
            </w: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2"/>
        </w:trPr>
        <w:tc>
          <w:tcPr>
            <w:tcW w:w="56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w w:val="89"/>
              </w:rPr>
              <w:t>Item 10.</w:t>
            </w:r>
          </w:p>
        </w:tc>
        <w:tc>
          <w:tcPr>
            <w:tcW w:w="480" w:type="dxa"/>
            <w:vAlign w:val="bottom"/>
            <w:gridSpan w:val="2"/>
          </w:tcPr>
          <w:p>
            <w:pPr>
              <w:spacing w:after="0"/>
              <w:rPr>
                <w:sz w:val="16"/>
                <w:szCs w:val="16"/>
                <w:color w:val="auto"/>
              </w:rPr>
            </w:pPr>
          </w:p>
        </w:tc>
        <w:tc>
          <w:tcPr>
            <w:tcW w:w="3980" w:type="dxa"/>
            <w:vAlign w:val="bottom"/>
            <w:gridSpan w:val="14"/>
          </w:tcPr>
          <w:p>
            <w:pPr>
              <w:spacing w:after="0"/>
              <w:rPr>
                <w:sz w:val="20"/>
                <w:szCs w:val="20"/>
                <w:color w:val="auto"/>
              </w:rPr>
            </w:pPr>
            <w:r>
              <w:rPr>
                <w:rFonts w:ascii="Arial" w:cs="Arial" w:eastAsia="Arial" w:hAnsi="Arial"/>
                <w:sz w:val="16"/>
                <w:szCs w:val="16"/>
                <w:color w:val="0000FF"/>
                <w:w w:val="98"/>
              </w:rPr>
              <w:t>Directors, Executive Officers and Corporate Governance</w:t>
            </w:r>
          </w:p>
        </w:tc>
        <w:tc>
          <w:tcPr>
            <w:tcW w:w="3860" w:type="dxa"/>
            <w:vAlign w:val="bottom"/>
            <w:gridSpan w:val="7"/>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102</w:t>
            </w: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9"/>
              </w:rPr>
              <w:t>Item 11.</w:t>
            </w:r>
          </w:p>
        </w:tc>
        <w:tc>
          <w:tcPr>
            <w:tcW w:w="480" w:type="dxa"/>
            <w:vAlign w:val="bottom"/>
            <w:gridSpan w:val="2"/>
          </w:tcPr>
          <w:p>
            <w:pPr>
              <w:spacing w:after="0"/>
              <w:rPr>
                <w:sz w:val="16"/>
                <w:szCs w:val="16"/>
                <w:color w:val="auto"/>
              </w:rPr>
            </w:pPr>
          </w:p>
        </w:tc>
        <w:tc>
          <w:tcPr>
            <w:tcW w:w="3980" w:type="dxa"/>
            <w:vAlign w:val="bottom"/>
            <w:gridSpan w:val="14"/>
          </w:tcPr>
          <w:p>
            <w:pPr>
              <w:spacing w:after="0"/>
              <w:rPr>
                <w:sz w:val="20"/>
                <w:szCs w:val="20"/>
                <w:color w:val="auto"/>
              </w:rPr>
            </w:pPr>
            <w:r>
              <w:rPr>
                <w:rFonts w:ascii="Arial" w:cs="Arial" w:eastAsia="Arial" w:hAnsi="Arial"/>
                <w:sz w:val="16"/>
                <w:szCs w:val="16"/>
                <w:color w:val="0000FF"/>
              </w:rPr>
              <w:t>Executive Compensation</w:t>
            </w:r>
          </w:p>
        </w:tc>
        <w:tc>
          <w:tcPr>
            <w:tcW w:w="3860" w:type="dxa"/>
            <w:vAlign w:val="bottom"/>
            <w:gridSpan w:val="7"/>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102</w:t>
            </w: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9"/>
              </w:rPr>
              <w:t>Item 12.</w:t>
            </w:r>
          </w:p>
        </w:tc>
        <w:tc>
          <w:tcPr>
            <w:tcW w:w="480" w:type="dxa"/>
            <w:vAlign w:val="bottom"/>
            <w:gridSpan w:val="2"/>
          </w:tcPr>
          <w:p>
            <w:pPr>
              <w:spacing w:after="0"/>
              <w:rPr>
                <w:sz w:val="16"/>
                <w:szCs w:val="16"/>
                <w:color w:val="auto"/>
              </w:rPr>
            </w:pPr>
          </w:p>
        </w:tc>
        <w:tc>
          <w:tcPr>
            <w:tcW w:w="7080" w:type="dxa"/>
            <w:vAlign w:val="bottom"/>
            <w:gridSpan w:val="20"/>
          </w:tcPr>
          <w:p>
            <w:pPr>
              <w:spacing w:after="0"/>
              <w:rPr>
                <w:sz w:val="20"/>
                <w:szCs w:val="20"/>
                <w:color w:val="auto"/>
              </w:rPr>
            </w:pPr>
            <w:r>
              <w:rPr>
                <w:rFonts w:ascii="Arial" w:cs="Arial" w:eastAsia="Arial" w:hAnsi="Arial"/>
                <w:sz w:val="16"/>
                <w:szCs w:val="16"/>
                <w:color w:val="0000FF"/>
                <w:w w:val="99"/>
              </w:rPr>
              <w:t>Security Ownership of Certain Beneficial Owners and Management and Related Stockholder Matters</w:t>
            </w:r>
          </w:p>
        </w:tc>
        <w:tc>
          <w:tcPr>
            <w:tcW w:w="76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102</w:t>
            </w: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9"/>
              </w:rPr>
              <w:t>Item 13.</w:t>
            </w:r>
          </w:p>
        </w:tc>
        <w:tc>
          <w:tcPr>
            <w:tcW w:w="480" w:type="dxa"/>
            <w:vAlign w:val="bottom"/>
            <w:gridSpan w:val="2"/>
          </w:tcPr>
          <w:p>
            <w:pPr>
              <w:spacing w:after="0"/>
              <w:rPr>
                <w:sz w:val="16"/>
                <w:szCs w:val="16"/>
                <w:color w:val="auto"/>
              </w:rPr>
            </w:pPr>
          </w:p>
        </w:tc>
        <w:tc>
          <w:tcPr>
            <w:tcW w:w="7080" w:type="dxa"/>
            <w:vAlign w:val="bottom"/>
            <w:gridSpan w:val="20"/>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76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102</w:t>
            </w: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9"/>
              </w:rPr>
              <w:t>Item 14.</w:t>
            </w:r>
          </w:p>
        </w:tc>
        <w:tc>
          <w:tcPr>
            <w:tcW w:w="480" w:type="dxa"/>
            <w:vAlign w:val="bottom"/>
            <w:gridSpan w:val="2"/>
          </w:tcPr>
          <w:p>
            <w:pPr>
              <w:spacing w:after="0"/>
              <w:rPr>
                <w:sz w:val="16"/>
                <w:szCs w:val="16"/>
                <w:color w:val="auto"/>
              </w:rPr>
            </w:pPr>
          </w:p>
        </w:tc>
        <w:tc>
          <w:tcPr>
            <w:tcW w:w="5320" w:type="dxa"/>
            <w:vAlign w:val="bottom"/>
            <w:gridSpan w:val="17"/>
          </w:tcPr>
          <w:p>
            <w:pPr>
              <w:spacing w:after="0"/>
              <w:rPr>
                <w:sz w:val="20"/>
                <w:szCs w:val="20"/>
                <w:color w:val="auto"/>
              </w:rPr>
            </w:pPr>
            <w:r>
              <w:rPr>
                <w:rFonts w:ascii="Arial" w:cs="Arial" w:eastAsia="Arial" w:hAnsi="Arial"/>
                <w:sz w:val="16"/>
                <w:szCs w:val="16"/>
                <w:color w:val="0000FF"/>
              </w:rPr>
              <w:t>Principal Accountant Fees and Services</w:t>
            </w:r>
          </w:p>
        </w:tc>
        <w:tc>
          <w:tcPr>
            <w:tcW w:w="2520" w:type="dxa"/>
            <w:vAlign w:val="bottom"/>
            <w:gridSpan w:val="4"/>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102</w:t>
            </w: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57"/>
        </w:trPr>
        <w:tc>
          <w:tcPr>
            <w:tcW w:w="6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w w:val="94"/>
              </w:rPr>
              <w:t>PART IV</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9"/>
              </w:rPr>
              <w:t>Item 15.</w:t>
            </w:r>
          </w:p>
        </w:tc>
        <w:tc>
          <w:tcPr>
            <w:tcW w:w="480" w:type="dxa"/>
            <w:vAlign w:val="bottom"/>
            <w:gridSpan w:val="2"/>
          </w:tcPr>
          <w:p>
            <w:pPr>
              <w:spacing w:after="0"/>
              <w:rPr>
                <w:sz w:val="16"/>
                <w:szCs w:val="16"/>
                <w:color w:val="auto"/>
              </w:rPr>
            </w:pPr>
          </w:p>
        </w:tc>
        <w:tc>
          <w:tcPr>
            <w:tcW w:w="2800" w:type="dxa"/>
            <w:vAlign w:val="bottom"/>
            <w:gridSpan w:val="12"/>
          </w:tcPr>
          <w:p>
            <w:pPr>
              <w:spacing w:after="0"/>
              <w:rPr>
                <w:sz w:val="20"/>
                <w:szCs w:val="20"/>
                <w:color w:val="auto"/>
              </w:rPr>
            </w:pPr>
            <w:r>
              <w:rPr>
                <w:rFonts w:ascii="Arial" w:cs="Arial" w:eastAsia="Arial" w:hAnsi="Arial"/>
                <w:sz w:val="16"/>
                <w:szCs w:val="16"/>
                <w:color w:val="0000FF"/>
                <w:w w:val="96"/>
              </w:rPr>
              <w:t>Exhibits, Financial Statement Schedules</w:t>
            </w:r>
          </w:p>
        </w:tc>
        <w:tc>
          <w:tcPr>
            <w:tcW w:w="5040" w:type="dxa"/>
            <w:vAlign w:val="bottom"/>
            <w:gridSpan w:val="9"/>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103</w:t>
            </w: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2"/>
        </w:trPr>
        <w:tc>
          <w:tcPr>
            <w:tcW w:w="560" w:type="dxa"/>
            <w:vAlign w:val="bottom"/>
            <w:gridSpan w:val="3"/>
          </w:tcPr>
          <w:p>
            <w:pPr>
              <w:spacing w:after="0"/>
              <w:rPr>
                <w:sz w:val="20"/>
                <w:szCs w:val="20"/>
                <w:color w:val="auto"/>
              </w:rPr>
            </w:pPr>
            <w:r>
              <w:rPr>
                <w:rFonts w:ascii="Arial" w:cs="Arial" w:eastAsia="Arial" w:hAnsi="Arial"/>
                <w:sz w:val="16"/>
                <w:szCs w:val="16"/>
                <w:color w:val="0000FF"/>
                <w:w w:val="89"/>
              </w:rPr>
              <w:t>Item 16.</w:t>
            </w:r>
          </w:p>
        </w:tc>
        <w:tc>
          <w:tcPr>
            <w:tcW w:w="480" w:type="dxa"/>
            <w:vAlign w:val="bottom"/>
            <w:gridSpan w:val="2"/>
          </w:tcPr>
          <w:p>
            <w:pPr>
              <w:spacing w:after="0"/>
              <w:rPr>
                <w:sz w:val="16"/>
                <w:szCs w:val="16"/>
                <w:color w:val="auto"/>
              </w:rPr>
            </w:pPr>
          </w:p>
        </w:tc>
        <w:tc>
          <w:tcPr>
            <w:tcW w:w="1480" w:type="dxa"/>
            <w:vAlign w:val="bottom"/>
            <w:gridSpan w:val="8"/>
          </w:tcPr>
          <w:p>
            <w:pPr>
              <w:spacing w:after="0"/>
              <w:rPr>
                <w:sz w:val="20"/>
                <w:szCs w:val="20"/>
                <w:color w:val="auto"/>
              </w:rPr>
            </w:pPr>
            <w:r>
              <w:rPr>
                <w:rFonts w:ascii="Arial" w:cs="Arial" w:eastAsia="Arial" w:hAnsi="Arial"/>
                <w:sz w:val="16"/>
                <w:szCs w:val="16"/>
                <w:color w:val="0000FF"/>
                <w:w w:val="98"/>
              </w:rPr>
              <w:t>Form 10-K Summary</w:t>
            </w:r>
          </w:p>
        </w:tc>
        <w:tc>
          <w:tcPr>
            <w:tcW w:w="1320" w:type="dxa"/>
            <w:vAlign w:val="bottom"/>
            <w:gridSpan w:val="4"/>
          </w:tcPr>
          <w:p>
            <w:pPr>
              <w:spacing w:after="0"/>
              <w:rPr>
                <w:sz w:val="16"/>
                <w:szCs w:val="16"/>
                <w:color w:val="auto"/>
              </w:rPr>
            </w:pPr>
          </w:p>
        </w:tc>
        <w:tc>
          <w:tcPr>
            <w:tcW w:w="5040" w:type="dxa"/>
            <w:vAlign w:val="bottom"/>
            <w:gridSpan w:val="9"/>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105</w:t>
            </w: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2"/>
        </w:trPr>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Arial" w:cs="Arial" w:eastAsia="Arial" w:hAnsi="Arial"/>
                <w:sz w:val="16"/>
                <w:szCs w:val="16"/>
                <w:color w:val="0000FF"/>
                <w:w w:val="96"/>
              </w:rPr>
              <w:t>Signatures</w:t>
            </w:r>
          </w:p>
        </w:tc>
        <w:tc>
          <w:tcPr>
            <w:tcW w:w="720" w:type="dxa"/>
            <w:vAlign w:val="bottom"/>
            <w:gridSpan w:val="5"/>
          </w:tcPr>
          <w:p>
            <w:pPr>
              <w:spacing w:after="0"/>
              <w:rPr>
                <w:sz w:val="16"/>
                <w:szCs w:val="16"/>
                <w:color w:val="auto"/>
              </w:rPr>
            </w:pPr>
          </w:p>
        </w:tc>
        <w:tc>
          <w:tcPr>
            <w:tcW w:w="6360" w:type="dxa"/>
            <w:vAlign w:val="bottom"/>
            <w:gridSpan w:val="13"/>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6"/>
                <w:szCs w:val="16"/>
                <w:color w:val="0000FF"/>
              </w:rPr>
              <w:t>106</w:t>
            </w:r>
          </w:p>
        </w:tc>
      </w:tr>
      <w:tr>
        <w:trPr>
          <w:trHeight w:val="20"/>
        </w:trPr>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1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or the Securities Act,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28" w:lineRule="exact"/>
        <w:rPr>
          <w:sz w:val="20"/>
          <w:szCs w:val="20"/>
          <w:color w:val="auto"/>
        </w:rPr>
      </w:pPr>
    </w:p>
    <w:p>
      <w:pPr>
        <w:ind w:left="640" w:right="60" w:hanging="316"/>
        <w:spacing w:after="0" w:line="253"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 of global economic trends, competition and geopolitical risks, including evolving impacts from tariffs, sanctions or other trade tensions between the United States and other countries, or disruptions to global markets, cross-border operations, supply chains or workforce availability resulting from events such as a major terrorist attack, war, natural disasters or actual or threatened public health pandemics or other emergencies on our business, results of operations and financial condition, including on our sales and our revenue growth rate;</w:t>
      </w:r>
    </w:p>
    <w:p>
      <w:pPr>
        <w:spacing w:after="0" w:line="22" w:lineRule="exact"/>
        <w:rPr>
          <w:rFonts w:ascii="Arial" w:cs="Arial" w:eastAsia="Arial" w:hAnsi="Arial"/>
          <w:sz w:val="18"/>
          <w:szCs w:val="18"/>
          <w:color w:val="auto"/>
        </w:rPr>
      </w:pPr>
    </w:p>
    <w:p>
      <w:pPr>
        <w:ind w:left="640" w:right="60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threat landscape in the security industry, particularly regarding artificial intelligence, or AI, security and the shift to preemptive security;</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strategies, technological trends, such as AI, and initiatives and opportunities;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58" w:lineRule="exact"/>
        <w:rPr>
          <w:rFonts w:ascii="Arial" w:cs="Arial" w:eastAsia="Arial" w:hAnsi="Arial"/>
          <w:sz w:val="18"/>
          <w:szCs w:val="18"/>
          <w:color w:val="auto"/>
        </w:rPr>
      </w:pPr>
    </w:p>
    <w:p>
      <w:pPr>
        <w:ind w:left="640" w:right="10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release new products and product features, including agentic AI security and orchestration capabilities, and effectively enhance, innovate and scale our enterprise platform and solutions;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and potential acquisitions and integration of complementary businesses and technologies;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problems with the security, integrity, reliability, compatibility and quality of our platform and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58" w:lineRule="exact"/>
        <w:rPr>
          <w:rFonts w:ascii="Arial" w:cs="Arial" w:eastAsia="Arial" w:hAnsi="Arial"/>
          <w:sz w:val="18"/>
          <w:szCs w:val="18"/>
          <w:color w:val="auto"/>
        </w:rPr>
      </w:pPr>
    </w:p>
    <w:p>
      <w:pPr>
        <w:ind w:left="640" w:right="10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21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ind w:right="60" w:firstLine="318"/>
        <w:spacing w:after="0" w:line="253" w:lineRule="auto"/>
        <w:rPr>
          <w:sz w:val="20"/>
          <w:szCs w:val="20"/>
          <w:color w:val="auto"/>
        </w:rPr>
      </w:pPr>
      <w:r>
        <w:rPr>
          <w:rFonts w:ascii="Arial" w:cs="Arial" w:eastAsia="Arial" w:hAnsi="Arial"/>
          <w:sz w:val="18"/>
          <w:szCs w:val="18"/>
          <w:color w:val="auto"/>
        </w:rPr>
        <w:t>Tenable is the leading provider of exposure management solutions. Exposure management is an increasingly critical category that extends foundational vulnerability management capabilities to advance risk assessment and prioritization across the entire attack surface – from IT infrastructure and cloud environments to critical infrastructure and artificial intelligence (AI). Tenable unifies security visibility, insight and action across this attack surface, equipping modern organizations to quickly identify and close the cybersecurity gaps that erode business value, reputation and trust.</w:t>
      </w:r>
    </w:p>
    <w:p>
      <w:pPr>
        <w:spacing w:after="0" w:line="181" w:lineRule="exact"/>
        <w:rPr>
          <w:sz w:val="20"/>
          <w:szCs w:val="20"/>
          <w:color w:val="auto"/>
        </w:rPr>
      </w:pPr>
    </w:p>
    <w:p>
      <w:pPr>
        <w:jc w:val="both"/>
        <w:ind w:right="120" w:firstLine="318"/>
        <w:spacing w:after="0" w:line="260" w:lineRule="auto"/>
        <w:rPr>
          <w:sz w:val="20"/>
          <w:szCs w:val="20"/>
          <w:color w:val="auto"/>
        </w:rPr>
      </w:pPr>
      <w:r>
        <w:rPr>
          <w:rFonts w:ascii="Arial" w:cs="Arial" w:eastAsia="Arial" w:hAnsi="Arial"/>
          <w:sz w:val="18"/>
          <w:szCs w:val="18"/>
          <w:color w:val="auto"/>
        </w:rPr>
        <w:t>Business dynamics continue to shift under pressure of geopolitical tensions, talent shortages, the push for greater automation, unrelenting compliance and regulatory pressures, along with the drive to out-innovate and out-pace competitors. AI is now a constant undercurrent and is recognized as both a business enabler and a cybersecurity risk.</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most organizations, the attack surface has expanded to include:</w:t>
      </w:r>
    </w:p>
    <w:p>
      <w:pPr>
        <w:spacing w:after="0" w:line="111" w:lineRule="exact"/>
        <w:rPr>
          <w:sz w:val="20"/>
          <w:szCs w:val="20"/>
          <w:color w:val="auto"/>
        </w:rPr>
      </w:pPr>
    </w:p>
    <w:p>
      <w:pPr>
        <w:ind w:left="640" w:right="16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and dynamic hybrid and multi-cloud environments, which organizations are rapidly adopting even as they face a shortage of cloud security expertise;</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AI platforms, including agentic AI, the use of which is introducing risk by creating often-invisible security gaps and blind spots;</w:t>
      </w:r>
    </w:p>
    <w:p>
      <w:pPr>
        <w:spacing w:after="0" w:line="58" w:lineRule="exact"/>
        <w:rPr>
          <w:rFonts w:ascii="Arial" w:cs="Arial" w:eastAsia="Arial" w:hAnsi="Arial"/>
          <w:sz w:val="18"/>
          <w:szCs w:val="18"/>
          <w:color w:val="auto"/>
        </w:rPr>
      </w:pPr>
    </w:p>
    <w:p>
      <w:pPr>
        <w:ind w:left="640" w:righ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Human, machine and AI identities, the dramatic rise of which is creating a sense of urgency to improve governance and access controls, and the removal of excessive privileges that can open up attack pathways within an organization;</w:t>
      </w:r>
    </w:p>
    <w:p>
      <w:pPr>
        <w:spacing w:after="0" w:line="4" w:lineRule="exact"/>
        <w:rPr>
          <w:rFonts w:ascii="Arial" w:cs="Arial" w:eastAsia="Arial" w:hAnsi="Arial"/>
          <w:sz w:val="18"/>
          <w:szCs w:val="18"/>
          <w:color w:val="auto"/>
        </w:rPr>
      </w:pPr>
    </w:p>
    <w:p>
      <w:pPr>
        <w:ind w:left="640" w:right="160" w:hanging="316"/>
        <w:spacing w:after="0" w:line="26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assortment of operational technology, or OT, such as industrial control systems, or ICS, and supervisory control and data acquisition, or SCADA systems, which are increasingly at risk due to AI growth velocity — emerging use cases for OT include AI data centers that are being built all around the world;</w:t>
      </w:r>
    </w:p>
    <w:p>
      <w:pPr>
        <w:spacing w:after="0" w:line="16" w:lineRule="exact"/>
        <w:rPr>
          <w:rFonts w:ascii="Arial" w:cs="Arial" w:eastAsia="Arial" w:hAnsi="Arial"/>
          <w:sz w:val="18"/>
          <w:szCs w:val="18"/>
          <w:color w:val="auto"/>
        </w:rPr>
      </w:pPr>
    </w:p>
    <w:p>
      <w:pPr>
        <w:ind w:left="640" w:right="16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 devices, including mobile phones and tablets, internet of things, or IoT, devices and other types of “shadow IT” and "shadow AI" used by employees, often without the knowledge of the IT and security teams;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Virtual machines, microservices, open-source code repositories, containers and other tools used by DevOps teams.</w:t>
      </w:r>
    </w:p>
    <w:p>
      <w:pPr>
        <w:spacing w:after="0" w:line="217"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The complexity of the attack surface is a key driver behind the growing need for exposure management programs. Scattered products and siloed views have left organizations struggling to hold back threats across a fragmented attack surface. Security teams are overwhelmed by the constant influx of data from the array of point solutions they are using to manage cloud assets, interconnected vulnerabilities, web applications, and identity systems. They are also challenged with effectively analyzing all that data to make informed decisions about which exposures represent the greatest risk to the organization.</w:t>
      </w:r>
    </w:p>
    <w:p>
      <w:pPr>
        <w:spacing w:after="0" w:line="181"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Existing point solutions cannot adequately address the central security challenge: a deeply divided approach to seeing and reducing cyber risk. We believe an exposure management program can solve three distinct challenges facing cybersecurity professionals, including chief information security officers, or CISOs, and their organizations:</w:t>
      </w:r>
    </w:p>
    <w:p>
      <w:pPr>
        <w:spacing w:after="0" w:line="69" w:lineRule="exact"/>
        <w:rPr>
          <w:sz w:val="20"/>
          <w:szCs w:val="20"/>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attack surface isn’t siloed, but security programs often are — making organizations ill-prepared to protect against attackers that are traversing from domain to domain (not silo to silo) to find exposures to exploit;</w:t>
      </w:r>
    </w:p>
    <w:p>
      <w:pPr>
        <w:spacing w:after="0" w:line="4" w:lineRule="exact"/>
        <w:rPr>
          <w:rFonts w:ascii="Arial" w:cs="Arial" w:eastAsia="Arial" w:hAnsi="Arial"/>
          <w:sz w:val="18"/>
          <w:szCs w:val="18"/>
          <w:color w:val="auto"/>
        </w:rPr>
      </w:pPr>
    </w:p>
    <w:p>
      <w:pPr>
        <w:ind w:left="640" w:right="7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There’s more data than ever, yet it’s difficult for security professionals to analyze cyber risk context and insights to identify true exposures;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professionals and business leaders lack a common risk language to align and mobilize responses.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exposure management program, underpinned by a technology platform such as our Tenable One Exposure Management Platform, 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Tenable One, can help address these problems. Successfully implemented, an exposure management platform allows organizations to:</w:t>
      </w:r>
    </w:p>
    <w:p>
      <w:pPr>
        <w:spacing w:after="0" w:line="95"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comprehensive visibility across the modern attack surface;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Bring cyber risk context and insights from across the attack surface together as one;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swift action to eradicate priority cyber exposures and reduce business risk.</w:t>
      </w:r>
    </w:p>
    <w:p>
      <w:pPr>
        <w:spacing w:after="0" w:line="217"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To be effective, an exposure management platform must extend beyond traditional vulnerability management, which concentrates on the discovery and remediation of publicly disclosed Common Vulnerabilities and Exposures, or CVEs. The platform must include information about configuration issues, vulnerabilities and attack paths across a spectrum of assets and technologies — including cloud configurations and deployments, identity solutions, such as Active Directory, web applications and AI-related assets and workloads.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Enterprise Platform Offerings</w:t>
      </w:r>
    </w:p>
    <w:p>
      <w:pPr>
        <w:spacing w:after="0" w:line="2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Tenable One is an AI-powered exposure management platform that gives enterprises a single, unified view of risk across all types of assets and attack pathways. The platform combines broad, industry-leading vulnerability coverage, spanning IT assets, cloud resources, containers, web apps, identity systems, third-party connectors and AI-related assets and workloads. Tenable One builds on the speed and breadth of vulnerability coverage from our long history of data from our research team of cybersecurity and data science experts, or Tenable Research, and adds aggregated exposure view analytics, guidance on mitigating attack pathways, centralized asset inventory and patch management that correlates vulnerabilities with remediation actions. It leverages AI, and machine learning, or ML, rapidly analyzing and interpreting vast data sets to pinpoint priority weaknesses and high-risk attack paths, deliver recommendations and automate routine tasks. The platform also supports ingestion and correlation of third-party security and business data, enabling customers to enrich exposure analysis with contextual signals from across their environment.</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Tenable One integrates the following products and tools:</w:t>
      </w:r>
    </w:p>
    <w:p>
      <w:pPr>
        <w:spacing w:after="0" w:line="215" w:lineRule="exact"/>
        <w:rPr>
          <w:sz w:val="20"/>
          <w:szCs w:val="20"/>
          <w:color w:val="auto"/>
        </w:rPr>
      </w:pPr>
    </w:p>
    <w:p>
      <w:pPr>
        <w:ind w:left="640" w:hanging="316"/>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 AI Exposure</w:t>
      </w:r>
      <w:r>
        <w:rPr>
          <w:rFonts w:ascii="Arial" w:cs="Arial" w:eastAsia="Arial" w:hAnsi="Arial"/>
          <w:sz w:val="18"/>
          <w:szCs w:val="18"/>
          <w:color w:val="auto"/>
        </w:rPr>
        <w:t>: Our solution helps organizations identify, assess and reduce security risks associated with the use of artificial</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intelligence technologies. It provides visibility into AI-related assets, data usage and configurations across enterprise environments, allowing users to detect exposure such as sensitive data leakage, insecure configurations and excessive access. It allows organizations to understand and address AI-driven risks before they are exploited, supporting safer adoption of AI.</w:t>
      </w:r>
    </w:p>
    <w:p>
      <w:pPr>
        <w:spacing w:after="0" w:line="70" w:lineRule="exact"/>
        <w:rPr>
          <w:rFonts w:ascii="Arial" w:cs="Arial" w:eastAsia="Arial" w:hAnsi="Arial"/>
          <w:sz w:val="18"/>
          <w:szCs w:val="18"/>
          <w:color w:val="auto"/>
        </w:rPr>
      </w:pPr>
    </w:p>
    <w:p>
      <w:pPr>
        <w:ind w:left="640" w:right="40" w:hanging="316"/>
        <w:spacing w:after="0" w:line="252" w:lineRule="auto"/>
        <w:tabs>
          <w:tab w:leader="none" w:pos="6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Tenable Vulnerability Management</w:t>
      </w:r>
      <w:r>
        <w:rPr>
          <w:rFonts w:ascii="Arial" w:cs="Arial" w:eastAsia="Arial" w:hAnsi="Arial"/>
          <w:sz w:val="18"/>
          <w:szCs w:val="18"/>
          <w:color w:val="auto"/>
        </w:rPr>
        <w:t>: Our cloud-delivered software-as-a-service, or SaaS, vulnerability management offering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with a risk-based view of traditional and modern attack surfaces. Tenable Vulnerability Management empowers organizations to know, expose and close their critical vulnerabilities. The solution is designed to find hidden vulnerabilities with continuous, always-on asset discovery and assessment of known and unknown assets–even highly dynamic cloud or remote workforce assets–in an environment. Tenable Vulnerability Management also identifies which vulnerabilities to fix first with automated prioritization that combines vulnerability data, threat intelligence and data science.</w:t>
      </w:r>
    </w:p>
    <w:p>
      <w:pPr>
        <w:spacing w:after="0" w:line="74" w:lineRule="exact"/>
        <w:rPr>
          <w:rFonts w:ascii="Arial" w:cs="Arial" w:eastAsia="Arial" w:hAnsi="Arial"/>
          <w:sz w:val="18"/>
          <w:szCs w:val="18"/>
          <w:b w:val="1"/>
          <w:bCs w:val="1"/>
          <w:color w:val="auto"/>
        </w:rPr>
      </w:pPr>
    </w:p>
    <w:p>
      <w:pPr>
        <w:ind w:left="640" w:right="380" w:hanging="316"/>
        <w:spacing w:after="0" w:line="267"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Tenable Cloud Security</w:t>
      </w:r>
      <w:r>
        <w:rPr>
          <w:rFonts w:ascii="Arial" w:cs="Arial" w:eastAsia="Arial" w:hAnsi="Arial"/>
          <w:sz w:val="17"/>
          <w:szCs w:val="17"/>
          <w:color w:val="auto"/>
        </w:rPr>
        <w:t>: Our cloud security solution that helps organizations reduce risk by rapidly exposing and closing priority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gaps caused by misconfigurations, risky entitlements and vulnerabilities in one powerful cloud native application protection platform (CNAPP). From development to runtime, Tenable Cloud Security continuously analyzes cloud resources to find the most important risks, spot unknown threats and toxic combinations of security issues and deliver actionable insights within minutes. Our cloud infrastructure entitlement management (CIEM) gives users control over access entitlements so they can eradicate exposures caused by human and service identities in the cloud and achieve least-privilege access to cloud resources and data at scale. Data security posture management (DSPM) and AI security posture management (AI-SPM) capabilities enable users to automatically discover, classify and analyze sensitive data risk and protect AI workloads with flexible, agentless scanning.</w:t>
      </w:r>
    </w:p>
    <w:p>
      <w:pPr>
        <w:spacing w:after="0" w:line="62" w:lineRule="exact"/>
        <w:rPr>
          <w:rFonts w:ascii="Arial" w:cs="Arial" w:eastAsia="Arial" w:hAnsi="Arial"/>
          <w:sz w:val="17"/>
          <w:szCs w:val="17"/>
          <w:color w:val="auto"/>
        </w:rPr>
      </w:pPr>
    </w:p>
    <w:p>
      <w:pPr>
        <w:ind w:left="640" w:right="40" w:hanging="316"/>
        <w:spacing w:after="0" w:line="26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 Identity Exposure</w:t>
      </w:r>
      <w:r>
        <w:rPr>
          <w:rFonts w:ascii="Arial" w:cs="Arial" w:eastAsia="Arial" w:hAnsi="Arial"/>
          <w:sz w:val="18"/>
          <w:szCs w:val="18"/>
          <w:color w:val="auto"/>
        </w:rPr>
        <w:t>: Our solution offers end-to-end protection from identity-based threats by unifying identities across Active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Directory, hybrid and Entra ID. Users can find and fix existing weaknesses before they are exploited and detect and respond to ongoing attacks in real time without the need to deploy agents or use privileged accounts.</w:t>
      </w:r>
    </w:p>
    <w:p>
      <w:pPr>
        <w:spacing w:after="0" w:line="66" w:lineRule="exact"/>
        <w:rPr>
          <w:rFonts w:ascii="Arial" w:cs="Arial" w:eastAsia="Arial" w:hAnsi="Arial"/>
          <w:sz w:val="18"/>
          <w:szCs w:val="18"/>
          <w:color w:val="auto"/>
        </w:rPr>
      </w:pPr>
    </w:p>
    <w:p>
      <w:pPr>
        <w:ind w:left="640" w:right="300" w:hanging="316"/>
        <w:spacing w:after="0" w:line="26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 Web App Scanning</w:t>
      </w:r>
      <w:r>
        <w:rPr>
          <w:rFonts w:ascii="Arial" w:cs="Arial" w:eastAsia="Arial" w:hAnsi="Arial"/>
          <w:sz w:val="18"/>
          <w:szCs w:val="18"/>
          <w:color w:val="auto"/>
        </w:rPr>
        <w:t>: Our easy-to-use, comprehensive and automated Vulnerability Scanning for modern web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allows organizations to quickly configure and manage web app scans, enabling them to identify vulnerabilities and prioritize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120" w:hanging="316"/>
        <w:spacing w:after="0" w:line="261" w:lineRule="auto"/>
        <w:tabs>
          <w:tab w:leader="none" w:pos="6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Tenable Attack Surface Management</w:t>
      </w:r>
      <w:r>
        <w:rPr>
          <w:rFonts w:ascii="Arial" w:cs="Arial" w:eastAsia="Arial" w:hAnsi="Arial"/>
          <w:sz w:val="18"/>
          <w:szCs w:val="18"/>
          <w:color w:val="auto"/>
        </w:rPr>
        <w:t>: Our solution continuously maps the internet to deliver comprehensive visibility into internet-facing assets, even those security teams don't know about, so they can assess the cybersecurity posture of their entire external attack surface for a more complete picture of where they may be exposed.</w:t>
      </w:r>
    </w:p>
    <w:p>
      <w:pPr>
        <w:spacing w:after="0" w:line="66" w:lineRule="exact"/>
        <w:rPr>
          <w:rFonts w:ascii="Arial" w:cs="Arial" w:eastAsia="Arial" w:hAnsi="Arial"/>
          <w:sz w:val="18"/>
          <w:szCs w:val="18"/>
          <w:b w:val="1"/>
          <w:bCs w:val="1"/>
          <w:color w:val="auto"/>
        </w:rPr>
      </w:pPr>
    </w:p>
    <w:p>
      <w:pPr>
        <w:ind w:left="640" w:hanging="316"/>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Tenable Security Center</w:t>
      </w:r>
      <w:r>
        <w:rPr>
          <w:rFonts w:ascii="Arial" w:cs="Arial" w:eastAsia="Arial" w:hAnsi="Arial"/>
          <w:sz w:val="18"/>
          <w:szCs w:val="18"/>
          <w:color w:val="auto"/>
        </w:rPr>
        <w:t>: Our on-premises vulnerability management offering that provides a risk-based view of an organization’s IT,</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and compliance posture so organizations can quickly identify, investigate and prioritize their assets and vulnerabilities based on risk assessment and predictive analytics, and provide insightful remediation guidance.</w:t>
      </w:r>
    </w:p>
    <w:p>
      <w:pPr>
        <w:spacing w:after="0" w:line="66" w:lineRule="exact"/>
        <w:rPr>
          <w:rFonts w:ascii="Arial" w:cs="Arial" w:eastAsia="Arial" w:hAnsi="Arial"/>
          <w:sz w:val="18"/>
          <w:szCs w:val="18"/>
          <w:color w:val="auto"/>
        </w:rPr>
      </w:pPr>
    </w:p>
    <w:p>
      <w:pPr>
        <w:ind w:left="640" w:right="560" w:hanging="316"/>
        <w:spacing w:after="0" w:line="307" w:lineRule="auto"/>
        <w:tabs>
          <w:tab w:leader="none" w:pos="63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Tenable OT Security</w:t>
      </w:r>
      <w:r>
        <w:rPr>
          <w:rFonts w:ascii="Arial" w:cs="Arial" w:eastAsia="Arial" w:hAnsi="Arial"/>
          <w:sz w:val="17"/>
          <w:szCs w:val="17"/>
          <w:color w:val="auto"/>
        </w:rPr>
        <w:t>: Our unified security solution for converged OT/IoT environments provides threat detection, asset tracking,</w:t>
      </w:r>
      <w:r>
        <w:rPr>
          <w:rFonts w:ascii="Arial" w:cs="Arial" w:eastAsia="Arial" w:hAnsi="Arial"/>
          <w:sz w:val="17"/>
          <w:szCs w:val="17"/>
          <w:b w:val="1"/>
          <w:bCs w:val="1"/>
          <w:color w:val="auto"/>
        </w:rPr>
        <w:t xml:space="preserve"> </w:t>
      </w:r>
      <w:r>
        <w:rPr>
          <w:rFonts w:ascii="Arial" w:cs="Arial" w:eastAsia="Arial" w:hAnsi="Arial"/>
          <w:sz w:val="17"/>
          <w:szCs w:val="17"/>
          <w:color w:val="auto"/>
        </w:rPr>
        <w:t>vulnerability management, and configuration control capabilities to protect OT environments, including industrial networks.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Nessus Solutions</w:t>
      </w:r>
    </w:p>
    <w:p>
      <w:pPr>
        <w:spacing w:after="0" w:line="21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Nessus</w:t>
      </w:r>
      <w:r>
        <w:rPr>
          <w:rFonts w:ascii="Arial" w:cs="Arial" w:eastAsia="Arial" w:hAnsi="Arial"/>
          <w:sz w:val="18"/>
          <w:szCs w:val="18"/>
          <w:color w:val="auto"/>
        </w:rPr>
        <w:t xml:space="preserve"> product line is one of the most widely deployed vulnerability assessment solutions in the cybersecurity industry and underpins our enterprise platform. Since the introduction of Nessus in 1998, we have built and nurtured an extensive community of Nessus users. We continue to cultivate knowledge and affinity within this user base, which, when combined with our enterprise customers and Tenable Research, creates powerful network effects in the form of a continuous feedback loop of data and insights. We use these learnings to expand our assessment capabilities and coverage, continually optimize our solutions and inform our product strategy and innovation priorities. We believe these data and insights will also fuel and strengthen our benchmarking capabilities over time.</w:t>
      </w:r>
    </w:p>
    <w:p>
      <w:pPr>
        <w:spacing w:after="0" w:line="180"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b w:val="1"/>
          <w:bCs w:val="1"/>
          <w:color w:val="auto"/>
        </w:rPr>
        <w:t xml:space="preserve">Nessus Expert </w:t>
      </w:r>
      <w:r>
        <w:rPr>
          <w:rFonts w:ascii="Arial" w:cs="Arial" w:eastAsia="Arial" w:hAnsi="Arial"/>
          <w:sz w:val="17"/>
          <w:szCs w:val="17"/>
          <w:color w:val="auto"/>
        </w:rPr>
        <w:t>adds Web App scanning capabilities, Infrastructure as Code, or IaC, scanning along with external attack surface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capabilities to identify all domains and subdomains that make up an organization’s external-facing attack surface. Nessus Expert enables users to programmatically detect cloud infrastructure misconfigurations and vulnerabilities in the design and build phases of the software development lifecycle and continuously discover and inventory an organization's internet-facing assets from an attacker's perspective.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Technology Ecosystem</w:t>
      </w:r>
    </w:p>
    <w:p>
      <w:pPr>
        <w:spacing w:after="0" w:line="219"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We have partnered with market leading technology companies to pioneer the industry’s first exposure management ecosystem to help organizations build resilient cybersecurity programs. Our ecosystem consists of a variety of third-party data import sources integrated into our platform offerings, as well as export of our data out to third-party IT systems. Our technology ecosystem connects disparate solutions and data to automate processes and accelerate an organization’s ability to understand, manage and reduce its cyber risk.</w:t>
      </w:r>
    </w:p>
    <w:p>
      <w:pPr>
        <w:spacing w:after="0" w:line="180" w:lineRule="exact"/>
        <w:rPr>
          <w:sz w:val="20"/>
          <w:szCs w:val="20"/>
          <w:color w:val="auto"/>
        </w:rPr>
      </w:pPr>
    </w:p>
    <w:p>
      <w:pPr>
        <w:ind w:right="360" w:firstLine="318"/>
        <w:spacing w:after="0" w:line="260" w:lineRule="auto"/>
        <w:rPr>
          <w:sz w:val="20"/>
          <w:szCs w:val="20"/>
          <w:color w:val="auto"/>
        </w:rPr>
      </w:pPr>
      <w:r>
        <w:rPr>
          <w:rFonts w:ascii="Arial" w:cs="Arial" w:eastAsia="Arial" w:hAnsi="Arial"/>
          <w:sz w:val="18"/>
          <w:szCs w:val="18"/>
          <w:color w:val="auto"/>
        </w:rPr>
        <w:t>We integrate a variety of third-party data sources, including ticketing, configuration management databases, or CMDBs, and systems management, into our platform to augment our native data collection and help with analysis and remediation prioritization. Furthermore, our data is exported out to enrich third-party IT management and security systems.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Growth Strategy</w:t>
      </w:r>
    </w:p>
    <w:p>
      <w:pPr>
        <w:spacing w:after="0" w:line="219" w:lineRule="exact"/>
        <w:rPr>
          <w:sz w:val="20"/>
          <w:szCs w:val="20"/>
          <w:color w:val="auto"/>
        </w:rPr>
      </w:pPr>
    </w:p>
    <w:p>
      <w:pPr>
        <w:jc w:val="both"/>
        <w:ind w:right="440" w:firstLine="318"/>
        <w:spacing w:after="0" w:line="260" w:lineRule="auto"/>
        <w:rPr>
          <w:sz w:val="20"/>
          <w:szCs w:val="20"/>
          <w:color w:val="auto"/>
        </w:rPr>
      </w:pPr>
      <w:r>
        <w:rPr>
          <w:rFonts w:ascii="Arial" w:cs="Arial" w:eastAsia="Arial" w:hAnsi="Arial"/>
          <w:sz w:val="18"/>
          <w:szCs w:val="18"/>
          <w:color w:val="auto"/>
        </w:rPr>
        <w:t>Our objectives are to expand our market leadership in exposure management and to scale our business by capturing our large market opportunities with Tenable One, our AI-powered platform, while expanding our operating and free cash flow margins. To accomplish these objectives, we intend to:</w:t>
      </w:r>
    </w:p>
    <w:p>
      <w:pPr>
        <w:spacing w:after="0" w:line="69" w:lineRule="exact"/>
        <w:rPr>
          <w:sz w:val="20"/>
          <w:szCs w:val="20"/>
          <w:color w:val="auto"/>
        </w:rPr>
      </w:pPr>
    </w:p>
    <w:p>
      <w:pPr>
        <w:ind w:left="640" w:right="240" w:hanging="316"/>
        <w:spacing w:after="0" w:line="25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enterprise platform customers. </w:t>
      </w:r>
      <w:r>
        <w:rPr>
          <w:rFonts w:ascii="Arial" w:cs="Arial" w:eastAsia="Arial" w:hAnsi="Arial"/>
          <w:sz w:val="18"/>
          <w:szCs w:val="18"/>
          <w:color w:val="auto"/>
        </w:rPr>
        <w:t>We believe there is a substantial opportunity to increase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management platform. We have experienced growth in new enterprise platform customers due to expanded product capabilities and investments in sales and marketing. We intend to continue to aggressively pursue new domestic and international customers by strategically investing in sales and marketing and leveraging our network of channel partnerships around the world.</w:t>
      </w:r>
    </w:p>
    <w:p>
      <w:pPr>
        <w:spacing w:after="0" w:line="74" w:lineRule="exact"/>
        <w:rPr>
          <w:rFonts w:ascii="Arial" w:cs="Arial" w:eastAsia="Arial" w:hAnsi="Arial"/>
          <w:sz w:val="18"/>
          <w:szCs w:val="18"/>
          <w:color w:val="auto"/>
        </w:rPr>
      </w:pPr>
    </w:p>
    <w:p>
      <w:pPr>
        <w:ind w:left="640" w:right="380" w:hanging="316"/>
        <w:spacing w:after="0" w:line="27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Expand within our customer base</w:t>
      </w:r>
      <w:r>
        <w:rPr>
          <w:rFonts w:ascii="Arial" w:cs="Arial" w:eastAsia="Arial" w:hAnsi="Arial"/>
          <w:sz w:val="18"/>
          <w:szCs w:val="18"/>
          <w:color w:val="auto"/>
        </w:rPr>
        <w:t>. We believe we have a significant opportunity with Tenable One and AI Security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with our existing customers by targeting additional teams, business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geographies, pursuing broad enterprise deployments and generally expanding our coverage of their attack surface.</w:t>
      </w:r>
    </w:p>
    <w:p>
      <w:pPr>
        <w:spacing w:after="0" w:line="111" w:lineRule="exact"/>
        <w:rPr>
          <w:sz w:val="20"/>
          <w:szCs w:val="20"/>
          <w:color w:val="auto"/>
        </w:rPr>
      </w:pPr>
    </w:p>
    <w:p>
      <w:pPr>
        <w:ind w:left="640" w:right="60" w:hanging="316"/>
        <w:spacing w:after="0" w:line="260"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technology platform</w:t>
      </w:r>
      <w:r>
        <w:rPr>
          <w:rFonts w:ascii="Arial" w:cs="Arial" w:eastAsia="Arial" w:hAnsi="Arial"/>
          <w:sz w:val="18"/>
          <w:szCs w:val="18"/>
          <w:color w:val="auto"/>
        </w:rPr>
        <w:t>. We intend to innovate to provide our customers with unified visibility, insights and actions in a 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scales with the complexity of the modern attack surface. As we collect and ingest more data from third-party sources, we are also investing in the future of preemptive security, including AI security and remediation.</w:t>
      </w:r>
    </w:p>
    <w:p>
      <w:pPr>
        <w:spacing w:after="0" w:line="69"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Explore acquisition opportunities</w:t>
      </w:r>
      <w:r>
        <w:rPr>
          <w:rFonts w:ascii="Arial" w:cs="Arial" w:eastAsia="Arial" w:hAnsi="Arial"/>
          <w:sz w:val="18"/>
          <w:szCs w:val="18"/>
          <w:color w:val="auto"/>
        </w:rPr>
        <w:t>. We intend to acquire other businesses, technology and/or development personnel that will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enhance the functionality of our platform offerings.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Customers</w:t>
      </w:r>
    </w:p>
    <w:p>
      <w:pPr>
        <w:spacing w:after="0" w:line="219"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We sell and market our enterprise platform offerings through our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175"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Our customers are located in over 170 countries and include organizations of all sizes and span a wide range of industries, including manufacturing, energy and industrials; technology, media and telecommunications; banking, insurance and finance; government, education and non-profit; healthcare; and retail and consumer.</w:t>
      </w:r>
    </w:p>
    <w:p>
      <w:pPr>
        <w:spacing w:after="0" w:line="175" w:lineRule="exact"/>
        <w:rPr>
          <w:sz w:val="20"/>
          <w:szCs w:val="20"/>
          <w:color w:val="auto"/>
        </w:rPr>
      </w:pPr>
    </w:p>
    <w:p>
      <w:pPr>
        <w:ind w:right="400" w:firstLine="318"/>
        <w:spacing w:after="0" w:line="304" w:lineRule="auto"/>
        <w:rPr>
          <w:sz w:val="20"/>
          <w:szCs w:val="20"/>
          <w:color w:val="auto"/>
        </w:rPr>
      </w:pPr>
      <w:r>
        <w:rPr>
          <w:rFonts w:ascii="Arial" w:cs="Arial" w:eastAsia="Arial" w:hAnsi="Arial"/>
          <w:sz w:val="17"/>
          <w:szCs w:val="17"/>
          <w:color w:val="auto"/>
        </w:rPr>
        <w:t>At December 31, 2025, we had over 40,000 customers, including approximately 65% of the Fortune 500 and approximately 50% of the Global 2000 and large government agencies. In 2025, 2024 and 2023, no single customer represented more than 2% of our revenue.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2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sales strategy employs both a direct-touch approach through our sales force and a low-touch approach through sales closed by our channel partners and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w:t>
      </w:r>
    </w:p>
    <w:p>
      <w:pPr>
        <w:spacing w:after="0" w:line="180" w:lineRule="exact"/>
        <w:rPr>
          <w:sz w:val="20"/>
          <w:szCs w:val="20"/>
          <w:color w:val="auto"/>
        </w:rPr>
      </w:pPr>
    </w:p>
    <w:p>
      <w:pPr>
        <w:ind w:right="280" w:firstLine="318"/>
        <w:spacing w:after="0" w:line="304" w:lineRule="auto"/>
        <w:rPr>
          <w:sz w:val="20"/>
          <w:szCs w:val="20"/>
          <w:color w:val="auto"/>
        </w:rPr>
      </w:pPr>
      <w:r>
        <w:rPr>
          <w:rFonts w:ascii="Arial" w:cs="Arial" w:eastAsia="Arial" w:hAnsi="Arial"/>
          <w:sz w:val="17"/>
          <w:szCs w:val="17"/>
          <w:color w:val="auto"/>
        </w:rPr>
        <w:t>We sell to organizations of all sizes across a broad range of industries, with a specific focus on enterprise accounts. Our sales team is divided by customer size and geography, including the Americas; Europe, the Middle East and Africa, or EMEA; and Asia Pacific and Japan.</w:t>
      </w:r>
    </w:p>
    <w:p>
      <w:pPr>
        <w:spacing w:after="0" w:line="141"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17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marketing initiatives cultivate brand awareness and leverage our track record of innovation in exposure management to expand into new markets, such as AI exposure. We are focused on building demand across all segments with a specific emphasis on our enterprise customers and delivering tailored marketing programs for security executives (i.e. CISOs), functional managers, security practitioners, managed service providers and consultants. Our marketing efforts are also designed to establish the Tenable brand as a thought leader and trusted resource of credible educational information and original research. We provide a variety of educational resources for cybersecurity practitioners and leaders, as well as cloud security teams, DevOps teams, OT practitioners and identity and access management practitioners, including a community forum where customers can ask questions of our experts and their peers. We execute marketing programs targeted at new customer acquisition, customer retention and cross-selling and up-selling of products across our platform.</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Research and Development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continue to invest substantial resources in research and development to enhance our platform offerings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20"/>
        <w:spacing w:after="0" w:line="274" w:lineRule="auto"/>
        <w:rPr>
          <w:sz w:val="20"/>
          <w:szCs w:val="20"/>
          <w:color w:val="auto"/>
        </w:rPr>
      </w:pPr>
      <w:r>
        <w:rPr>
          <w:rFonts w:ascii="Arial" w:cs="Arial" w:eastAsia="Arial" w:hAnsi="Arial"/>
          <w:sz w:val="18"/>
          <w:szCs w:val="18"/>
          <w:color w:val="auto"/>
        </w:rPr>
        <w:t>developing new features, functionality, and applications. Our engineering expertise combines extensive security product development experience with individuals who possess expertise in AI, cloud security and user interface design.</w:t>
      </w:r>
    </w:p>
    <w:p>
      <w:pPr>
        <w:spacing w:after="0" w:line="163"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Our Tenable Research team is staffed by cybersecurity, cloud and data science experts who leverage our long history of data and deliver exposure management intelligence, data science insights, alerts and security advisories. Our Tenable Research team has developed AI-based research tools to help improve efficiency and effectiveness in processes such as reverse engineering, code debugging, web app security and visibility into cloud-based tools. Frequent updates from Tenable Research ensure the latest vulnerability checks, zero-day research, and configuration benchmarks are available within our exposure management solutions.</w:t>
      </w:r>
    </w:p>
    <w:p>
      <w:pPr>
        <w:spacing w:after="0" w:line="181" w:lineRule="exact"/>
        <w:rPr>
          <w:sz w:val="20"/>
          <w:szCs w:val="20"/>
          <w:color w:val="auto"/>
        </w:rPr>
      </w:pPr>
    </w:p>
    <w:p>
      <w:pPr>
        <w:ind w:right="660" w:firstLine="318"/>
        <w:spacing w:after="0" w:line="274" w:lineRule="auto"/>
        <w:rPr>
          <w:sz w:val="20"/>
          <w:szCs w:val="20"/>
          <w:color w:val="auto"/>
        </w:rPr>
      </w:pPr>
      <w:r>
        <w:rPr>
          <w:rFonts w:ascii="Arial" w:cs="Arial" w:eastAsia="Arial" w:hAnsi="Arial"/>
          <w:sz w:val="18"/>
          <w:szCs w:val="18"/>
          <w:color w:val="auto"/>
        </w:rPr>
        <w:t>We believe ongoing and timely development of new products and features is imperative to maintaining our competitive position. We continue to invest in development of our solutions across our global research and development team.</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Backlog</w:t>
      </w:r>
    </w:p>
    <w:p>
      <w:pPr>
        <w:spacing w:after="0" w:line="219" w:lineRule="exact"/>
        <w:rPr>
          <w:sz w:val="20"/>
          <w:szCs w:val="20"/>
          <w:color w:val="auto"/>
        </w:rPr>
      </w:pPr>
    </w:p>
    <w:p>
      <w:pPr>
        <w:ind w:right="140" w:firstLine="318"/>
        <w:spacing w:after="0" w:line="282" w:lineRule="auto"/>
        <w:rPr>
          <w:sz w:val="20"/>
          <w:szCs w:val="20"/>
          <w:color w:val="auto"/>
        </w:rPr>
      </w:pPr>
      <w:r>
        <w:rPr>
          <w:rFonts w:ascii="Arial" w:cs="Arial" w:eastAsia="Arial" w:hAnsi="Arial"/>
          <w:sz w:val="17"/>
          <w:szCs w:val="17"/>
          <w:color w:val="auto"/>
        </w:rPr>
        <w:t>We define backlog as contractually committed orders to be invoiced under our existing agreements that are not included in deferred revenue on our consolidated balance sheets. We expect the amount of backlog to change from period to period due to the timing of billings for our solutions and professional services. At December 31, 2025 and 2024, we had backlog of $159.9 million and $33.2 million, respectively.</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219"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vulnerability assessment capabilities, including CrowdStrike; public cloud vendors and other companies, such as Palo Alto Networks and Wiz, that offer solutions for cloud security (private, public and hybrid cloud); and providers of point solutions that compete with some of the features present in our solutions. Many organizations also choose to build their own solutions in-house, often using open-source code rather than purchasing external solutions, and we compete against these internally-developed efforts as well.</w:t>
      </w:r>
    </w:p>
    <w:p>
      <w:pPr>
        <w:spacing w:after="0" w:line="190" w:lineRule="exact"/>
        <w:rPr>
          <w:sz w:val="20"/>
          <w:szCs w:val="20"/>
          <w:color w:val="auto"/>
        </w:rPr>
      </w:pPr>
    </w:p>
    <w:p>
      <w:pPr>
        <w:ind w:right="160" w:firstLine="318"/>
        <w:spacing w:after="0" w:line="249" w:lineRule="auto"/>
        <w:rPr>
          <w:sz w:val="20"/>
          <w:szCs w:val="20"/>
          <w:color w:val="auto"/>
        </w:rPr>
      </w:pPr>
      <w:r>
        <w:rPr>
          <w:rFonts w:ascii="Arial" w:cs="Arial" w:eastAsia="Arial" w:hAnsi="Arial"/>
          <w:sz w:val="18"/>
          <w:szCs w:val="18"/>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Intellectual Property</w:t>
      </w:r>
    </w:p>
    <w:p>
      <w:pPr>
        <w:spacing w:after="0" w:line="219" w:lineRule="exact"/>
        <w:rPr>
          <w:sz w:val="20"/>
          <w:szCs w:val="20"/>
          <w:color w:val="auto"/>
        </w:rPr>
      </w:pPr>
    </w:p>
    <w:p>
      <w:pPr>
        <w:jc w:val="both"/>
        <w:ind w:right="360" w:firstLine="318"/>
        <w:spacing w:after="0" w:line="260"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175"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At December 31, 2025, we had 53 issued patents and 22 patent applications pending in the United States. Our issued patents expire between 2027 and 2044 and cover our network scanning, monitoring and analysis technologies and additional features of our platform offerings. At December 31, 2025, we had 13 registered trademarks in the United States. We view our copyrights, trade secrets and know-how as a significant component of our intellectual property assets.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also license certain software from third parties for integration into our solutions, including open source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60"/>
        <w:spacing w:after="0" w:line="274" w:lineRule="auto"/>
        <w:rPr>
          <w:sz w:val="20"/>
          <w:szCs w:val="20"/>
          <w:color w:val="auto"/>
        </w:rPr>
      </w:pPr>
      <w:r>
        <w:rPr>
          <w:rFonts w:ascii="Arial" w:cs="Arial" w:eastAsia="Arial" w:hAnsi="Arial"/>
          <w:sz w:val="18"/>
          <w:szCs w:val="18"/>
          <w:color w:val="auto"/>
        </w:rPr>
        <w:t>and other software available on commercially reasonable terms. We cannot ensure that such third parties will maintain such software or continue to make it available.</w:t>
      </w:r>
    </w:p>
    <w:p>
      <w:pPr>
        <w:spacing w:after="0" w:line="163" w:lineRule="exact"/>
        <w:rPr>
          <w:sz w:val="20"/>
          <w:szCs w:val="20"/>
          <w:color w:val="auto"/>
        </w:rPr>
      </w:pPr>
    </w:p>
    <w:p>
      <w:pPr>
        <w:ind w:right="140" w:firstLine="318"/>
        <w:spacing w:after="0" w:line="269" w:lineRule="auto"/>
        <w:rPr>
          <w:sz w:val="20"/>
          <w:szCs w:val="20"/>
          <w:color w:val="auto"/>
        </w:rPr>
      </w:pPr>
      <w:r>
        <w:rPr>
          <w:rFonts w:ascii="Arial" w:cs="Arial" w:eastAsia="Arial" w:hAnsi="Arial"/>
          <w:sz w:val="17"/>
          <w:szCs w:val="17"/>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our software and technology. In addition, we intend to continue to expand our international operations, and effective patent, copyright, trademark and trade secret protection may not be available or may be limited in foreign countries.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Government Regulation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Various federal, state and foreign legislative and regulatory bodies have legislation pending that could affect our business.</w:t>
      </w:r>
    </w:p>
    <w:p>
      <w:pPr>
        <w:spacing w:after="0" w:line="21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In the ordinary course of our business, we process personal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as amended by the California Privacy Rights Act of 2020, or, collectively, the CCPA, the Colorado Privacy Act, Virginia’s Consumer Data Protection Act, the Connecticut Privacy Act, the Utah Consumer Privacy Act and similar U.S. state comprehensive privacy laws, the European Union’s General Data Protection Regulation 2016/679, or EU GDPR, the EU GDPR as it forms part of the United Kingdom law by virtue of section 3 of the European Union (Withdrawal) Act of 2018, or UK GDPR, and the ePrivacy Directive.</w:t>
      </w:r>
    </w:p>
    <w:p>
      <w:pPr>
        <w:spacing w:after="0" w:line="174"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These laws prohibit or restrict the export of our products and services to certain countries, regions, governments, entities or persons subject to trade restrictions. For more information on the potential impacts of government regulations affecting our business, see Risk Factors included under Part I, Item 1A.</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w:t>
      </w:r>
    </w:p>
    <w:p>
      <w:pPr>
        <w:spacing w:after="0" w:line="219" w:lineRule="exact"/>
        <w:rPr>
          <w:sz w:val="20"/>
          <w:szCs w:val="20"/>
          <w:color w:val="auto"/>
        </w:rPr>
      </w:pPr>
    </w:p>
    <w:p>
      <w:pPr>
        <w:ind w:right="280" w:firstLine="318"/>
        <w:spacing w:after="0" w:line="255" w:lineRule="auto"/>
        <w:rPr>
          <w:sz w:val="20"/>
          <w:szCs w:val="20"/>
          <w:color w:val="auto"/>
        </w:rPr>
      </w:pPr>
      <w:r>
        <w:rPr>
          <w:rFonts w:ascii="Arial" w:cs="Arial" w:eastAsia="Arial" w:hAnsi="Arial"/>
          <w:sz w:val="18"/>
          <w:szCs w:val="18"/>
          <w:color w:val="auto"/>
        </w:rPr>
        <w:t>At December 31, 2025, we had 1,995 employees, including 949 employees located outside of the United States. None of our U.S. employees are represented by a labor union or covered by a collective bargaining agreement. Certain international employees are subject to collective bargaining agreements in connection with local labor laws. We have not experienced any work stoppages, and we consider our relations with our employees to be good.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uphold a core set of values for our entire global workforce:</w:t>
      </w:r>
    </w:p>
    <w:p>
      <w:pPr>
        <w:spacing w:after="0" w:line="111" w:lineRule="exact"/>
        <w:rPr>
          <w:sz w:val="20"/>
          <w:szCs w:val="20"/>
          <w:color w:val="auto"/>
        </w:rPr>
      </w:pPr>
    </w:p>
    <w:p>
      <w:pPr>
        <w:ind w:left="640" w:right="300" w:hanging="316"/>
        <w:spacing w:after="0" w:line="27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One Tenable: </w:t>
      </w:r>
      <w:r>
        <w:rPr>
          <w:rFonts w:ascii="Arial" w:cs="Arial" w:eastAsia="Arial" w:hAnsi="Arial"/>
          <w:sz w:val="18"/>
          <w:szCs w:val="18"/>
          <w:color w:val="auto"/>
        </w:rPr>
        <w:t>We work together and we win together. We are part of one Tenable team - employees, customers, partners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stakeholders.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Results: </w:t>
      </w:r>
      <w:r>
        <w:rPr>
          <w:rFonts w:ascii="Arial" w:cs="Arial" w:eastAsia="Arial" w:hAnsi="Arial"/>
          <w:sz w:val="18"/>
          <w:szCs w:val="18"/>
          <w:color w:val="auto"/>
        </w:rPr>
        <w:t>We set high goals, take bold risks, measure honestly and deliver results that exceed expectations.</w:t>
      </w:r>
    </w:p>
    <w:p>
      <w:pPr>
        <w:spacing w:after="0" w:line="58"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Care: </w:t>
      </w:r>
      <w:r>
        <w:rPr>
          <w:rFonts w:ascii="Arial" w:cs="Arial" w:eastAsia="Arial" w:hAnsi="Arial"/>
          <w:sz w:val="18"/>
          <w:szCs w:val="18"/>
          <w:color w:val="auto"/>
        </w:rPr>
        <w:t>We are committed to our work, our customers, our colleagues and our communities. We speak candidly and always do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thing.</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What We Do Matters: </w:t>
      </w:r>
      <w:r>
        <w:rPr>
          <w:rFonts w:ascii="Arial" w:cs="Arial" w:eastAsia="Arial" w:hAnsi="Arial"/>
          <w:sz w:val="18"/>
          <w:szCs w:val="18"/>
          <w:color w:val="auto"/>
        </w:rPr>
        <w:t>The work that we do makes a difference in this world.</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key human capital objectives are to attract, retain, engage, reward and develop our highly-talented existing and future employees, while fostering a culture conducive to achieving exceptional business results. We strive to be a career destination where employees from all backgrounds feel welcome, are treated with fairness and respect, are empowered to make a difference, and have the opportunity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Benefits and Talent Development</w:t>
      </w:r>
    </w:p>
    <w:p>
      <w:pPr>
        <w:spacing w:after="0" w:line="217"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We provide robust compensation and benefits packages to attract and retain our employees. We incentivize our employees by aligning a portion of their compensation with the overall success of our business. In addition to base salary, our total rewards packages include annual bonuses, equity awards, an employee stock purchase plan, retirement plans, and health and wellness benefits. Equity awards of restricted stock units that vest over time are granted to new hires and to most employees on an annual basis. Eligible employees can participate in our employee stock purchase plan, in which employees may contribute a percentage of their compensation to purchase shares of our common stock at a discount. Our health and wellness benefits include medical and life insurance, paid time off, family leave, and employee assistance programs. We are committed to a structured hybrid workplace strategy which both allows flexibility and recognizes the value of in-person collaboration and community.</w:t>
      </w:r>
    </w:p>
    <w:p>
      <w:pPr>
        <w:spacing w:after="0" w:line="190" w:lineRule="exact"/>
        <w:rPr>
          <w:sz w:val="20"/>
          <w:szCs w:val="20"/>
          <w:color w:val="auto"/>
        </w:rPr>
      </w:pPr>
    </w:p>
    <w:p>
      <w:pPr>
        <w:ind w:right="460" w:firstLine="318"/>
        <w:spacing w:after="0" w:line="260" w:lineRule="auto"/>
        <w:rPr>
          <w:sz w:val="20"/>
          <w:szCs w:val="20"/>
          <w:color w:val="auto"/>
        </w:rPr>
      </w:pPr>
      <w:r>
        <w:rPr>
          <w:rFonts w:ascii="Arial" w:cs="Arial" w:eastAsia="Arial" w:hAnsi="Arial"/>
          <w:sz w:val="18"/>
          <w:szCs w:val="18"/>
          <w:color w:val="auto"/>
        </w:rPr>
        <w:t>We promote and support employee development and organizational effectiveness by providing high-quality learning and development programs as well as tuition assistance programs. These programs are designed to meet individual, team and organizational needs and objectives, enabling our workforce to grow professionally and increase their impact to the business.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Engagement and Inclusion</w:t>
      </w:r>
    </w:p>
    <w:p>
      <w:pPr>
        <w:spacing w:after="0" w:line="217" w:lineRule="exact"/>
        <w:rPr>
          <w:sz w:val="20"/>
          <w:szCs w:val="20"/>
          <w:color w:val="auto"/>
        </w:rPr>
      </w:pPr>
    </w:p>
    <w:p>
      <w:pPr>
        <w:ind w:right="440" w:firstLine="318"/>
        <w:spacing w:after="0" w:line="274" w:lineRule="auto"/>
        <w:rPr>
          <w:sz w:val="20"/>
          <w:szCs w:val="20"/>
          <w:color w:val="auto"/>
        </w:rPr>
      </w:pPr>
      <w:r>
        <w:rPr>
          <w:rFonts w:ascii="Arial" w:cs="Arial" w:eastAsia="Arial" w:hAnsi="Arial"/>
          <w:sz w:val="18"/>
          <w:szCs w:val="18"/>
          <w:color w:val="auto"/>
        </w:rPr>
        <w:t>Engagement and inclusion at Tenable is a catalyst for cultivating a workplace where every individual's unique strengths contribute to a culture of innovation, belonging and community impact.</w:t>
      </w:r>
    </w:p>
    <w:p>
      <w:pPr>
        <w:spacing w:after="0" w:line="163" w:lineRule="exact"/>
        <w:rPr>
          <w:sz w:val="20"/>
          <w:szCs w:val="20"/>
          <w:color w:val="auto"/>
        </w:rPr>
      </w:pPr>
    </w:p>
    <w:p>
      <w:pPr>
        <w:ind w:right="440" w:firstLine="318"/>
        <w:spacing w:after="0" w:line="253" w:lineRule="auto"/>
        <w:rPr>
          <w:sz w:val="20"/>
          <w:szCs w:val="20"/>
          <w:color w:val="auto"/>
        </w:rPr>
      </w:pPr>
      <w:r>
        <w:rPr>
          <w:rFonts w:ascii="Arial" w:cs="Arial" w:eastAsia="Arial" w:hAnsi="Arial"/>
          <w:sz w:val="18"/>
          <w:szCs w:val="18"/>
          <w:color w:val="auto"/>
        </w:rPr>
        <w:t>Our engagement and inclusion mission aligns all initiatives to our Workforce, Workplace and Community pillars to enhance our overall employee value proposition and propel our success. It emphasizes that an inclusive culture fosters a diversity of opinions, employee engagement, fuels innovation and yields outstanding business results. We strive to be a career destination where employees from all backgrounds, regardless of race, gender, ethnicity, sexual orientation or disability, can do their best work. Our engagement and inclusion mission pillars include:</w:t>
      </w:r>
    </w:p>
    <w:p>
      <w:pPr>
        <w:spacing w:after="0" w:line="75" w:lineRule="exact"/>
        <w:rPr>
          <w:sz w:val="20"/>
          <w:szCs w:val="20"/>
          <w:color w:val="auto"/>
        </w:rPr>
      </w:pPr>
    </w:p>
    <w:p>
      <w:pPr>
        <w:ind w:left="640" w:right="940" w:hanging="316"/>
        <w:spacing w:after="0" w:line="27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w:t>
      </w:r>
      <w:r>
        <w:rPr>
          <w:rFonts w:ascii="Arial" w:cs="Arial" w:eastAsia="Arial" w:hAnsi="Arial"/>
          <w:sz w:val="18"/>
          <w:szCs w:val="18"/>
          <w:color w:val="auto"/>
        </w:rPr>
        <w:t>Attract, retain, and develop top talent through partnerships with external organizations, employer branding,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and development opportunities for all employees.</w:t>
      </w:r>
    </w:p>
    <w:p>
      <w:pPr>
        <w:spacing w:after="0" w:line="4"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Workplace: </w:t>
      </w:r>
      <w:r>
        <w:rPr>
          <w:rFonts w:ascii="Arial" w:cs="Arial" w:eastAsia="Arial" w:hAnsi="Arial"/>
          <w:sz w:val="18"/>
          <w:szCs w:val="18"/>
          <w:color w:val="auto"/>
        </w:rPr>
        <w:t>Cultivate an inclusive, high-performance workplace where all employees feel they belong and are given the support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 to thrive.</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Community: </w:t>
      </w:r>
      <w:r>
        <w:rPr>
          <w:rFonts w:ascii="Arial" w:cs="Arial" w:eastAsia="Arial" w:hAnsi="Arial"/>
          <w:sz w:val="18"/>
          <w:szCs w:val="18"/>
          <w:color w:val="auto"/>
        </w:rPr>
        <w:t>Increase our commitment to supporting the next generation of STEM talent.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Environmental Stewardship</w:t>
      </w:r>
    </w:p>
    <w:p>
      <w:pPr>
        <w:spacing w:after="0" w:line="217" w:lineRule="exact"/>
        <w:rPr>
          <w:sz w:val="20"/>
          <w:szCs w:val="20"/>
          <w:color w:val="auto"/>
        </w:rPr>
      </w:pPr>
    </w:p>
    <w:p>
      <w:pPr>
        <w:ind w:right="540" w:firstLine="318"/>
        <w:spacing w:after="0" w:line="260" w:lineRule="auto"/>
        <w:rPr>
          <w:sz w:val="20"/>
          <w:szCs w:val="20"/>
          <w:color w:val="auto"/>
        </w:rPr>
      </w:pPr>
      <w:r>
        <w:rPr>
          <w:rFonts w:ascii="Arial" w:cs="Arial" w:eastAsia="Arial" w:hAnsi="Arial"/>
          <w:sz w:val="18"/>
          <w:szCs w:val="18"/>
          <w:color w:val="auto"/>
        </w:rPr>
        <w:t>We care deeply about the places where we live and work. Our Board and management team recognize that we have a role to play in environmental stewardship. We believe that environmentally responsible operating practices are important to generating value for our stockholders, being a good partner with our customers and being a good employer to our employees.</w:t>
      </w:r>
    </w:p>
    <w:p>
      <w:pPr>
        <w:spacing w:after="0" w:line="175"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Our energy consumption and usage within data centers is an important component of our day-to-day operations of our business. We outsource our data center needs to Amazon Web Services, or AWS. AWS, in addition to carefully choosing data center locations to mitigate environmental risk, has a long-term commitment to use 100% renewable energy. Aside from data center needs, greenhouse gas emissions and water and energy usage are not material factors in the day-to-day operations of our business. However, we believe that we can still play a part through environmentally sound practices.</w:t>
      </w:r>
    </w:p>
    <w:p>
      <w:pPr>
        <w:spacing w:after="0" w:line="181" w:lineRule="exact"/>
        <w:rPr>
          <w:sz w:val="20"/>
          <w:szCs w:val="20"/>
          <w:color w:val="auto"/>
        </w:rPr>
      </w:pPr>
    </w:p>
    <w:p>
      <w:pPr>
        <w:ind w:right="920" w:firstLine="318"/>
        <w:spacing w:after="0" w:line="274" w:lineRule="auto"/>
        <w:rPr>
          <w:sz w:val="20"/>
          <w:szCs w:val="20"/>
          <w:color w:val="auto"/>
        </w:rPr>
      </w:pPr>
      <w:r>
        <w:rPr>
          <w:rFonts w:ascii="Arial" w:cs="Arial" w:eastAsia="Arial" w:hAnsi="Arial"/>
          <w:sz w:val="18"/>
          <w:szCs w:val="18"/>
          <w:color w:val="auto"/>
        </w:rPr>
        <w:t>Tenable headquarters is a LEED Certified Gold for Core Construction. In addition, we have taken the following actions to enable environmental stewardship:</w:t>
      </w:r>
    </w:p>
    <w:p>
      <w:pPr>
        <w:spacing w:after="0" w:line="4" w:lineRule="exact"/>
        <w:rPr>
          <w:sz w:val="20"/>
          <w:szCs w:val="20"/>
          <w:color w:val="auto"/>
        </w:rPr>
      </w:pPr>
    </w:p>
    <w:p>
      <w:pPr>
        <w:ind w:left="440" w:hanging="1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Implemented recycling in our offices;</w:t>
      </w:r>
    </w:p>
    <w:p>
      <w:pPr>
        <w:spacing w:after="0" w:line="58" w:lineRule="exact"/>
        <w:rPr>
          <w:rFonts w:ascii="Arial" w:cs="Arial" w:eastAsia="Arial" w:hAnsi="Arial"/>
          <w:sz w:val="18"/>
          <w:szCs w:val="18"/>
          <w:color w:val="auto"/>
        </w:rPr>
      </w:pPr>
    </w:p>
    <w:p>
      <w:pPr>
        <w:ind w:left="440" w:hanging="1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 biodegradable to-go boxes to reduce food waste;</w:t>
      </w:r>
    </w:p>
    <w:p>
      <w:pPr>
        <w:spacing w:after="0" w:line="58" w:lineRule="exact"/>
        <w:rPr>
          <w:rFonts w:ascii="Arial" w:cs="Arial" w:eastAsia="Arial" w:hAnsi="Arial"/>
          <w:sz w:val="18"/>
          <w:szCs w:val="18"/>
          <w:color w:val="auto"/>
        </w:rPr>
      </w:pPr>
    </w:p>
    <w:p>
      <w:pPr>
        <w:ind w:left="440" w:hanging="1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a strict policy for disposing of hardware; and</w:t>
      </w:r>
    </w:p>
    <w:p>
      <w:pPr>
        <w:spacing w:after="0" w:line="58" w:lineRule="exact"/>
        <w:rPr>
          <w:rFonts w:ascii="Arial" w:cs="Arial" w:eastAsia="Arial" w:hAnsi="Arial"/>
          <w:sz w:val="18"/>
          <w:szCs w:val="18"/>
          <w:color w:val="auto"/>
        </w:rPr>
      </w:pPr>
    </w:p>
    <w:p>
      <w:pPr>
        <w:ind w:left="440" w:hanging="1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a travel portal that provides detail on our carbon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Tenable and our employees have donated time and money to important environmental causes, such as healthy waterways and other clean-up efforts, recycling, carbon footprint mitigation and protection of threatened wildlife.</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Financial Information and Segments</w:t>
      </w:r>
    </w:p>
    <w:p>
      <w:pPr>
        <w:spacing w:after="0" w:line="219" w:lineRule="exact"/>
        <w:rPr>
          <w:sz w:val="20"/>
          <w:szCs w:val="20"/>
          <w:color w:val="auto"/>
        </w:rPr>
      </w:pPr>
    </w:p>
    <w:p>
      <w:pPr>
        <w:ind w:right="660" w:firstLine="318"/>
        <w:spacing w:after="0" w:line="27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to our consolidated financial statements in this Annual Report on Form 10-K for segment and geographical information.</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219" w:lineRule="exact"/>
        <w:rPr>
          <w:sz w:val="20"/>
          <w:szCs w:val="20"/>
          <w:color w:val="auto"/>
        </w:rPr>
      </w:pPr>
    </w:p>
    <w:p>
      <w:pPr>
        <w:jc w:val="both"/>
        <w:ind w:right="140" w:firstLine="318"/>
        <w:spacing w:after="0" w:line="260" w:lineRule="auto"/>
        <w:rPr>
          <w:sz w:val="20"/>
          <w:szCs w:val="20"/>
          <w:color w:val="auto"/>
        </w:rPr>
      </w:pPr>
      <w:r>
        <w:rPr>
          <w:rFonts w:ascii="Arial" w:cs="Arial" w:eastAsia="Arial" w:hAnsi="Arial"/>
          <w:sz w:val="18"/>
          <w:szCs w:val="18"/>
          <w:color w:val="auto"/>
        </w:rPr>
        <w:t>Tenable Network Security, Inc., our predecessor, was incorporated under the laws of the State of Delaware in 2002. Tenable Holdings, Inc. was incorporated in Delaware in October 2015. In November 2015, Tenable Network Security, Inc. was merged into a wholly owned subsidiary and in 2017 was renamed as Tenable, Inc.</w:t>
      </w:r>
    </w:p>
    <w:p>
      <w:pPr>
        <w:spacing w:after="0" w:line="175"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principal executive offices are located at 6100 Merriweather Drive, Columbia, Maryland 21044.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180"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“Tenable,” “Nessus,”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 ® or TM symbols.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Available Information</w:t>
      </w:r>
    </w:p>
    <w:p>
      <w:pPr>
        <w:spacing w:after="0" w:line="219"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181"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(https://investors.tenable.com), our filings with the SEC, our website, webcasts, press releases, and conference calls. We use these mediums, including our website, to communicate with investors and the general public about our company, our products, and other issues, and for complying with our disclosure obligations under Regulation FD. It is possible that the information that we make available on our website may be deemed to be material information. We therefore encourage investors and others interested in our company to review the information that we make available on our website, in addition to following our SEC filings, our webcasts, press releases, and conference calls. The information we post through these channels is not a part of this Annual Report on Form 10-K. These channels may be updated from time to time on our investor relations website. The contents of any website referred to in this Form 10-K are not intended to be incorporated into this Annual Report on Form 10-K or in any other report or document we file with the SEC.</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9"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19"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57"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maintain profitability in the future.</w:t>
      </w:r>
    </w:p>
    <w:p>
      <w:pPr>
        <w:spacing w:after="0" w:line="58" w:lineRule="exact"/>
        <w:rPr>
          <w:rFonts w:ascii="Arial" w:cs="Arial" w:eastAsia="Arial" w:hAnsi="Arial"/>
          <w:sz w:val="18"/>
          <w:szCs w:val="18"/>
          <w:color w:val="auto"/>
        </w:rPr>
      </w:pPr>
    </w:p>
    <w:p>
      <w:pPr>
        <w:ind w:left="640" w:right="48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could be materially adversely affected by global economic, political and geopolitical tensions.</w:t>
      </w:r>
    </w:p>
    <w:p>
      <w:pPr>
        <w:spacing w:after="0" w:line="4"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offer solutions that address the dynamic cybersecurity landscape, we may not remain competitive.</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58"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26" w:lineRule="exact"/>
        <w:rPr>
          <w:rFonts w:ascii="Arial" w:cs="Arial" w:eastAsia="Arial" w:hAnsi="Arial"/>
          <w:sz w:val="18"/>
          <w:szCs w:val="18"/>
          <w:color w:val="auto"/>
        </w:rPr>
      </w:pPr>
    </w:p>
    <w:p>
      <w:pPr>
        <w:ind w:left="640" w:right="3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incorporated and may in the future further incorporate generative and other types of AI processes, algorithms, and technologies into certain of our products and services. This technology is new and developing, and may generate output that is inaccurate or flawed or may not achieve market acceptance, which could result in operational, financial, regulatory, and reputational harm and other adverse consequences to our business.</w:t>
      </w:r>
    </w:p>
    <w:p>
      <w:pPr>
        <w:spacing w:after="0" w:line="21" w:lineRule="exact"/>
        <w:rPr>
          <w:rFonts w:ascii="Arial" w:cs="Arial" w:eastAsia="Arial" w:hAnsi="Arial"/>
          <w:sz w:val="18"/>
          <w:szCs w:val="18"/>
          <w:color w:val="auto"/>
        </w:rPr>
      </w:pPr>
    </w:p>
    <w:p>
      <w:pPr>
        <w:ind w:left="640" w:right="52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quarterly results of operations are likely to fluctuate significantly due to a wide range of factors, which makes our future results difficult to predict.</w:t>
      </w:r>
    </w:p>
    <w:p>
      <w:pPr>
        <w:spacing w:after="0" w:line="4" w:lineRule="exact"/>
        <w:rPr>
          <w:rFonts w:ascii="Arial" w:cs="Arial" w:eastAsia="Arial" w:hAnsi="Arial"/>
          <w:sz w:val="18"/>
          <w:szCs w:val="18"/>
          <w:color w:val="auto"/>
        </w:rPr>
      </w:pPr>
    </w:p>
    <w:p>
      <w:pPr>
        <w:ind w:left="640" w:hanging="316"/>
        <w:spacing w:after="0" w:line="281"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our subscription offerings would harm our business, results of operations, and financial condition.</w:t>
      </w:r>
    </w:p>
    <w:p>
      <w:pPr>
        <w:spacing w:after="0" w:line="2" w:lineRule="exact"/>
        <w:rPr>
          <w:rFonts w:ascii="Arial" w:cs="Arial" w:eastAsia="Arial" w:hAnsi="Arial"/>
          <w:sz w:val="17"/>
          <w:szCs w:val="17"/>
          <w:color w:val="auto"/>
        </w:rPr>
      </w:pPr>
    </w:p>
    <w:p>
      <w:pPr>
        <w:ind w:left="640" w:right="80" w:hanging="316"/>
        <w:spacing w:after="0" w:line="26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third parties to maintain and operate certain elements of our network infrastructure.</w:t>
      </w:r>
    </w:p>
    <w:p>
      <w:pPr>
        <w:spacing w:after="0" w:line="58" w:lineRule="exact"/>
        <w:rPr>
          <w:rFonts w:ascii="Arial" w:cs="Arial" w:eastAsia="Arial" w:hAnsi="Arial"/>
          <w:sz w:val="18"/>
          <w:szCs w:val="18"/>
          <w:color w:val="auto"/>
        </w:rPr>
      </w:pPr>
    </w:p>
    <w:p>
      <w:pPr>
        <w:ind w:left="640" w:right="10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our third-party channel partner network of distributors and resellers to generate a substantial amount of our revenue.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17" w:lineRule="exact"/>
        <w:rPr>
          <w:sz w:val="20"/>
          <w:szCs w:val="20"/>
          <w:color w:val="auto"/>
        </w:rPr>
      </w:pPr>
    </w:p>
    <w:p>
      <w:pPr>
        <w:ind w:firstLine="318"/>
        <w:spacing w:after="0" w:line="282" w:lineRule="auto"/>
        <w:rPr>
          <w:sz w:val="20"/>
          <w:szCs w:val="20"/>
          <w:color w:val="auto"/>
        </w:rPr>
      </w:pPr>
      <w:r>
        <w:rPr>
          <w:rFonts w:ascii="Arial" w:cs="Arial" w:eastAsia="Arial" w:hAnsi="Arial"/>
          <w:sz w:val="17"/>
          <w:szCs w:val="17"/>
          <w:color w:val="auto"/>
        </w:rPr>
        <w:t>We have historically incurred net losses, including net losses of $36.1 million, $36.3 million and $78.3 million in 2025, 2024 and 2023, respectively. At December 31, 2025, we had an accumulated deficit of $897.5 million. Because the market for our offerings is highly competitive and rapidly evolving and these solutions have not yet reached widespread adoption, it is difficult for us to predict our future results of operations.</w:t>
      </w:r>
    </w:p>
    <w:p>
      <w:pPr>
        <w:spacing w:after="0" w:line="159" w:lineRule="exact"/>
        <w:rPr>
          <w:sz w:val="20"/>
          <w:szCs w:val="20"/>
          <w:color w:val="auto"/>
        </w:rPr>
      </w:pPr>
    </w:p>
    <w:p>
      <w:pPr>
        <w:jc w:val="both"/>
        <w:ind w:right="180" w:firstLine="318"/>
        <w:spacing w:after="0" w:line="260"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0"/>
        <w:spacing w:after="0" w:line="274" w:lineRule="auto"/>
        <w:rPr>
          <w:sz w:val="20"/>
          <w:szCs w:val="20"/>
          <w:color w:val="auto"/>
        </w:rPr>
      </w:pPr>
      <w:r>
        <w:rPr>
          <w:rFonts w:ascii="Arial" w:cs="Arial" w:eastAsia="Arial" w:hAnsi="Arial"/>
          <w:sz w:val="18"/>
          <w:szCs w:val="18"/>
          <w:color w:val="auto"/>
        </w:rPr>
        <w:t>results if our revenue does not increase at a greater rate. In particular, we expect to continue to expend substantial financial and other resources on:</w:t>
      </w:r>
    </w:p>
    <w:p>
      <w:pPr>
        <w:spacing w:after="0" w:line="57"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and administrative expense.</w:t>
      </w:r>
    </w:p>
    <w:p>
      <w:pPr>
        <w:spacing w:after="0" w:line="217"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68" w:lineRule="exact"/>
        <w:rPr>
          <w:sz w:val="20"/>
          <w:szCs w:val="20"/>
          <w:color w:val="auto"/>
        </w:rPr>
      </w:pPr>
    </w:p>
    <w:p>
      <w:pPr>
        <w:ind w:right="280" w:firstLine="318"/>
        <w:spacing w:after="0" w:line="28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could be materially adversely affected by global economic, political and geopolitical tensions.</w:t>
      </w:r>
    </w:p>
    <w:p>
      <w:pPr>
        <w:spacing w:after="0" w:line="14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serve customers in many countries around the world and receive a significant portion of our revenue from outside the United States. Accordingly, our operations and execution are subject to the effects of global economic trends, geopolitical risks and disruptions to global markets, cross-border operations, supply chains or workforce availability resulting from events such as war or international conflict, a major terrorist attack, natural disasters or actual or threatened public health pandemics or other emergencies. Political developments or policy shifts in areas such as tariffs, export controls, including trade barriers, sanctions, technical or local content regulations, currency controls, global tax laws or other laws and policies, have been and may continue to be disruptive and costly to our business. These can interfere with our global operating model, customer relationships and competitive position. Escalation of tariffs or any other specific trade tensions, including potential decoupling between the United States and the European Union, or in global trade conflict more broadly could be harmful to global economic growth or to our business in or with the European Union or other countries. Deterioration of economic conditions or outlooks, such as lower rates of investment, lower economic growth, recession or fears of recession in the United States, Europe or other key markets, may adversely affect the demand for or profitability of our offerings, and the impact from developments outside the United States on our business performance can be significant given the extent of our global activities. Increased geopolitical tensions and outbreaks of armed conflict, as well as sanctions or other measures imposed in response, have in the past and in the future may cause disruption and instability in global markets, particular regions or countries, supply chains or commercial activity that adversely impact our business, financial condition, results of operations and cash flows and pose reputational risks. In addition, market uncertainty and volatility in various geographies may be magnified as a result of shifts in trade, economic and other policies. We also do business in emerging market jurisdictions where economic political and legal risks are heightened and the operating environments are complex.</w:t>
      </w:r>
    </w:p>
    <w:p>
      <w:pPr>
        <w:spacing w:after="0" w:line="195" w:lineRule="exact"/>
        <w:rPr>
          <w:sz w:val="20"/>
          <w:szCs w:val="20"/>
          <w:color w:val="auto"/>
        </w:rPr>
      </w:pPr>
    </w:p>
    <w:p>
      <w:pPr>
        <w:ind w:right="160" w:firstLine="318"/>
        <w:spacing w:after="0" w:line="274" w:lineRule="auto"/>
        <w:rPr>
          <w:sz w:val="20"/>
          <w:szCs w:val="20"/>
          <w:color w:val="auto"/>
        </w:rPr>
      </w:pPr>
      <w:r>
        <w:rPr>
          <w:rFonts w:ascii="Arial" w:cs="Arial" w:eastAsia="Arial" w:hAnsi="Arial"/>
          <w:sz w:val="18"/>
          <w:szCs w:val="18"/>
          <w:color w:val="auto"/>
        </w:rPr>
        <w:t>Furthermore, our research and development teams maintain a significant presence in Tel Aviv, Israel. Recent and ongoing hostilities in the region may have a material impact on our ability to deliver on our product roadmaps for these solutions.</w:t>
      </w:r>
    </w:p>
    <w:p>
      <w:pPr>
        <w:spacing w:after="0" w:line="163" w:lineRule="exact"/>
        <w:rPr>
          <w:sz w:val="20"/>
          <w:szCs w:val="20"/>
          <w:color w:val="auto"/>
        </w:rPr>
      </w:pPr>
    </w:p>
    <w:p>
      <w:pPr>
        <w:ind w:right="280" w:firstLine="318"/>
        <w:spacing w:after="0" w:line="260" w:lineRule="auto"/>
        <w:rPr>
          <w:sz w:val="20"/>
          <w:szCs w:val="20"/>
          <w:color w:val="auto"/>
        </w:rPr>
      </w:pPr>
      <w:r>
        <w:rPr>
          <w:rFonts w:ascii="Arial" w:cs="Arial" w:eastAsia="Arial" w:hAnsi="Arial"/>
          <w:sz w:val="18"/>
          <w:szCs w:val="18"/>
          <w:color w:val="auto"/>
        </w:rPr>
        <w:t>It is impossible to predict the extent to which our operations, or those of our partners or customers, will be impacted in the short and long term, or the ways in which these conflicts may impact our business. The extent and duration of the military action, sanctions and resulting market disruptions are impossible to predict, but could be substantial.</w:t>
      </w:r>
    </w:p>
    <w:p>
      <w:pPr>
        <w:spacing w:after="0" w:line="175" w:lineRule="exact"/>
        <w:rPr>
          <w:sz w:val="20"/>
          <w:szCs w:val="20"/>
          <w:color w:val="auto"/>
        </w:rPr>
      </w:pPr>
    </w:p>
    <w:p>
      <w:pPr>
        <w:ind w:right="660" w:firstLine="318"/>
        <w:spacing w:after="0" w:line="286"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offer solutions that address the dynamic cybersecurity landscape, we may not remain competitive.</w:t>
      </w:r>
    </w:p>
    <w:p>
      <w:pPr>
        <w:spacing w:after="0" w:line="143" w:lineRule="exact"/>
        <w:rPr>
          <w:sz w:val="20"/>
          <w:szCs w:val="20"/>
          <w:color w:val="auto"/>
        </w:rPr>
      </w:pPr>
    </w:p>
    <w:p>
      <w:pPr>
        <w:jc w:val="both"/>
        <w:ind w:right="820" w:firstLine="318"/>
        <w:spacing w:after="0" w:line="260"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forward. Our competitors include: vulnerability management and assessment vendors, including Qualys and Rapid7; diversified security software and services vendors; endpoint security vendors with nascent vulnerability assessment capabilities, including CrowdStrike; public cloud vendors and companies, such as Palo Alto Networks and Wiz, that offer solutions for cloud security (private, public and hybrid cloud); and providers of point solutions that compete with some of the features present in our solutions. We also compete against internally-developed efforts that often use open source solutions.</w:t>
      </w:r>
    </w:p>
    <w:p>
      <w:pPr>
        <w:spacing w:after="0" w:line="181" w:lineRule="exact"/>
        <w:rPr>
          <w:sz w:val="20"/>
          <w:szCs w:val="20"/>
          <w:color w:val="auto"/>
        </w:rPr>
      </w:pPr>
    </w:p>
    <w:p>
      <w:pPr>
        <w:ind w:right="40" w:firstLine="318"/>
        <w:spacing w:after="0" w:line="269"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Microsoft has a vulnerability management offering and has continued to acquire security solutions for its cybersecurity platform. Smaller companies could also launch new products and services that we do not offer and that could gain market acceptance quickly.</w:t>
      </w:r>
    </w:p>
    <w:p>
      <w:pPr>
        <w:spacing w:after="0" w:line="169"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190"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or in hybrid environments and the increasing adoption by organizations of cloud or hybrid cloud architectures.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191"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17" w:lineRule="exact"/>
        <w:rPr>
          <w:sz w:val="20"/>
          <w:szCs w:val="20"/>
          <w:color w:val="auto"/>
        </w:rPr>
      </w:pPr>
    </w:p>
    <w:p>
      <w:pPr>
        <w:ind w:right="260" w:firstLine="318"/>
        <w:spacing w:after="0" w:line="275" w:lineRule="auto"/>
        <w:rPr>
          <w:sz w:val="20"/>
          <w:szCs w:val="20"/>
          <w:color w:val="auto"/>
        </w:rPr>
      </w:pPr>
      <w:r>
        <w:rPr>
          <w:rFonts w:ascii="Arial" w:cs="Arial" w:eastAsia="Arial" w:hAnsi="Arial"/>
          <w:sz w:val="17"/>
          <w:szCs w:val="17"/>
          <w:color w:val="auto"/>
        </w:rPr>
        <w:t>From 2024 to 2025, our revenue grew from $900.0 million to $999.4 million, representing year over year growth of 11%.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58" w:lineRule="exact"/>
        <w:rPr>
          <w:rFonts w:ascii="Arial" w:cs="Arial" w:eastAsia="Arial" w:hAnsi="Arial"/>
          <w:sz w:val="18"/>
          <w:szCs w:val="18"/>
          <w:color w:val="auto"/>
        </w:rPr>
      </w:pPr>
    </w:p>
    <w:p>
      <w:pPr>
        <w:ind w:left="640" w:right="320" w:hanging="316"/>
        <w:spacing w:after="0" w:line="27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 or the integration of acquired products and capabilities;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or increase the rate at which customers purchase and renew subscriptions to our enterprise platform offerings;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If we are unable to maintain consistent revenue or revenue growth, including as a result of macroeconomic conditions, our stock price could be volatile, and it may be difficult to achieve and maintain profitability. You should not rely on our revenue for any prior quarterly or annual periods as any indication of our future revenue or revenue growth.</w:t>
      </w:r>
    </w:p>
    <w:p>
      <w:pPr>
        <w:spacing w:after="0" w:line="175" w:lineRule="exact"/>
        <w:rPr>
          <w:sz w:val="20"/>
          <w:szCs w:val="20"/>
          <w:color w:val="auto"/>
        </w:rPr>
      </w:pPr>
    </w:p>
    <w:p>
      <w:pPr>
        <w:ind w:right="400" w:firstLine="318"/>
        <w:spacing w:after="0" w:line="274"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63" w:lineRule="exact"/>
        <w:rPr>
          <w:sz w:val="20"/>
          <w:szCs w:val="20"/>
          <w:color w:val="auto"/>
        </w:rPr>
      </w:pPr>
    </w:p>
    <w:p>
      <w:pPr>
        <w:ind w:right="20" w:firstLine="318"/>
        <w:spacing w:after="0" w:line="266"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60"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macroeconomic conditions, may not be immediately reflected in our revenue results for that period. This decline, however, would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75" w:lineRule="exact"/>
        <w:rPr>
          <w:sz w:val="20"/>
          <w:szCs w:val="20"/>
          <w:color w:val="auto"/>
        </w:rPr>
      </w:pPr>
    </w:p>
    <w:p>
      <w:pPr>
        <w:ind w:right="80" w:firstLine="318"/>
        <w:spacing w:after="0" w:line="286"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43"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Our enterprise platform offerings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and hybrid work,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174"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utilize our solutions, and we may, among other consequences, lose or fail to increase our market share and experience reduced demand for our services, which would materially harm our business, operating results and financial condition.</w:t>
      </w:r>
    </w:p>
    <w:p>
      <w:pPr>
        <w:spacing w:after="0" w:line="163" w:lineRule="exact"/>
        <w:rPr>
          <w:sz w:val="20"/>
          <w:szCs w:val="20"/>
          <w:color w:val="auto"/>
        </w:rPr>
      </w:pPr>
    </w:p>
    <w:p>
      <w:pPr>
        <w:ind w:firstLine="318"/>
        <w:spacing w:after="0" w:line="279" w:lineRule="auto"/>
        <w:rPr>
          <w:sz w:val="20"/>
          <w:szCs w:val="20"/>
          <w:color w:val="auto"/>
        </w:rPr>
      </w:pPr>
      <w:r>
        <w:rPr>
          <w:rFonts w:ascii="Arial" w:cs="Arial" w:eastAsia="Arial" w:hAnsi="Arial"/>
          <w:sz w:val="17"/>
          <w:szCs w:val="17"/>
          <w:b w:val="1"/>
          <w:bCs w:val="1"/>
          <w:i w:val="1"/>
          <w:iCs w:val="1"/>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disrupted, or if our solutions fail to detect vulnerabilities or incorrectly detect vulnerabilities, or if they contain undetected errors or defects, we could experience adverse consequences.</w:t>
      </w:r>
    </w:p>
    <w:p>
      <w:pPr>
        <w:spacing w:after="0" w:line="151"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In the ordinary course of our business, we collect, store, use, transmit, disclose or otherwise process proprietary, confidential, and sensitive information, including personal data, intellectual property, and trade secrets.</w:t>
      </w:r>
    </w:p>
    <w:p>
      <w:pPr>
        <w:spacing w:after="0" w:line="163"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We sell cybersecurity products and, as a result, may be at increased risk of being a target of cyberattacks designed to penetrate our platform or internal systems, to compromise our data, alter or modify our source code, or to otherwise impede the performance of our products. Threats to information systems and data come from a variety of sources. In addition to computer “hackers,” threat actors, personnel (such as through theft or misuse, or other insider threat listed below), "hacktivists," organized criminal threat actors, sophisticated nation-states and nation-state-supported actors now engage and are expected to continue to engage in cyber-attacks. Nation-state actors and nation-state-supported actors may engage in such attacks for geopolitical reasons and in conjunction with military conflicts and defense activities, around the world. During times of war and other major conflicts, we, third parties upon which we may rely, and our customers may be vulnerable to a heightened risk of these threats, including retaliatory cyber-attacks that could materially disrupt our systems and operations, supply chain, and ability to produce, sell and distribute our goods and services. We, our customers, and the third parties upon which we rely are subject to a variety of evolving threats, which are prevalent, continue to rise, and are increasingly difficult to detect. These threats include but are not limited to: social-engineering attacks (including through deep fakes, which may be increasingly more difficult to identify as fake, and phishing attacks); credential harvesting; malicious code (such as viruses, worms, and, increasingly, code injection in open source software); malware (including as a result of advanced persistent threat intrusions); denial-of-service attacks, credential stuffing; insider threats (including due to personnel misconduct, error or malicious activity);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prudent to make extortion payments, but we may be unable to do so if, for example, applicable laws prohibit such payments.</w:t>
      </w:r>
    </w:p>
    <w:p>
      <w:pPr>
        <w:spacing w:after="0" w:line="398"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Additionally, we are incorporated into the supply chain of a large number of companies worldwide and, as a result, if our solutions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spacing w:after="0" w:line="180"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Remote work and use of remote devices has increased risks to our information technology systems and data, as more of our personnel utilize network connections, computers and devices outside of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identified during due diligence of such acquired or integrated entities, and it may be difficult to integrate other companies into our information technology environment and security program.</w:t>
      </w:r>
    </w:p>
    <w:p>
      <w:pPr>
        <w:spacing w:after="0" w:line="185" w:lineRule="exact"/>
        <w:rPr>
          <w:sz w:val="20"/>
          <w:szCs w:val="20"/>
          <w:color w:val="auto"/>
        </w:rPr>
      </w:pPr>
    </w:p>
    <w:p>
      <w:pPr>
        <w:ind w:right="200" w:firstLine="318"/>
        <w:spacing w:after="0" w:line="253" w:lineRule="auto"/>
        <w:rPr>
          <w:sz w:val="20"/>
          <w:szCs w:val="20"/>
          <w:color w:val="auto"/>
        </w:rPr>
      </w:pPr>
      <w:r>
        <w:rPr>
          <w:rFonts w:ascii="Arial" w:cs="Arial" w:eastAsia="Arial" w:hAnsi="Arial"/>
          <w:sz w:val="18"/>
          <w:szCs w:val="18"/>
          <w:color w:val="auto"/>
        </w:rPr>
        <w:t>We rely on third-party service providers and technologies to operate critical business systems, including processing confidential and sensitive information, including, without limitation, cloud-based infrastructure, data center facilities, encryption and authentication technology, employee email and other functions. We also rely on third-party service providers to provide other products, services, or otherwise, to operate our business and elements of our infrastructure, including endpoints. Our ability to monitor these third parties' information security practices is limited, and these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parties may not have adequate information security measures in place. Additionally, software errors or vulnerabilities in these third-party technologies could result in significant disruptions to our information technology systems, leading to downtime, data loss, or compromised data integrity.</w:t>
      </w:r>
    </w:p>
    <w:p>
      <w:pPr>
        <w:spacing w:after="0" w:line="175"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If our third-party service providers or partners experience a security incident or other interruption or cause an extended outage or disruption to our systems, we could experience adverse consequences. It is possible that our customers and potential customers would hold us accountable for any security incident affecting our third-party service providers’ or partners' infrastructure or other interruption caused by our third-party service providers or partners that impacts our infrastructure. We may incur significant liability from those customers and from other third parties with respect to any such incident. Because our agreements with certain third-party service providers, such as AWS and Snowflake, limit their liability for damages, we may not be able to recover a material portion of our liabilities to our customers and third parties arising from issues with such third-party service providers, such as AWS and Snowflake, in the event of an incident affecting the third parties’ systems. Moreover, while we may be entitled to damages from third-party service providers if they fail to satisfy their privacy or security-related obligations to us or if they cause a disruption in our infrastructure, any award may be insufficient to cover our damages, or we may be unable to recover such reward. In addition, supply-chain attacks have increased in frequency and severity and there have been high-profile incidents of third-party service providers causing widespread disruptions in their customers' infrastructures due to errors in their SaaS offerings. We cannot guarantee that third parties’ infrastructure in our supply chain or our third-party partners’ supply chains have not been compromised or that errors by our third-party service providers won’t cause disruptions in our infrastructure.</w:t>
      </w:r>
    </w:p>
    <w:p>
      <w:pPr>
        <w:spacing w:after="0" w:line="188"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have experienced, and may in the future experience, disruptions, outages, other performance problems and security threats due to a variety of factors, including infrastructure changes, deliberate or unintentional human actions (including by third parties), software defects and configuration errors, capacity constraints, fraud or security incidents. We take steps designed to detect, mitigate and remediate vulnerabilities and defects and configuration errors in our information technology systems (such as our hardware and software, including that of third parties upon which we rely) and in our software applications, products and services. We may not, however, be able to detect and remediate all such vulnerabilities, defects or configuration errors on a timely basis. For example, we have identified certain vulnerabilities in our information systems and software applications, and we take steps designed to mitigate the risks associated with known vulnerabilities. Despite our efforts, there can be no assurance that these vulnerability, defect and configuration error mitigation measures will be completely effective. Further, we may experience delays in developing and deploying remedial measures and patches designed to address any such identified vulnerabilities, defects or configuration errors. Additionally, as part of our business operations, employees and authorized personnel, or insiders, access our systems, applications, and data, including through the use of mobile devices, including personally-owned devices. Our business may be adversely affected if insiders cause cybersecurity incidents such as data breaches, intellectual property theft, ransom demands, or operational disruptions. We take steps designed to detect and mitigate insider threats, however, despite our efforts, there can be no assurance that these efforts will be completely effective and we have expended significant resources to prevent, detect and investigate such threats. Additionally, our ability to implement and enforce security measures on employee-owned mobile devices is more limited, which increases the risk of cybersecurity threats.</w:t>
      </w:r>
    </w:p>
    <w:p>
      <w:pPr>
        <w:spacing w:after="0" w:line="19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Any of these or similar threats could cause a security incident or other interruption that can result in unauthorized, unlawful, or accidental acquisition, modification, destruction, loss, alteration, encryption, disclosure of, or access to our proprietary, confidential, and sensitive information or our information technology systems, or those of the third parties upon whom we rely. For example, we have been the target of unsuccessful phishing attempts in the past and we expect such attempts will continue in the future. A security incident or other interruption could disrupt our ability (and that of third parties upon whom we rely) to provide our solutions. In some instances, we or our third-party service providers may not be able to identify the cause or causes of these security incidents or performance problems within an acceptable period of time. If our solutions are unavailable or if our customers are unable to access features of our solutions within a reasonable amount of time or at all, our business could be adversely affected. In addition, if we or any of the third-party providers we use were to experience or cause a significant or prolonged outage or security incident, our business could be adversely affected. We may expend significant resources or modify our business activities to try to protect against or recover from security incidents. Certain data privacy and security obligations may require us to implement and maintain specific security measures, industry-standard or reasonable security measures to protect our information technology systems and proprietary, confidential, and sensitive information, including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Data protection requirements may also require us or we may voluntarily choose to notify relevant stakeholders of security incidents, including affected individuals, partners, collaborators, customers, regulators, law enforcement agencies and others, or take other actions, such as providing credit monitoring and identity theft protection services. Such disclosures and related actions can be costly, and the disclosures or failure to comply with such applicable requirements could lead to adverse consequences.</w:t>
      </w:r>
    </w:p>
    <w:p>
      <w:pPr>
        <w:spacing w:after="0" w:line="180" w:lineRule="exact"/>
        <w:rPr>
          <w:sz w:val="20"/>
          <w:szCs w:val="20"/>
          <w:color w:val="auto"/>
        </w:rPr>
      </w:pPr>
    </w:p>
    <w:p>
      <w:pPr>
        <w:ind w:right="280" w:firstLine="318"/>
        <w:spacing w:after="0" w:line="260" w:lineRule="auto"/>
        <w:rPr>
          <w:sz w:val="20"/>
          <w:szCs w:val="20"/>
          <w:color w:val="auto"/>
        </w:rPr>
      </w:pPr>
      <w:r>
        <w:rPr>
          <w:rFonts w:ascii="Arial" w:cs="Arial" w:eastAsia="Arial" w:hAnsi="Arial"/>
          <w:sz w:val="18"/>
          <w:szCs w:val="18"/>
          <w:color w:val="auto"/>
        </w:rPr>
        <w:t>Additionally, even if we have issued or otherwise made patches or information for vulnerabilities in our software applications, products or services, our customers may be unwilling or unable to deploy such patches and use such information effectively and in a timely manner. Vulnerabilities could be exploited and result in a security incident.</w:t>
      </w:r>
    </w:p>
    <w:p>
      <w:pPr>
        <w:spacing w:after="0" w:line="175"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If we, our customers, or a third party upon which we rely, experience or cause a security incident or other interruption, or are perceived to have experienced or caused a security incident or other interruption, we may experience material adverse consequences, such as government enforcement actions (for example, investigations, fines, penalties, audits, and inspections); additional reporting obligations and/or oversight; restrictions on processing information (including personal data); litigation (including class claims); indemnification obligations; negative publicity; reputational harm; monetary fund diversions; interruptions of our operations (including availability of data); financial loss (including by issuing credits to our customers); diversion of management attention; and other similar harm. Security incidents or other disruptions and attendant material consequences may cause customers to stop using our solutions (including by not renewing their purchases of our solutions), deter new customers from using our solutions, and negatively impact our ability to grow and operate our business.</w:t>
      </w:r>
    </w:p>
    <w:p>
      <w:pPr>
        <w:spacing w:after="0" w:line="175"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will be adequate or otherwise protect us from or adequately mitigate liabilities or damages with respect to claims, costs, expenses, litigation, fines, penalties, business loss, data loss, regulatory actions or other impacts arising out of security incidents.</w:t>
      </w:r>
    </w:p>
    <w:p>
      <w:pPr>
        <w:spacing w:after="0" w:line="18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addition, we face unique risks as a SaaS company that sells products and services that involve protecting the information systems of our customers. If our solutions fail to detect vulnerabilities in our customers’ cybersecurity infrastructure, including for remote devices, or if our solutions fail to identify new and increasingly complex methods of cyberattacks, our business may suffer and our customers' businesses may be damaged, including by interrupting their networking traffic or operational technology environments. Furthermore, a security incident could heighten the impact of these material adverse consequences because of the nature of our business and expectations of our customers. There is no guarantee that our solutions will detect all vulnerabilities or threats in our customers' systems,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information about new exploits, attacks and vulnerabilities. If the information from these third parties is inaccurate, the potential for false indications of vulnerabilities or threats increases. These false positives, while typical in the industry, may impair the perceived reliability of our offerings. Additionally, our business depends upon the appropriate and successful implementation of our product by our customers. If our customers fail to use our solutions according to our specifications, our customers may suffer a security incident on their own systems or other adverse consequences. Even if such an incident is unrelated to our security practices, it could result in our incurring significant economic and operational costs in investigating, remediating, and implementing additional measures to further protect our customers from their own vulnerabilities.</w:t>
      </w:r>
    </w:p>
    <w:p>
      <w:pPr>
        <w:spacing w:after="0" w:line="181"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reliability and continuous availability of our solutions is critical to our success. We have experienced errors or defects in the past in connection with the release of new solutions and product upgrades, and we expect that these errors or defects will be found from time to time in the future in new or enhanced solutions after commercial release. For example, on December 31, 2024, we identified Nessus agents versions 10.8.0 and 10.8.1 going offline under certain conditions which impacted the availability of our Vulnerability Management and Security Center solutions for certain customers. Upon discovery of the incident, we developed and released a version 10.8.2 of our Nessus agent on January 2, 2025, which enabled affected customers to resolve the issue. Although the financial impacts of this incident have not been significant, similar incidents in the future could result in costs associated with service-level credits and loss of customer trust, which could have a material adverse effect on our business and financial performance. In addition, we use third parties to assist in the development of our products and these third parties could be a source of errors or defects.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Some defects may cause our solutions to be vulnerable to attacks, cause them to fail to detect vulnerabilities, or temporarily interrupt customers’ networking traffic or operational technology environments, any of which may damage our customers’ business and could hurt our reputation.</w:t>
      </w:r>
    </w:p>
    <w:p>
      <w:pPr>
        <w:spacing w:after="0" w:line="175"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As a result of any of the risks associated with our SaaS business, we may experience material adverse consequences. We may also be subject to liability claims for damages related to errors or defects in our solutions.</w:t>
      </w:r>
    </w:p>
    <w:p>
      <w:pPr>
        <w:spacing w:after="0" w:line="16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b w:val="1"/>
          <w:bCs w:val="1"/>
          <w:i w:val="1"/>
          <w:iCs w:val="1"/>
          <w:color w:val="auto"/>
        </w:rPr>
        <w:t>We have incorporated and may in the future further incorporate AI technologies, including generative AI, into certain of our products and services. These technologies are subject to new and developing regulatory frameworks and may create operational, financial, regulatory, and reputational risks based on development practices or reliance on AI outputs that are inaccurate or flawed. These technologies may not achieve market acceptance and may pose other adverse consequences to our business, some of which we may not know or be able to quantify at this time.</w:t>
      </w:r>
    </w:p>
    <w:p>
      <w:pPr>
        <w:spacing w:after="0" w:line="172"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We have incorporated and may in the future further incorporate AI features in certain of our products and services, including ExposureAI and Tenable AI Assistant and within Tenable One. The use of AI technologies, including generative AI processes, at scale is relatively new, and may lead to challenges, concerns and risks, including various privacy and security risks that are significant or that we may not be able to predict, especially if our use of these technologies in our products and services becomes more important to our operations over time. The technologies underpinning these features are in the early stages of commercial use and exist in an emerging regulatory environment with heightened regulatory scrutiny, which presents regulatory, litigation, ethical, safety, reputational, operational and financial risks. AI in our products and services may be complex to deploy successfully due to operational issues inherent to the nature of such technologies, including the availability, development, maintenance and operation of deep learning datasets and third-party dependencies.</w:t>
      </w:r>
    </w:p>
    <w:p>
      <w:pPr>
        <w:spacing w:after="0" w:line="190"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Datasets used in AI training, development, and operations may be insufficient, of poor quality, not fit for purpose, contain sensitive information, or reflect unwanted bias. If we do not have adequate rights to utilize the data or other materials and content that our AI technologies depend on, we may face legal consequences for violating applicable laws, third-party intellectual property, privacy or other rights, or contracts to which we are a party. The use of certain types or sources of data for AI training or development may require consent from data subjects, customers, or other data owners or custodians. We may not have insight into, or control over, the provenance of certain data that our AI technologies ingest. As laws evolve, we may be obligated to obtain certain consents for AI development that we had not previously sought and seeking any type of consent may be costly, impractical, and hinder competitive development or deployment of AI technologies. Customers are increasingly concerned about how their data may interact with AI technologies and may require us to make stronger assurances or contractual commitments to refrain or limit the use of customer data with AI technologies. This may adversely impact our ability to develop or improve AI technologies, which rely on a large volume of diverse and relevant data, including customer data, to produce more accurate, reliable, and predictable outputs.</w:t>
      </w:r>
    </w:p>
    <w:p>
      <w:pPr>
        <w:spacing w:after="0" w:line="191"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Uncertainty in the legal regulatory regime relating to AI and emerging ethical issues surrounding the use of AI may require significant resources to modify and maintain business practices to comply with U.S. and non-U.S. laws, the nature of which cannot be determined at this time. Existing laws and regulations may apply to us or our suppliers, vendors, partners and customers in new ways, and new laws and regulations may be instituted. Many U.S. and international governmental bodies and regulators have proposed, enacted or are in the process of developing, new regulations related to the use of AI and machine learning technologies, including the EU AI Act, Colorado AI Act, California Bot Disclosure Law, and Utah AI Policy Act, as well as regulations on certain high-risk automated decisions, such as those in the employment context. For example, the EU AI Act, which applies beyond the European Union’s borders and establishes obligations for AI providers and those deploying AI systems, sets out a risk-based framework that subjects certain AI technologies to numerous compliance obligations, such as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other U.S. and non-U.S. laws governing AI or data processed in connection with AI. We expect other jurisdictions may adopt similar or potentially more restrictive laws, which may render the use of such technologies challenging. The final form of these may impose obligations related to our development, offering and use of AI technologies and expose us to increased risk of regulatory enforcement and litigation. We may have to amend our business practices, contractual arrangements, and services to comply with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Our customers deploy AI technologies in their environments where the AI technologies may encounter sensitive information (including confidential, competitive, proprietary, or personal data) or our customers may input sensitive information into our AI-powered offerings, regardless of any prohibitions in our terms of service. Any sensitive information that our AI technologies ingest could be leaked or disclosed to others. Additionally, many of our AI technologies are powered by third-party AI providers, which may heighten the risk of inadvertent or unwanted disclosure of sensitive information, including if sensitive information is used to train the third party's AI model. Additionally, where an AI model ingests personal data and makes connections using such data, those technologies may reveal other personal or sensitive information generated by the model. This could create legal or contractual liability for us in light of the model's ability to output sensitive information.</w:t>
      </w:r>
    </w:p>
    <w:p>
      <w:pPr>
        <w:spacing w:after="0" w:line="17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Our AI technology features may also generate output that is misleading, insecure, inaccurate, harmful or otherwise flawed. Agentic AI solutions may compound those risks by taking or implementing actions or outputs, which themselves may be based on flawed outputs, that further increase the risk of misleading, insecure, inaccurate, harmful or otherwise flawed outcomes. This risk extends to our enterprise operations, as employee use of unvetted third-party agentic AI solutions, such as browser plug-ins or other automated applications, could result in actions being taken without adequate human review or monitoring. Such unauthorized automated actions could, for example, lead to the inadvertent disclosure or modification of corporate data or other sensitive information, flawed communications to customers or partners, or the creation of unintended legal or financial obligations on behalf of the company. Our customers or others may rely on or use such misleading, insecure, harmful or otherwise flawed content to their detriment, which may harm our brand, reputation, business or customers, cause competitive harm or expose us to legal liability. For example, AI algorithms use machine learning and predictive analytics which may be insufficient or of poor quality and reflect inherent biases and could lead to flawed, biased, and inaccurate results. Deficient or inaccurate recommendations, forecasts, or analyses that generative AI applications assist in producing could lead to customer rejection or skepticism of our products, affect our reputation or brand, and negatively affect our financial results. Further, unauthorized use or misuse of AI by our employees or others may result in disclosure of confidential company and customer data, reputational harm, privacy law violations and legal liability. Our use of generative AI may also lead to novel and urgent cybersecurity risks, including those related to personal data, which may adversely affect our operations and reputation, and these risks likely are compounded by our use of agentic AI.</w:t>
      </w:r>
    </w:p>
    <w:p>
      <w:pPr>
        <w:spacing w:after="0" w:line="197" w:lineRule="exact"/>
        <w:rPr>
          <w:sz w:val="20"/>
          <w:szCs w:val="20"/>
          <w:color w:val="auto"/>
        </w:rPr>
      </w:pPr>
    </w:p>
    <w:p>
      <w:pPr>
        <w:ind w:firstLine="636"/>
        <w:spacing w:after="0" w:line="249" w:lineRule="auto"/>
        <w:rPr>
          <w:sz w:val="20"/>
          <w:szCs w:val="20"/>
          <w:color w:val="auto"/>
        </w:rPr>
      </w:pPr>
      <w:r>
        <w:rPr>
          <w:rFonts w:ascii="Arial" w:cs="Arial" w:eastAsia="Arial" w:hAnsi="Arial"/>
          <w:sz w:val="18"/>
          <w:szCs w:val="18"/>
          <w:color w:val="auto"/>
        </w:rPr>
        <w:t>While AI features are presently increasing in popularity, we have no assurance that our AI technologies will continue to be accepted and sought by customers. The development of generative and agentic AI technologies is complex, and there are technical challenges associated with achieving the desired level of accuracy, efficiency, and reliability. The algorithms and models utilized in generative or agentic AI systems may have limitations, including biases, errors, or inability to handle certain data types or scenarios. Furthermore, there is a risk of system failures, disruptions, or vulnerabilities that could compromise the integrity, security or privacy of the generated content. These limitations or failures could result in reputational damage, legal liabilities, or loss of customer confidence, which, in turn, could result in lower than anticipated demand from customers to adapt our AI features. We have, and will continue, to dedicate significant resources to developing and deploying generative, agentic, or other AI features in our products and services, without assurances that we will, or will continue to, see customer demand and market conditions to support those investments.</w:t>
      </w:r>
    </w:p>
    <w:p>
      <w:pPr>
        <w:spacing w:after="0" w:line="187"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We rely, and likely will continue to rely, on third parties to support our use of AI in our products and services. Our ability to offer AI-powered products and services may be adversely impacted if any of our third-party AI providers, or other AI-related third-party vendors, develops or deploys AI tools that are unlawful, unreliable, unsecure, or unavailable. If we cannot use third-party AI, or that use is restricted, our business may be less efficient or we may be at a competitive disadvantage, which could adversely affect our business, financial condition, customer loyalty, and reputation.</w:t>
      </w:r>
    </w:p>
    <w:p>
      <w:pPr>
        <w:spacing w:after="0" w:line="181" w:lineRule="exact"/>
        <w:rPr>
          <w:sz w:val="20"/>
          <w:szCs w:val="20"/>
          <w:color w:val="auto"/>
        </w:rPr>
      </w:pPr>
    </w:p>
    <w:p>
      <w:pPr>
        <w:ind w:right="480" w:firstLine="318"/>
        <w:spacing w:after="0" w:line="286"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43" w:lineRule="exact"/>
        <w:rPr>
          <w:sz w:val="20"/>
          <w:szCs w:val="20"/>
          <w:color w:val="auto"/>
        </w:rPr>
      </w:pPr>
    </w:p>
    <w:p>
      <w:pPr>
        <w:ind w:right="400" w:firstLine="318"/>
        <w:spacing w:after="0" w:line="274"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57"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right="22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58"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 (including security breaches by our service providers or vendors);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customers delaying purchasing decisions in anticipation of new developments or enhancements by us or our competitors or otherwise;</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58" w:lineRule="exact"/>
        <w:rPr>
          <w:rFonts w:ascii="Arial" w:cs="Arial" w:eastAsia="Arial" w:hAnsi="Arial"/>
          <w:sz w:val="18"/>
          <w:szCs w:val="18"/>
          <w:color w:val="auto"/>
        </w:rPr>
      </w:pPr>
    </w:p>
    <w:p>
      <w:pPr>
        <w:ind w:left="640" w:right="10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4" w:lineRule="exact"/>
        <w:rPr>
          <w:rFonts w:ascii="Arial" w:cs="Arial" w:eastAsia="Arial" w:hAnsi="Arial"/>
          <w:sz w:val="18"/>
          <w:szCs w:val="18"/>
          <w:color w:val="auto"/>
        </w:rPr>
      </w:pPr>
    </w:p>
    <w:p>
      <w:pPr>
        <w:ind w:left="640" w:right="62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personnel costs, third-party cloud infrastructure costs and facilities costs;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58" w:lineRule="exact"/>
        <w:rPr>
          <w:rFonts w:ascii="Arial" w:cs="Arial" w:eastAsia="Arial" w:hAnsi="Arial"/>
          <w:sz w:val="18"/>
          <w:szCs w:val="18"/>
          <w:color w:val="auto"/>
        </w:rPr>
      </w:pPr>
    </w:p>
    <w:p>
      <w:pPr>
        <w:ind w:left="640" w:right="26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spacing w:after="0" w:line="4" w:lineRule="exact"/>
        <w:rPr>
          <w:rFonts w:ascii="Arial" w:cs="Arial" w:eastAsia="Arial" w:hAnsi="Arial"/>
          <w:sz w:val="18"/>
          <w:szCs w:val="18"/>
          <w:color w:val="auto"/>
        </w:rPr>
      </w:pPr>
    </w:p>
    <w:p>
      <w:pPr>
        <w:ind w:left="640" w:right="320" w:hanging="316"/>
        <w:spacing w:after="0" w:line="27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public health crises such as pandemics or similar outbreaks, war, incidents of terrorism or responses to these events, or an economic recession in the United States or other major markets.</w:t>
      </w:r>
    </w:p>
    <w:p>
      <w:pPr>
        <w:spacing w:after="0" w:line="16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18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in the future and may reduce our ability to predict cash flow and optimize the timing of our operating expenses.</w:t>
      </w:r>
    </w:p>
    <w:p>
      <w:pPr>
        <w:spacing w:after="0" w:line="217" w:lineRule="exact"/>
        <w:rPr>
          <w:sz w:val="20"/>
          <w:szCs w:val="20"/>
          <w:color w:val="auto"/>
        </w:rPr>
      </w:pPr>
    </w:p>
    <w:p>
      <w:pPr>
        <w:ind w:right="100" w:firstLine="318"/>
        <w:spacing w:after="0" w:line="259"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our subscription offerings would harm our business, results of operations, and financial condition.</w:t>
      </w:r>
    </w:p>
    <w:p>
      <w:pPr>
        <w:spacing w:after="0" w:line="167"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although we have recently experienced an increase in larger, multi-year deals, which has increased our overall contract duration. However, we have simultaneously experienced a shift to annual installment billing for these multi-year deals, which is reducing our billing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including those resulting from exchange rate fluctuations relative to the U.S. dollar that make our products more expensive to existing customers, high rates of inflation and interest rates or concerns of an economic recession in the United States or other major markets, that could lead to decreased spending,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17"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maintaining and promoting our brand. If we fail to successfully promote and maintain our brand, or if we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60"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 ability to execute our business plan, and we may not be able to find adequate replacements. We cannot ensure that we will be able to retain the services of any members of our senior management or other key employees.</w:t>
      </w:r>
    </w:p>
    <w:p>
      <w:pPr>
        <w:spacing w:after="0" w:line="185"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is intense. The move by companies to offer a remote or hybrid work environment may increase competition for such employees outside of our traditional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locations. In addition, employee turnover rates in the broader global economy and inflationary pressures in the labor market have increased and may continue to be elevated, which has led, and could continue to lead to increased recruiting, training and retention costs. If we do not succeed in attracting well-qualified employees, retaining and motivating existing employees or maintaining our corporate culture in a hybrid or remote work environment, our business will be adversely affected.</w:t>
      </w:r>
    </w:p>
    <w:p>
      <w:pPr>
        <w:spacing w:after="0" w:line="18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1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 One is hosted on AWS which provides us with computing and storage capacity. Interruptions in our systems or the third-party systems on which we rely, particularly AWS, whether due to system failures, computer viruses or cyber threats, physical or electronic break-ins or other factors, could affect the security or availability of our solutions, network infrastructure and website.</w:t>
      </w:r>
    </w:p>
    <w:p>
      <w:pPr>
        <w:spacing w:after="0" w:line="185"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17"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including with respect to AI, which has increased the complexity of customer requirements to be met and confirmed during the sales cycle and prolonged our sales cycle. Our average sales cycle with an enterprise customer is approximately four months, although unfavorable macroeconomic conditions and the extent to which we continue to enter into larger deals, could result in longer average sales cycles. Further, the length of time that potential customers devote to their testing and evaluation, contract negotiation and budgeting processes varies significantly, depending on the size of the organization and nature of the product or service under consideration. Macroeconomic uncertainty, including foreign exchange rates, inflation, disruptions in access to bank deposits or lending commitments due to bank failures and uncertainty about economic stability, and concerns about economic recessions in the United States or other major markets, have and could continue to impact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average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40" w:firstLine="318"/>
        <w:spacing w:after="0" w:line="259" w:lineRule="auto"/>
        <w:rPr>
          <w:sz w:val="20"/>
          <w:szCs w:val="20"/>
          <w:color w:val="auto"/>
        </w:rPr>
      </w:pPr>
      <w:r>
        <w:rPr>
          <w:rFonts w:ascii="Arial" w:cs="Arial" w:eastAsia="Arial" w:hAnsi="Arial"/>
          <w:sz w:val="18"/>
          <w:szCs w:val="18"/>
          <w:b w:val="1"/>
          <w:bCs w:val="1"/>
          <w:i w:val="1"/>
          <w:iCs w:val="1"/>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67"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In the ordinary course of our business, we collect, receive, store, process, generate, use, transfer, disclose, make accessible, protect, secure, dispose of, transmit, and share (collectively, “process”) personal data and other sensitive information, including proprietary and confidential business information, trade secrets, intellectual property, and sensitive third-party information. Our data processing activities subject us to numerous data privacy and security obligations, such as various laws, rules, regulations, guidance, industry standards, external and internal privacy and security policies, contracts, and other obligations that govern the processing of personal data by us and on our behalf.</w:t>
      </w:r>
    </w:p>
    <w:p>
      <w:pPr>
        <w:spacing w:after="0" w:line="168"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In the United States, federal, state, and local governments have enacted numerous data privacy and security laws, including data breach notification laws, data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collectively, the CCPA, imposes obligations on covered businesses to provide specific disclosures in privacy notices and honor requests of California residents to exercise certain rights related to their personal data. The CCPA applies to personal data of consumers, business representatives and employees who are California residents and provides for fines for noncompliance (up to $7,500 per intentional violation). Further, the CCPA allows private litigants affected by certain data breaches to recover significant statutory damages. Similar laws have been passed or are being considered in several other states, as well as at the federal and local levels, and we expect more states to pass similar laws in the future. These developments may further complicate compliance efforts and may increase legal risk and compliance costs for us, the third parties with whom we work, and our customers.</w:t>
      </w:r>
    </w:p>
    <w:p>
      <w:pPr>
        <w:spacing w:after="0" w:line="196" w:lineRule="exact"/>
        <w:rPr>
          <w:sz w:val="20"/>
          <w:szCs w:val="20"/>
          <w:color w:val="auto"/>
        </w:rPr>
      </w:pPr>
    </w:p>
    <w:p>
      <w:pPr>
        <w:ind w:right="200" w:firstLine="318"/>
        <w:spacing w:after="0" w:line="275" w:lineRule="auto"/>
        <w:rPr>
          <w:sz w:val="20"/>
          <w:szCs w:val="20"/>
          <w:color w:val="auto"/>
        </w:rPr>
      </w:pPr>
      <w:r>
        <w:rPr>
          <w:rFonts w:ascii="Arial" w:cs="Arial" w:eastAsia="Arial" w:hAnsi="Arial"/>
          <w:sz w:val="17"/>
          <w:szCs w:val="17"/>
          <w:color w:val="auto"/>
        </w:rPr>
        <w:t>Our employees and personnel use generative AI technologies to perform their work, and the disclosure and use of personal data in generative AI technologies are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6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Additionally, under various privacy laws and other obligations, we may be required to provide certain notices and obtain consents to process certain types of personal data. For example, some of our data processing practices may be subject to challenges or lawsuits under data privacy and communications laws, including wiretapping laws, if we share consumer information with third parties through various methods, such as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185"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the personal data of individuals. Violations of these obligations carry significant potential consequences. For example, under the EU GDPR, government regulators may impose temporary or definitive bans on processing, as well as fines of up to €20 million or 4% of the annual global revenue, whichever is greater. In addition, new EU and UK regulations or legislative actions regarding data privacy and security (together with applicable industry standards) may be proposed or enacted, such as the EU's Digital Operational Resilience Act and its second Network and Information Security Directive, which may increase our costs of doing business, and non-compliance with such laws and regulations, as applicable to us, may lead to significant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fines. We have an internal data privacy function that oversees and supervises our compliance with data privacy laws, including EU and UK data protection regulations, but despite our efforts, we may fail, or be perceived to have failed, to comply. Canada's Personal Information Protection and Electronic Documents Act, or PIPEDA, and various related provincial laws, Canada's Anti-Spam Legislation, or CASL, and Brazil's General Data Protection Law (Law No. 13,709/2018), or Lei Geral de Proteção de Dados Pessoais, or LGPD, may apply to our operations. The LGPD broadly regulates processing personal data of individuals in Brazil and imposes compliance obligations and penalties comparable to those of the EU GDPR. Additionally, we also target customers in Asia and may be subject to new and emerging data privacy regimes in Asia, including China's Personal Information Protection Law, Japan's Act on the Protection of Personal Information, and Singapore's Personal Data Protection Act.</w:t>
      </w:r>
    </w:p>
    <w:p>
      <w:pPr>
        <w:spacing w:after="0" w:line="19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For example, some European regulators have significantly restricted some companies from transferring certain personal data out of Europe for allegedly violating the GDPR’s cross-border data transfer limitations.</w:t>
      </w:r>
    </w:p>
    <w:p>
      <w:pPr>
        <w:spacing w:after="0" w:line="194"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In addition to data privacy and security laws, we are contractually subject to industry standards adopted by industry groups and may become subject to such obligations in the future. Furthermore, we are bound by other contractual obligations relating to data privacy and security, and our efforts to comply with such obligations may not be successful. For example, certain privacy laws, such as the GDPR and the CCPA, require our customers to impose specific contractual restrictions on their service providers. Additionally, some of our customer contracts require us to host personal data locally.</w:t>
      </w:r>
    </w:p>
    <w:p>
      <w:pPr>
        <w:spacing w:after="0" w:line="181"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We have published privacy policies, marketing materials, whitepapers, and other statements, such statements related to compliance with certain certifications or self-regulatory principles, concerning data privacy,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1"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Our obligations related to data privacy and security (and customers’ data privacy expectations) are quickly becoming increasingly stringent, and creating uncertainty. Additionally, these obligations may be subject to differing applications and interpretations, which may be inconsistent or in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Existing and proposed laws and regulations can be costly to comply with, can delay or impede the development or adoption of our products and services and require significant management time and attention. Although we endeavor to comply with all data privacy and security obligations, we may at times fail (or be perceived to have failed) to do so. Moreover, despite our efforts, our personnel or third parties upon which we rely may fail to comply with such obligations, which could negatively impact our business operations and compliance posture. If we or the third parties upon which we rely fail, or are perceived to have failed, to address or comply with applicable data privacy and security obligations,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could face significant consequences. These consequences include, but are not limited to: government enforcement actions (such as investigations, fines, penalties, audits, inspections, and similar actions); litigation (including class-action related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interruptions or stoppages in our business operations, inability to process personal data or operate in certain jurisdictions; limited ability to develop or commercialize our products; expenditure of time and resources to defend any claim or inquiry; reputational harm; loss of customers; reduction in the use of our products; or revision or restricting of our operations.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rely on our third-party channel partner network of distributors and resellers to generate a substantial amount of our revenue.</w:t>
      </w:r>
    </w:p>
    <w:p>
      <w:pPr>
        <w:spacing w:after="0" w:line="22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typically use a two-tiered, channel model whereby we sell our products and services to our distributors, who in turn sell to our resellers, who then sell to our end users, who we call customers. We anticipate that we will continue to rely on this two-tiered sales model in order to help facilitate sales of our offerings as part of larger purchases in the United States and to grow our business internationally. In 2025, 2024 and 2023, we derived 94%, 94% and 93%, respectively, of our revenue from sales through channel partners, and the percentage of revenue derived from channel partners may continue to increase in future periods. Ingram Micro, one of our distributors, accounted for 32%, 34% and 36% of our revenue in 2025, 2024 and 2023, respectively, and 27% of our accounts receivable at December 31, 2025 and 29% at December 31, 2024. Our reliance on these channel partners also means that any significant interruption to their systems could harm our business. For example, a major distributor experiencing a significant operational failure or cybersecurity incident, such as the recent ransomware attack that impacted Ingram Micro, could disrupt their ability to take orders and distribute products. Any such interruption could negatively affect our ability to sell and distribute our products through that partner, which could materially and adversely impact our business, financial position, and results of operations.</w:t>
      </w:r>
    </w:p>
    <w:p>
      <w:pPr>
        <w:spacing w:after="0" w:line="189"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at their discretion upon 30 days’ written notice to us. If our channel partners choose to place greater emphasis on products of their own or those offered by our competitors or as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economic uncertainty, legal or regulatory actions, such as government investigations or law enforcement activities, impacting their business,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76" w:lineRule="exact"/>
        <w:rPr>
          <w:sz w:val="20"/>
          <w:szCs w:val="20"/>
          <w:color w:val="auto"/>
        </w:rPr>
      </w:pPr>
    </w:p>
    <w:p>
      <w:pPr>
        <w:ind w:right="140" w:firstLine="318"/>
        <w:spacing w:after="0" w:line="286"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43" w:lineRule="exact"/>
        <w:rPr>
          <w:sz w:val="20"/>
          <w:szCs w:val="20"/>
          <w:color w:val="auto"/>
        </w:rPr>
      </w:pPr>
    </w:p>
    <w:p>
      <w:pPr>
        <w:ind w:right="700" w:firstLine="318"/>
        <w:spacing w:after="0" w:line="253"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any assurance that we will successfully complete a sale. Governmental demand and payment for our enterprise platform may also be impacted by public sector budgetary cycles and funding authorizations, the operational stability of federal agencies, and the prioritization of cybersecurity and digital infrastructure initiatives. Funding reductions or delays, including those resulting from a U.S. government shutdown, reductions or eliminations of agency operating budgets or deprioritization of cybersecurity digital infrastructure related initiatives would adversely affect public sector demand for our enterprise platform. For example, the U.S. presidential administration's priorities and actions to reduce government spending, including, but not limited to, those previously driven by the Department of Government Efficiency, may impact the availability of funding for U.S. government customers as a result of the elimination of departments and personnel. These actions may lead to elongated sales cycles and procurement decisions and could result in fewer contract opportunities or reduced funding for existing initiatives, all of which would adversely affect our business and financial performance. In addition, governmental entities have the authority to terminate contracts at any time for the convenience of the government, which creates risk regarding revenue anticipated under our existing government contracts.</w:t>
      </w:r>
    </w:p>
    <w:p>
      <w:pPr>
        <w:spacing w:after="0" w:line="174"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40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and customers who receive government funding.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18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185" w:lineRule="exact"/>
        <w:rPr>
          <w:sz w:val="20"/>
          <w:szCs w:val="20"/>
          <w:color w:val="auto"/>
        </w:rPr>
      </w:pPr>
    </w:p>
    <w:p>
      <w:pPr>
        <w:ind w:right="140" w:firstLine="318"/>
        <w:spacing w:after="0" w:line="269" w:lineRule="auto"/>
        <w:rPr>
          <w:sz w:val="20"/>
          <w:szCs w:val="20"/>
          <w:color w:val="auto"/>
        </w:rPr>
      </w:pPr>
      <w:r>
        <w:rPr>
          <w:rFonts w:ascii="Arial" w:cs="Arial" w:eastAsia="Arial" w:hAnsi="Arial"/>
          <w:sz w:val="17"/>
          <w:szCs w:val="17"/>
          <w:color w:val="auto"/>
        </w:rPr>
        <w:t>Moreover, as a U.S. government contractor, we maintain plans to ensure compliance with applicable legal and contractual requirements related to nondiscrimination. Consequently, we may be subject to executive orders and regulatory changes affecting various aspects of our operations. Any required elimination or modification of such plans in response to new or changes to existing executive orders or legal or contractual requirements could pose challenges in hiring or retaining employees and may lead to other adverse operational impacts. Failure to comply with these requirements could expose us to administrative, civil, or criminal liabilities, including fines, penalties, repayments or suspension or debarment from eligibility for future U.S. government contracts. Further, as a U.S. government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we are subject to an increased risk of investigations, criminal prosecution, civil fraud claims, whistleblower lawsuits and other legal actions and liabilities as compared to solely private sector commercial companies.</w:t>
      </w:r>
    </w:p>
    <w:p>
      <w:pPr>
        <w:spacing w:after="0" w:line="163"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0" w:lineRule="exact"/>
        <w:rPr>
          <w:sz w:val="20"/>
          <w:szCs w:val="20"/>
          <w:color w:val="auto"/>
        </w:rPr>
      </w:pPr>
    </w:p>
    <w:p>
      <w:pPr>
        <w:ind w:right="880" w:firstLine="318"/>
        <w:spacing w:after="0" w:line="286"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43"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190" w:lineRule="exact"/>
        <w:rPr>
          <w:sz w:val="20"/>
          <w:szCs w:val="20"/>
          <w:color w:val="auto"/>
        </w:rPr>
      </w:pPr>
    </w:p>
    <w:p>
      <w:pPr>
        <w:ind w:right="220" w:firstLine="318"/>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1" w:lineRule="exact"/>
        <w:rPr>
          <w:sz w:val="20"/>
          <w:szCs w:val="20"/>
          <w:color w:val="auto"/>
        </w:rPr>
      </w:pPr>
    </w:p>
    <w:p>
      <w:pPr>
        <w:ind w:right="680" w:firstLine="318"/>
        <w:spacing w:after="0" w:line="286"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43" w:lineRule="exact"/>
        <w:rPr>
          <w:sz w:val="20"/>
          <w:szCs w:val="20"/>
          <w:color w:val="auto"/>
        </w:rPr>
      </w:pPr>
    </w:p>
    <w:p>
      <w:pPr>
        <w:ind w:right="180" w:firstLine="318"/>
        <w:spacing w:after="0" w:line="269" w:lineRule="auto"/>
        <w:rPr>
          <w:sz w:val="20"/>
          <w:szCs w:val="20"/>
          <w:color w:val="auto"/>
        </w:rPr>
      </w:pPr>
      <w:r>
        <w:rPr>
          <w:rFonts w:ascii="Arial" w:cs="Arial" w:eastAsia="Arial" w:hAnsi="Arial"/>
          <w:sz w:val="17"/>
          <w:szCs w:val="17"/>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and if these new or enhanced offerings do not garner widespread market adoption and implementation, our operating results and competitive position could suffer.</w:t>
      </w:r>
    </w:p>
    <w:p>
      <w:pPr>
        <w:spacing w:after="0" w:line="169" w:lineRule="exact"/>
        <w:rPr>
          <w:sz w:val="20"/>
          <w:szCs w:val="20"/>
          <w:color w:val="auto"/>
        </w:rPr>
      </w:pPr>
    </w:p>
    <w:p>
      <w:pPr>
        <w:jc w:val="both"/>
        <w:ind w:right="340" w:firstLine="318"/>
        <w:spacing w:after="0" w:line="304"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4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57" w:lineRule="exact"/>
        <w:rPr>
          <w:sz w:val="20"/>
          <w:szCs w:val="20"/>
          <w:color w:val="auto"/>
        </w:rPr>
      </w:pPr>
    </w:p>
    <w:p>
      <w:pPr>
        <w:ind w:left="640" w:right="4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macroeconomic trends, in terms of functionality and to supply offerings that meet this demand in a timely fashion;</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58"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difficult macroeconomic conditions, causing them to delay or forgo IT purchases;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17" w:lineRule="exact"/>
        <w:rPr>
          <w:sz w:val="20"/>
          <w:szCs w:val="20"/>
          <w:color w:val="auto"/>
        </w:rPr>
      </w:pPr>
    </w:p>
    <w:p>
      <w:pPr>
        <w:ind w:right="400" w:firstLine="318"/>
        <w:spacing w:after="0" w:line="260"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75" w:lineRule="exact"/>
        <w:rPr>
          <w:sz w:val="20"/>
          <w:szCs w:val="20"/>
          <w:color w:val="auto"/>
        </w:rPr>
      </w:pPr>
    </w:p>
    <w:p>
      <w:pPr>
        <w:ind w:right="100" w:firstLine="318"/>
        <w:spacing w:after="0" w:line="286"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43"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97" w:lineRule="exact"/>
        <w:rPr>
          <w:sz w:val="20"/>
          <w:szCs w:val="20"/>
          <w:color w:val="auto"/>
        </w:rPr>
      </w:pPr>
    </w:p>
    <w:p>
      <w:pPr>
        <w:ind w:right="460" w:firstLine="318"/>
        <w:spacing w:after="0" w:line="286"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4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network and infrastructure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5" w:lineRule="exact"/>
        <w:rPr>
          <w:sz w:val="20"/>
          <w:szCs w:val="20"/>
          <w:color w:val="auto"/>
        </w:rPr>
      </w:pPr>
    </w:p>
    <w:p>
      <w:pPr>
        <w:ind w:right="560" w:firstLine="318"/>
        <w:spacing w:after="0" w:line="286"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4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47% and 46% of our revenue in 2025 and 2024,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81"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of foreign exchange rates;</w:t>
      </w:r>
    </w:p>
    <w:p>
      <w:pPr>
        <w:spacing w:after="0" w:line="58" w:lineRule="exact"/>
        <w:rPr>
          <w:rFonts w:ascii="Arial" w:cs="Arial" w:eastAsia="Arial" w:hAnsi="Arial"/>
          <w:sz w:val="18"/>
          <w:szCs w:val="18"/>
          <w:color w:val="auto"/>
        </w:rPr>
      </w:pPr>
    </w:p>
    <w:p>
      <w:pPr>
        <w:ind w:left="640" w:right="80" w:hanging="316"/>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economic trends, competition and geopolitical risks, including evolving impacts from tariffs, sanctions or other trade tensions between the United States and other countries, or disruptions to global markets, cross-border operations, supply chains or workforce availability resulting from events such as a major terrorist attack, war, natural disasters or actual or threatened public health pandemics or other emergencies;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58" w:lineRule="exact"/>
        <w:rPr>
          <w:rFonts w:ascii="Arial" w:cs="Arial" w:eastAsia="Arial" w:hAnsi="Arial"/>
          <w:sz w:val="18"/>
          <w:szCs w:val="18"/>
          <w:color w:val="auto"/>
        </w:rPr>
      </w:pPr>
    </w:p>
    <w:p>
      <w:pPr>
        <w:ind w:left="640" w:right="240" w:hanging="316"/>
        <w:spacing w:after="0" w:line="292"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of staffing, managing and potentially reorganizing foreign operations, including increased employee recruitment, training and retention costs related to global employment turnover trends and inflationary pressures in the labor market;</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58" w:lineRule="exact"/>
        <w:rPr>
          <w:rFonts w:ascii="Arial" w:cs="Arial" w:eastAsia="Arial" w:hAnsi="Arial"/>
          <w:sz w:val="18"/>
          <w:szCs w:val="18"/>
          <w:color w:val="auto"/>
        </w:rPr>
      </w:pPr>
    </w:p>
    <w:p>
      <w:pPr>
        <w:ind w:left="640" w:right="22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spacing w:after="0" w:line="4" w:lineRule="exact"/>
        <w:rPr>
          <w:rFonts w:ascii="Arial" w:cs="Arial" w:eastAsia="Arial" w:hAnsi="Arial"/>
          <w:sz w:val="18"/>
          <w:szCs w:val="18"/>
          <w:color w:val="auto"/>
        </w:rPr>
      </w:pPr>
    </w:p>
    <w:p>
      <w:pPr>
        <w:ind w:left="640" w:right="320" w:hanging="316"/>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imposed by the United States or other governments on our solutions, trade barriers, economic sanctions and other regulatory or contractual limitations on our ability to sell or provide our solutions in certain foreign markets, and the risks and costs of non-compliance;</w:t>
      </w:r>
    </w:p>
    <w:p>
      <w:pPr>
        <w:spacing w:after="0" w:line="21" w:lineRule="exact"/>
        <w:rPr>
          <w:rFonts w:ascii="Arial" w:cs="Arial" w:eastAsia="Arial" w:hAnsi="Arial"/>
          <w:sz w:val="18"/>
          <w:szCs w:val="18"/>
          <w:color w:val="auto"/>
        </w:rPr>
      </w:pPr>
    </w:p>
    <w:p>
      <w:pPr>
        <w:ind w:left="640" w:right="30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4" w:lineRule="exact"/>
        <w:rPr>
          <w:rFonts w:ascii="Arial" w:cs="Arial" w:eastAsia="Arial" w:hAnsi="Arial"/>
          <w:sz w:val="18"/>
          <w:szCs w:val="18"/>
          <w:color w:val="auto"/>
        </w:rPr>
      </w:pPr>
    </w:p>
    <w:p>
      <w:pPr>
        <w:ind w:left="640" w:right="24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 and regimes.</w:t>
      </w:r>
    </w:p>
    <w:p>
      <w:pPr>
        <w:spacing w:after="0" w:line="2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17"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17"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exposure management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188"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17" w:lineRule="exact"/>
        <w:rPr>
          <w:sz w:val="20"/>
          <w:szCs w:val="20"/>
          <w:color w:val="auto"/>
        </w:rPr>
      </w:pPr>
    </w:p>
    <w:p>
      <w:pPr>
        <w:ind w:right="440" w:firstLine="318"/>
        <w:spacing w:after="0" w:line="260" w:lineRule="auto"/>
        <w:rPr>
          <w:sz w:val="20"/>
          <w:szCs w:val="20"/>
          <w:color w:val="auto"/>
        </w:rPr>
      </w:pPr>
      <w:r>
        <w:rPr>
          <w:rFonts w:ascii="Arial" w:cs="Arial" w:eastAsia="Arial" w:hAnsi="Arial"/>
          <w:sz w:val="18"/>
          <w:szCs w:val="18"/>
          <w:color w:val="auto"/>
        </w:rPr>
        <w:t xml:space="preserve">We have acquired products, technologies and businesses from other parties, such as recent acquisitions discussed in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our consolidated financial statements, and we expect to expand our current business by acquiring additional businesses or technologies in the future. Acquisitions involve many risks, including the following:</w:t>
      </w:r>
    </w:p>
    <w:p>
      <w:pPr>
        <w:spacing w:after="0" w:line="175" w:lineRule="exact"/>
        <w:rPr>
          <w:sz w:val="20"/>
          <w:szCs w:val="20"/>
          <w:color w:val="auto"/>
        </w:rPr>
      </w:pPr>
    </w:p>
    <w:p>
      <w:pPr>
        <w:ind w:left="640" w:right="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1"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58" w:lineRule="exact"/>
        <w:rPr>
          <w:rFonts w:ascii="Arial" w:cs="Arial" w:eastAsia="Arial" w:hAnsi="Arial"/>
          <w:sz w:val="18"/>
          <w:szCs w:val="18"/>
          <w:color w:val="auto"/>
        </w:rPr>
      </w:pPr>
    </w:p>
    <w:p>
      <w:pPr>
        <w:ind w:left="640" w:right="68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58" w:lineRule="exact"/>
        <w:rPr>
          <w:rFonts w:ascii="Arial" w:cs="Arial" w:eastAsia="Arial" w:hAnsi="Arial"/>
          <w:sz w:val="18"/>
          <w:szCs w:val="18"/>
          <w:color w:val="auto"/>
        </w:rPr>
      </w:pPr>
    </w:p>
    <w:p>
      <w:pPr>
        <w:ind w:left="640" w:righ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additional stock in connection with an acquisition could result in substantial dilution to our existing stockholders; and</w:t>
      </w:r>
    </w:p>
    <w:p>
      <w:pPr>
        <w:spacing w:after="0" w:line="58" w:lineRule="exact"/>
        <w:rPr>
          <w:rFonts w:ascii="Arial" w:cs="Arial" w:eastAsia="Arial" w:hAnsi="Arial"/>
          <w:sz w:val="18"/>
          <w:szCs w:val="18"/>
          <w:color w:val="auto"/>
        </w:rPr>
      </w:pPr>
    </w:p>
    <w:p>
      <w:pPr>
        <w:ind w:left="640" w:right="8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63" w:lineRule="exact"/>
        <w:rPr>
          <w:sz w:val="20"/>
          <w:szCs w:val="20"/>
          <w:color w:val="auto"/>
        </w:rPr>
      </w:pPr>
    </w:p>
    <w:p>
      <w:pPr>
        <w:ind w:right="540" w:firstLine="318"/>
        <w:spacing w:after="0" w:line="255" w:lineRule="auto"/>
        <w:rPr>
          <w:sz w:val="20"/>
          <w:szCs w:val="20"/>
          <w:color w:val="auto"/>
        </w:rPr>
      </w:pPr>
      <w:r>
        <w:rPr>
          <w:rFonts w:ascii="Arial" w:cs="Arial" w:eastAsia="Arial" w:hAnsi="Arial"/>
          <w:sz w:val="18"/>
          <w:szCs w:val="18"/>
          <w:color w:val="auto"/>
        </w:rPr>
        <w:t>Acquired businesses have had, and may in the future have, a less mature cybersecurity program than our own. While we take steps designed to ensure our data and system security protection measures cover the acquired business, there may be cybersecurity risks and vulnerabilities arising from those acquired or integrated entities’ systems, technologies and services, that could also impact our existing systems, technologies and services and increase our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1"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In addition, companies we have recently acquired principally operate in Israel and the regional conflict in the Middle East may also have the effect of heightening the risks identified above.</w:t>
      </w:r>
    </w:p>
    <w:p>
      <w:pPr>
        <w:spacing w:after="0" w:line="163" w:lineRule="exact"/>
        <w:rPr>
          <w:sz w:val="20"/>
          <w:szCs w:val="20"/>
          <w:color w:val="auto"/>
        </w:rPr>
      </w:pPr>
    </w:p>
    <w:p>
      <w:pPr>
        <w:jc w:val="both"/>
        <w:ind w:right="560" w:firstLine="318"/>
        <w:spacing w:after="0" w:line="266" w:lineRule="auto"/>
        <w:rPr>
          <w:sz w:val="20"/>
          <w:szCs w:val="20"/>
          <w:color w:val="auto"/>
        </w:rPr>
      </w:pPr>
      <w:r>
        <w:rPr>
          <w:rFonts w:ascii="Arial" w:cs="Arial" w:eastAsia="Arial" w:hAnsi="Arial"/>
          <w:sz w:val="18"/>
          <w:szCs w:val="18"/>
          <w:b w:val="1"/>
          <w:bCs w:val="1"/>
          <w:i w:val="1"/>
          <w:iCs w:val="1"/>
          <w:color w:val="auto"/>
        </w:rPr>
        <w:t>We are subject to risks associated with our investments in private companies and private equity funds, including partial or complete loss of invested capital, and significant changes in the fair value of this portfolio could adversely impact our financial results.</w:t>
      </w:r>
    </w:p>
    <w:p>
      <w:pPr>
        <w:spacing w:after="0" w:line="16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have invested, and may continue to invest, in private companies and private equity or venture capital funds, where we do not have the ability to exercise significant influence over results or investment decisions. Investments in private companies and limited partnerships are inherently risky. The companies in which we invest, or the companies held within the portfolios of funds in which we are a limited partner, are often early stage private companies focused on cybersecurity innovation, artificial intelligence, and other emerging technologies. Such companies may still be developing technologies or products with limited cash to support the development, marketing and sales of their technologies or products. These companies may have no or limited revenues, may not be or ever become profitable, may not be able to secure additional private financing to fund their operations, or their technologies, services, or products may not be successfully developed or introduced to the market. If any company in which we invest, or the funds in which we participate, fails, we could lose all or part of our investment in that company. In addition, if we determine that any of our investments in such companies or funds have experienced a decline in value, we will recognize an expense to adjust the carrying value to its estimated fair value. For example, in 2023 we recognized $5.6 million of impairment loss related to our investments. Negative changes in the estimated fair value of our investments in private companies and funds could have an adverse effect on our results of operations and financial condition.</w:t>
      </w:r>
    </w:p>
    <w:p>
      <w:pPr>
        <w:spacing w:after="0" w:line="189"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Furthermore, our ability to liquidate an investment in a private company or an interest in a private equity fund will typically depend on a liquidity event, such as a private equity financing, a public offering or acquisition, as no public market currently exists for such securities. Our interests in private funds are generally subject to significant transfer restrictions and may require us to remain invested for the life of the fund, which may extend for ten years or more. We may not be able to dispose of these investments on favorable terms or at all.</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01"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and the foreseeable future.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current Credit Agreement includes, and we expect that any future agreements governing our indebtedness will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Weakness and volatility in the capital markets and the economy in general could limit our access to capital markets and increase our costs of borrowing.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do not generate sufficient cash flows, we may be unable to service all of our indebtedness.</w:t>
      </w:r>
    </w:p>
    <w:p>
      <w:pPr>
        <w:spacing w:after="0" w:line="217"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To service our indebtedness, we will require a significant amount of cash. Our ability to generate cash, make scheduled payments or refinance our debt obligations depends on our successful financial and operating performance, which may be affected by a range of economic, competitive and business factors, many of which are outside of our control and some of which are described elsewhere in the “Risk Factors” section of this report.</w:t>
      </w:r>
    </w:p>
    <w:p>
      <w:pPr>
        <w:spacing w:after="0" w:line="18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If our cash flows and capital resources are insufficient to fund our debt service obligations, or to repay our outstanding senior secured credit facility, or Term Loan, when it matures, we may have to undertake alternative financing plans, such as refinancing or restructuring our debt, selling assets or operations, reducing or delaying capital investments, or seeking to raise additional capital. We may not be able to refinance our debt, or any refinancing of our debt could be at higher interest rates and may require us to comply with more restrictive covenants that could further restrict our business operations. Our ability to implement successfully any such alternative financing plans will depend on a range of factors, including general economic conditions, the level of activity in capital markets generally, and the terms of our various debt instruments then in effect.</w:t>
      </w:r>
    </w:p>
    <w:p>
      <w:pPr>
        <w:spacing w:after="0" w:line="187" w:lineRule="exact"/>
        <w:rPr>
          <w:sz w:val="20"/>
          <w:szCs w:val="20"/>
          <w:color w:val="auto"/>
        </w:rPr>
      </w:pPr>
    </w:p>
    <w:p>
      <w:pPr>
        <w:ind w:right="540" w:firstLine="318"/>
        <w:spacing w:after="0" w:line="286" w:lineRule="auto"/>
        <w:rPr>
          <w:sz w:val="20"/>
          <w:szCs w:val="20"/>
          <w:color w:val="auto"/>
        </w:rPr>
      </w:pPr>
      <w:r>
        <w:rPr>
          <w:rFonts w:ascii="Arial" w:cs="Arial" w:eastAsia="Arial" w:hAnsi="Arial"/>
          <w:sz w:val="18"/>
          <w:szCs w:val="18"/>
          <w:b w:val="1"/>
          <w:bCs w:val="1"/>
          <w:i w:val="1"/>
          <w:iCs w:val="1"/>
          <w:color w:val="auto"/>
        </w:rPr>
        <w:t>Covenants under our Credit Agreement may restrict our business and operations in many ways, and if we do not effectively manage our covenants, our financial conditions and results of operations could be adversely affected.</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Agreement imposes various covenants that limit our ability and/or our restricted subsidiaries’ ability to, among other things:</w:t>
      </w:r>
    </w:p>
    <w:p>
      <w:pPr>
        <w:spacing w:after="0" w:line="111"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repurchase equity, prepay, redeem or repurchase certain debt, and make certain investments;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 and issue certain preferred stock;</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liens on assets;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certain asset sales, including capital stock of our subsidiaries;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consolidate with, or sell all or substantially all our assets to another person;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certain restrictions on the ability of restricted subsidiaries to pay dividends or make other payments to us.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covenants may:</w:t>
      </w:r>
    </w:p>
    <w:p>
      <w:pPr>
        <w:spacing w:after="0" w:line="111"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58" w:lineRule="exact"/>
        <w:rPr>
          <w:rFonts w:ascii="Arial" w:cs="Arial" w:eastAsia="Arial" w:hAnsi="Arial"/>
          <w:sz w:val="18"/>
          <w:szCs w:val="18"/>
          <w:color w:val="auto"/>
        </w:rPr>
      </w:pPr>
    </w:p>
    <w:p>
      <w:pPr>
        <w:ind w:left="640" w:right="20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less leveraged competitors;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217"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If we are unable to successfully manage the limitations and decreased flexibility on our business due to our significant debt obligations, we may not be able to capitalize on strategic opportunities or grow our business to the extent we would be able to without these limitations.</w:t>
      </w:r>
    </w:p>
    <w:p>
      <w:pPr>
        <w:spacing w:after="0" w:line="163"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Our failure to comply with any of the covenants could result in a default under the Credit Agreement, which could permit the administrative agent or the lenders to cause the administrative agent to declare all or part of any of our outstanding senior secured term loans or revolving loans to be immediately due and payable or to exercise any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provided to the administrative agent, including, proceeding against the collateral granted to secure our obligations under the Credit Agreement. An event of default under the Credit Agreement could also lead to a default under the terms of certain of our other agreements. Any such event of default or any exercise of rights and remedies by our creditors could seriously harm our business.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variable rate debt subjects us to interest rate risk that could cause our debt service obligations to increase significantly</w:t>
      </w:r>
      <w:r>
        <w:rPr>
          <w:rFonts w:ascii="Arial" w:cs="Arial" w:eastAsia="Arial" w:hAnsi="Arial"/>
          <w:sz w:val="18"/>
          <w:szCs w:val="18"/>
          <w:color w:val="auto"/>
        </w:rPr>
        <w:t>.</w:t>
      </w:r>
    </w:p>
    <w:p>
      <w:pPr>
        <w:spacing w:after="0" w:line="24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The indebtedness under our Credit Agreement is at variable rates of interest, which exposes us to interest rate risk. If interest rates increase, the debt service obligations on such indebtedness would increase even if the amount borrowed remains the same, and our net income and cash flows, including cash available for servicing our indebtedness, would correspondingly decrease. In addition, as a result of an amendment to our Credit Agreement, certain of the variable rate indebtedness extended to us uses the Secured Overnight Financing Rate, or SOFR, as a benchmark for establishing the interest rate. While we will continue to use SOFR, other factors may impact SOFR including factors causing SOFR to cease to exist, new methods of calculating SOFR to be established, or the use of an alternative reference rate(s). These consequences are not entirely predictable and could have an adverse impact on our financing costs, returns on investments, valuation of derivative contracts and our financial results.</w:t>
      </w:r>
    </w:p>
    <w:p>
      <w:pPr>
        <w:spacing w:after="0" w:line="190" w:lineRule="exact"/>
        <w:rPr>
          <w:sz w:val="20"/>
          <w:szCs w:val="20"/>
          <w:color w:val="auto"/>
        </w:rPr>
      </w:pPr>
    </w:p>
    <w:p>
      <w:pPr>
        <w:ind w:right="240" w:firstLine="318"/>
        <w:spacing w:after="0" w:line="253"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and public reporting and corporate governance requirements. If there are significant changes in current principles, financial reporting standards, interpretations or public reporting and corporate governance requirements, or if our estimates or judgments relating to our critical accounting policies or reporting or governance requirements prove to be incorrect, we may experience unexpected financial reporting fluctuations or increased compliance costs and strain on our resources and our results of operations could be adversely affected.</w:t>
      </w:r>
    </w:p>
    <w:p>
      <w:pPr>
        <w:spacing w:after="0" w:line="175"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18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85" w:lineRule="exact"/>
        <w:rPr>
          <w:sz w:val="20"/>
          <w:szCs w:val="20"/>
          <w:color w:val="auto"/>
        </w:rPr>
      </w:pPr>
    </w:p>
    <w:p>
      <w:pPr>
        <w:ind w:right="260" w:firstLine="318"/>
        <w:spacing w:after="0" w:line="275" w:lineRule="auto"/>
        <w:rPr>
          <w:sz w:val="20"/>
          <w:szCs w:val="20"/>
          <w:color w:val="auto"/>
        </w:rPr>
      </w:pPr>
      <w:r>
        <w:rPr>
          <w:rFonts w:ascii="Arial" w:cs="Arial" w:eastAsia="Arial" w:hAnsi="Arial"/>
          <w:sz w:val="17"/>
          <w:szCs w:val="17"/>
          <w:color w:val="auto"/>
        </w:rPr>
        <w:t>As a public company, we are also subject to the reporting and corporate governance requirements of the Exchange Act, the listing requirements of the Nasdaq Stock Market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w:t>
      </w:r>
    </w:p>
    <w:p>
      <w:pPr>
        <w:spacing w:after="0" w:line="164" w:lineRule="exact"/>
        <w:rPr>
          <w:sz w:val="20"/>
          <w:szCs w:val="20"/>
          <w:color w:val="auto"/>
        </w:rPr>
      </w:pPr>
    </w:p>
    <w:p>
      <w:pPr>
        <w:ind w:right="220" w:firstLine="318"/>
        <w:spacing w:after="0" w:line="253"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SEC and applicable listing standard requirements and review new pronouncements, drafts and interpretations thereof that are relevant to us. We might be required to change our accounting policies, alter our operational policies and implement new or enhance existing systems, or we may be required to restate our published financial statements, as a result of new standards or requirements, changes to existing standards or requirements and changes in their interpretation.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changes to existing standards or requirements or changes in their interpretation may have an adverse effect on our reputation, business, financial position and profit, or cause an adverse deviation from our revenue and operating profit target, which may negatively impact our financial results. Additionally, we may incur substantial professional fees and expend significant management efforts, and we may need to hire additional staff with the appropriate experience and compile systems and processes necessary to adopt these new standards and disclosure or governance requirements.</w:t>
      </w:r>
    </w:p>
    <w:p>
      <w:pPr>
        <w:spacing w:after="0" w:line="181"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A number of sustainability disclosure regulations have been enacted, including the State of California's climate disclosure statutes. Failure or perceived failure to comply with sustainability regulations or other perceived shortcomings in regulatory or voluntary sustainability disclosures could lead to regulatory investigations, litigation, reputational harm, and other adverse business consequences.</w:t>
      </w:r>
    </w:p>
    <w:p>
      <w:pPr>
        <w:spacing w:after="0" w:line="175"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In addition, in July 2023, the SEC adopted rules requiring the disclosure of information about a material cybersecurity incident on Form 8-K within four business days of determining that the incident is material, unless the US Attorney General concludes that such a disclosure would pose a substantial risk to national security or public safety. These rules also require disclosures describing the processes used to identify, assess and manage cybersecurity risks, management's role in assessing and managing material risks from cybersecurity threats and the board of directors' role in overseeing cybersecurity risks.</w:t>
      </w:r>
    </w:p>
    <w:p>
      <w:pPr>
        <w:spacing w:after="0" w:line="181" w:lineRule="exact"/>
        <w:rPr>
          <w:sz w:val="20"/>
          <w:szCs w:val="20"/>
          <w:color w:val="auto"/>
        </w:rPr>
      </w:pPr>
    </w:p>
    <w:p>
      <w:pPr>
        <w:ind w:right="320" w:firstLine="318"/>
        <w:spacing w:after="0" w:line="286" w:lineRule="auto"/>
        <w:rPr>
          <w:sz w:val="20"/>
          <w:szCs w:val="20"/>
          <w:color w:val="auto"/>
        </w:rPr>
      </w:pPr>
      <w:r>
        <w:rPr>
          <w:rFonts w:ascii="Arial" w:cs="Arial" w:eastAsia="Arial" w:hAnsi="Arial"/>
          <w:sz w:val="18"/>
          <w:szCs w:val="18"/>
          <w:b w:val="1"/>
          <w:bCs w:val="1"/>
          <w:i w:val="1"/>
          <w:iCs w:val="1"/>
          <w:color w:val="auto"/>
        </w:rPr>
        <w:t>Unstable market and economic conditions may have material adverse consequences on our business, financial condition and share price.</w:t>
      </w:r>
    </w:p>
    <w:p>
      <w:pPr>
        <w:spacing w:after="0" w:line="143"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global economy, including credit and financial markets, recently experienced extreme volatility and disruptions, including severely diminished liquidity and credit availability, declines in consumer confidence, declines in economic growth, increases in unemployment rates, inflation, interest rate fluctuations, increased global trade barriers, and uncertainty about economic stability. For example, in recent years the high rates of inflation, high interest rates and concerns about an economic recession in the United States or other major markets resulted in widespread unemployment, economic slowdown and extreme volatility in the capital markets. In 2022 and 2023, the Federal Reserve raised interest rates multiple times in response to concerns about inflation and maintained those levels throughout 2024. While the Federal Reserve decreased interest rates in 2025, interest rates remain elevated relative to recent historical lows.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 international customers, which has impacted, and in the future could impact, the budgets and purchasing decisions of certain of our existing and prospective international customers.</w:t>
      </w:r>
    </w:p>
    <w:p>
      <w:pPr>
        <w:spacing w:after="0" w:line="191"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Increased inflation rates can adversely affect us by increasing our costs, including labor and employee benefit costs. In addition, higher inflation could also increase our customers’ operating costs, which could result in reduced budgets for our customers, longer sales cycles and potentially less demand for our products. Any significant increases in inflation and related increases in interest rates could have a material adverse effect on our business, results of operations and financial condition.</w:t>
      </w:r>
    </w:p>
    <w:p>
      <w:pPr>
        <w:spacing w:after="0" w:line="18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In addition, recent tariff actions and escalating trade tensions have contributed to heightened market uncertainty and increased operating costs for certain customers, which may cause private-sector customers to defer or reprioritize purchasing decisions as they assess potential impacts from ongoing trade negotiations and regulatory developments, which could extend enterprise procurement cycles and would adversely impact our business.</w:t>
      </w:r>
    </w:p>
    <w:p>
      <w:pPr>
        <w:spacing w:after="0" w:line="180"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Additionally, retaliatory trade policies or anti-U.S. sentiment in certain regions whether driven by trade tensions, political disagreements, or regulatory concerns may make customers more hesitant to adopt solutions offered by U.S.-based providers.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digital services, which may result in heightened international legal and operational risks and difficulties in attracting and retaining non-U.S. customers, suppliers, employees, partners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Trade disputes, trade restrictions, tariffs, and other political tensions between the United States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Ongoing tariff and macroeconomic uncertainty has and may continue to contribute to volatility in the price of our common stock. Furthermore, if the equity and credit markets deteriorate, including as a result of political unrest or war, it may make any necessary debt or equity financing more difficult to obtain in a timely manner or on favorable terms, more costly or more dilutive.</w:t>
      </w:r>
    </w:p>
    <w:p>
      <w:pPr>
        <w:spacing w:after="0" w:line="187"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continue scaling our business quickly enough to meet our customers’ growing needs.</w:t>
      </w:r>
    </w:p>
    <w:p>
      <w:pPr>
        <w:spacing w:after="0" w:line="21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17" w:lineRule="exact"/>
        <w:rPr>
          <w:sz w:val="20"/>
          <w:szCs w:val="20"/>
          <w:color w:val="auto"/>
        </w:rPr>
      </w:pPr>
    </w:p>
    <w:p>
      <w:pPr>
        <w:ind w:right="200" w:firstLine="318"/>
        <w:spacing w:after="0" w:line="260"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w:t>
      </w:r>
    </w:p>
    <w:p>
      <w:pPr>
        <w:spacing w:after="0" w:line="175"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We have both hybrid remote and in-person work policies, however, substantially all of our employees have continued to work in a hybrid environment, which may pose additional security risks. Our business operations are subject to interruption by natural disasters, including those related to the long-term effects of climate change, and other catastrophic events such as fire, floods, power loss, telecommunications failure, cyberattack, war or terrorist attack, or epidemic or pandemic. To the extent such events impact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19" w:lineRule="exact"/>
        <w:rPr>
          <w:sz w:val="20"/>
          <w:szCs w:val="20"/>
          <w:color w:val="auto"/>
        </w:rPr>
      </w:pPr>
    </w:p>
    <w:p>
      <w:pPr>
        <w:ind w:right="20" w:firstLine="318"/>
        <w:spacing w:after="0" w:line="286"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43" w:lineRule="exact"/>
        <w:rPr>
          <w:sz w:val="20"/>
          <w:szCs w:val="20"/>
          <w:color w:val="auto"/>
        </w:rPr>
      </w:pPr>
    </w:p>
    <w:p>
      <w:pPr>
        <w:jc w:val="both"/>
        <w:ind w:right="400" w:firstLine="318"/>
        <w:spacing w:after="0" w:line="260"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the requirements of certain government agencies, which have strict security clearance requirements for personnel who perform work in support of classified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0" w:lineRule="exact"/>
        <w:rPr>
          <w:sz w:val="20"/>
          <w:szCs w:val="20"/>
          <w:color w:val="auto"/>
        </w:rPr>
      </w:pPr>
    </w:p>
    <w:p>
      <w:pPr>
        <w:ind w:right="540" w:firstLine="318"/>
        <w:spacing w:after="0" w:line="286"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43" w:lineRule="exact"/>
        <w:rPr>
          <w:sz w:val="20"/>
          <w:szCs w:val="20"/>
          <w:color w:val="auto"/>
        </w:rPr>
      </w:pPr>
    </w:p>
    <w:p>
      <w:pPr>
        <w:ind w:firstLine="318"/>
        <w:spacing w:after="0" w:line="282" w:lineRule="auto"/>
        <w:rPr>
          <w:sz w:val="20"/>
          <w:szCs w:val="20"/>
          <w:color w:val="auto"/>
        </w:rPr>
      </w:pPr>
      <w:r>
        <w:rPr>
          <w:rFonts w:ascii="Arial" w:cs="Arial" w:eastAsia="Arial" w:hAnsi="Arial"/>
          <w:sz w:val="17"/>
          <w:szCs w:val="17"/>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5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7"/>
          <w:szCs w:val="17"/>
          <w:color w:val="auto"/>
        </w:rPr>
        <w:t>At December 31, 2025, we had 53 issued patents and 22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and “Nessus,” and our Tenable logo in the United States and certain other countries. We have registrations and/or pending applications for additional trademarks;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173"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176"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68" w:lineRule="exact"/>
        <w:rPr>
          <w:sz w:val="20"/>
          <w:szCs w:val="20"/>
          <w:color w:val="auto"/>
        </w:rPr>
      </w:pPr>
    </w:p>
    <w:p>
      <w:pPr>
        <w:ind w:right="20" w:firstLine="318"/>
        <w:spacing w:after="0" w:line="286"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4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and as we acquire more companies,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186"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There may be third-party intellectual property rights, including issued or pending patents that cover significant aspects of our technologies or business methods, including those relating to companies we acquire.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1" w:lineRule="exact"/>
        <w:rPr>
          <w:sz w:val="20"/>
          <w:szCs w:val="20"/>
          <w:color w:val="auto"/>
        </w:rPr>
      </w:pPr>
    </w:p>
    <w:p>
      <w:pPr>
        <w:ind w:right="420" w:firstLine="318"/>
        <w:spacing w:after="0" w:line="286"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43"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185"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17" w:lineRule="exact"/>
        <w:rPr>
          <w:sz w:val="20"/>
          <w:szCs w:val="20"/>
          <w:color w:val="auto"/>
        </w:rPr>
      </w:pPr>
    </w:p>
    <w:p>
      <w:pPr>
        <w:jc w:val="both"/>
        <w:ind w:right="260" w:firstLine="318"/>
        <w:spacing w:after="0" w:line="260"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69"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58"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58" w:lineRule="exact"/>
        <w:rPr>
          <w:rFonts w:ascii="Arial" w:cs="Arial" w:eastAsia="Arial" w:hAnsi="Arial"/>
          <w:sz w:val="18"/>
          <w:szCs w:val="18"/>
          <w:color w:val="auto"/>
        </w:rPr>
      </w:pPr>
    </w:p>
    <w:p>
      <w:pPr>
        <w:ind w:left="640" w:right="380" w:hanging="316"/>
        <w:spacing w:after="0" w:line="27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the terms of the Credit Agreement;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58" w:lineRule="exact"/>
        <w:rPr>
          <w:rFonts w:ascii="Arial" w:cs="Arial" w:eastAsia="Arial" w:hAnsi="Arial"/>
          <w:sz w:val="18"/>
          <w:szCs w:val="18"/>
          <w:color w:val="auto"/>
        </w:rPr>
      </w:pPr>
    </w:p>
    <w:p>
      <w:pPr>
        <w:ind w:left="640" w:right="620" w:hanging="316"/>
        <w:spacing w:after="0" w:line="27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right="4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or proposed laws or regulations or new interpretations of existing laws or regulations applicable to our business, including changes to the U.S. corporate income tax rate and capital gains tax rates;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58" w:lineRule="exact"/>
        <w:rPr>
          <w:rFonts w:ascii="Arial" w:cs="Arial" w:eastAsia="Arial" w:hAnsi="Arial"/>
          <w:sz w:val="18"/>
          <w:szCs w:val="18"/>
          <w:color w:val="auto"/>
        </w:rPr>
      </w:pPr>
    </w:p>
    <w:p>
      <w:pPr>
        <w:ind w:left="640" w:right="380" w:hanging="316"/>
        <w:spacing w:after="0" w:line="27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public health crises such as pandemics or similar outbreaks, war, incidents of terrorism or responses to these events.</w:t>
      </w:r>
    </w:p>
    <w:p>
      <w:pPr>
        <w:spacing w:after="0" w:line="16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geopolitical,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5" w:lineRule="exact"/>
        <w:rPr>
          <w:sz w:val="20"/>
          <w:szCs w:val="20"/>
          <w:color w:val="auto"/>
        </w:rPr>
      </w:pPr>
    </w:p>
    <w:p>
      <w:pPr>
        <w:ind w:right="360" w:firstLine="318"/>
        <w:spacing w:after="0" w:line="28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7" w:lineRule="exact"/>
        <w:rPr>
          <w:sz w:val="20"/>
          <w:szCs w:val="20"/>
          <w:color w:val="auto"/>
        </w:rPr>
      </w:pPr>
    </w:p>
    <w:p>
      <w:pPr>
        <w:ind w:right="100" w:firstLine="318"/>
        <w:spacing w:after="0" w:line="286"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by us or our stockholders, or the perception that such sales might occur, could reduce the price that our common stock might otherwise attain.</w:t>
      </w:r>
    </w:p>
    <w:p>
      <w:pPr>
        <w:spacing w:after="0" w:line="143" w:lineRule="exact"/>
        <w:rPr>
          <w:sz w:val="20"/>
          <w:szCs w:val="20"/>
          <w:color w:val="auto"/>
        </w:rPr>
      </w:pPr>
    </w:p>
    <w:p>
      <w:pPr>
        <w:ind w:right="260" w:firstLine="318"/>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18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5" w:lineRule="exact"/>
        <w:rPr>
          <w:sz w:val="20"/>
          <w:szCs w:val="20"/>
          <w:color w:val="auto"/>
        </w:rPr>
      </w:pPr>
    </w:p>
    <w:p>
      <w:pPr>
        <w:ind w:right="200" w:firstLine="318"/>
        <w:spacing w:after="0" w:line="286"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43"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discretion of our Board of Directors. Accordingly, investors must rely on sales of their common stock after price appreciation, which may never occur, as the only way to realize any future gains on their investments. In addition, our Credit Agreement contains restrictive covenants that prohibit us, subject to certain exceptions, from paying dividends on our common stock.</w:t>
      </w:r>
    </w:p>
    <w:p>
      <w:pPr>
        <w:spacing w:after="0" w:line="175" w:lineRule="exact"/>
        <w:rPr>
          <w:sz w:val="20"/>
          <w:szCs w:val="20"/>
          <w:color w:val="auto"/>
        </w:rPr>
      </w:pPr>
    </w:p>
    <w:p>
      <w:pPr>
        <w:ind w:right="60" w:firstLine="318"/>
        <w:spacing w:after="0" w:line="286"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4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On November 27, 2023, we announced that our Board of Directors authorized a share repurchase program of up to $100 million of shares of our outstanding common stock. In October 2024, July 2025 and January 2026, our Board of Directors increased the repurchase authorization by $200 million, $250 million and $150 million, respectively, bringing the total authorized amount to $700 million.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and amount of repurchases, if any, will be subject to liquidity, stock price, market and economic conditions, compliance with applicable legal requirements such as Delaware surplus and solvency tests, compliance with our credit agreement, and other relevant factors.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 and we may fail to realize the anticipated long-term stockholder value. Additionally, there is a one-percent non-deductible excise tax on net repurchases of stock that are made by U.S. publicly traded corporations.</w:t>
      </w:r>
    </w:p>
    <w:p>
      <w:pPr>
        <w:spacing w:after="0" w:line="176" w:lineRule="exact"/>
        <w:rPr>
          <w:sz w:val="20"/>
          <w:szCs w:val="20"/>
          <w:color w:val="auto"/>
        </w:rPr>
      </w:pPr>
    </w:p>
    <w:p>
      <w:pPr>
        <w:ind w:right="240" w:firstLine="318"/>
        <w:spacing w:after="0" w:line="26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60"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74" w:lineRule="exact"/>
        <w:rPr>
          <w:sz w:val="20"/>
          <w:szCs w:val="20"/>
          <w:color w:val="auto"/>
        </w:rPr>
      </w:pPr>
    </w:p>
    <w:p>
      <w:pPr>
        <w:ind w:left="640" w:right="40" w:hanging="316"/>
        <w:spacing w:after="0" w:line="27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4" w:lineRule="exact"/>
        <w:rPr>
          <w:rFonts w:ascii="Arial" w:cs="Arial" w:eastAsia="Arial" w:hAnsi="Arial"/>
          <w:sz w:val="18"/>
          <w:szCs w:val="18"/>
          <w:color w:val="auto"/>
        </w:rPr>
      </w:pPr>
    </w:p>
    <w:p>
      <w:pPr>
        <w:ind w:left="640" w:right="400" w:hanging="316"/>
        <w:spacing w:after="0" w:line="26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6" w:lineRule="exact"/>
        <w:rPr>
          <w:rFonts w:ascii="Arial" w:cs="Arial" w:eastAsia="Arial" w:hAnsi="Arial"/>
          <w:sz w:val="18"/>
          <w:szCs w:val="18"/>
          <w:color w:val="auto"/>
        </w:rPr>
      </w:pPr>
    </w:p>
    <w:p>
      <w:pPr>
        <w:ind w:left="640" w:right="40" w:hanging="316"/>
        <w:spacing w:after="0" w:line="292"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7"/>
          <w:szCs w:val="17"/>
          <w:color w:val="auto"/>
        </w:rPr>
      </w:pPr>
    </w:p>
    <w:p>
      <w:pPr>
        <w:ind w:left="640" w:right="260" w:hanging="316"/>
        <w:spacing w:after="0" w:line="27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 w:lineRule="exact"/>
        <w:rPr>
          <w:rFonts w:ascii="Arial" w:cs="Arial" w:eastAsia="Arial" w:hAnsi="Arial"/>
          <w:sz w:val="18"/>
          <w:szCs w:val="18"/>
          <w:color w:val="auto"/>
        </w:rPr>
      </w:pPr>
    </w:p>
    <w:p>
      <w:pPr>
        <w:jc w:val="both"/>
        <w:ind w:left="640" w:right="20" w:hanging="316"/>
        <w:spacing w:after="0" w:line="26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6" w:lineRule="exact"/>
        <w:rPr>
          <w:rFonts w:ascii="Arial" w:cs="Arial" w:eastAsia="Arial" w:hAnsi="Arial"/>
          <w:sz w:val="18"/>
          <w:szCs w:val="18"/>
          <w:color w:val="auto"/>
        </w:rPr>
      </w:pPr>
    </w:p>
    <w:p>
      <w:pPr>
        <w:ind w:left="640" w:right="40" w:hanging="316"/>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21" w:lineRule="exact"/>
        <w:rPr>
          <w:rFonts w:ascii="Arial" w:cs="Arial" w:eastAsia="Arial" w:hAnsi="Arial"/>
          <w:sz w:val="18"/>
          <w:szCs w:val="18"/>
          <w:color w:val="auto"/>
        </w:rPr>
      </w:pPr>
    </w:p>
    <w:p>
      <w:pPr>
        <w:ind w:left="640" w:right="200" w:hanging="316"/>
        <w:spacing w:after="0" w:line="26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right="140" w:hanging="316"/>
        <w:spacing w:after="0" w:line="260"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5"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63" w:lineRule="exact"/>
        <w:rPr>
          <w:sz w:val="20"/>
          <w:szCs w:val="20"/>
          <w:color w:val="auto"/>
        </w:rPr>
      </w:pPr>
    </w:p>
    <w:p>
      <w:pPr>
        <w:ind w:right="200" w:firstLine="318"/>
        <w:spacing w:after="0" w:line="288"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44" w:lineRule="exact"/>
        <w:rPr>
          <w:sz w:val="20"/>
          <w:szCs w:val="20"/>
          <w:color w:val="auto"/>
        </w:rPr>
      </w:pPr>
    </w:p>
    <w:p>
      <w:pPr>
        <w:ind w:right="740" w:firstLine="318"/>
        <w:spacing w:after="0" w:line="274"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57"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58" w:lineRule="exact"/>
        <w:rPr>
          <w:rFonts w:ascii="Arial" w:cs="Arial" w:eastAsia="Arial" w:hAnsi="Arial"/>
          <w:sz w:val="18"/>
          <w:szCs w:val="18"/>
          <w:color w:val="auto"/>
        </w:rPr>
      </w:pPr>
    </w:p>
    <w:p>
      <w:pPr>
        <w:ind w:left="640" w:right="80" w:hanging="316"/>
        <w:spacing w:after="0" w:line="27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5" w:lineRule="exact"/>
        <w:rPr>
          <w:sz w:val="20"/>
          <w:szCs w:val="20"/>
          <w:color w:val="auto"/>
        </w:rPr>
      </w:pPr>
    </w:p>
    <w:p>
      <w:pPr>
        <w:ind w:right="120" w:firstLine="31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Risks</w:t>
      </w:r>
    </w:p>
    <w:p>
      <w:pPr>
        <w:spacing w:after="0" w:line="219" w:lineRule="exact"/>
        <w:rPr>
          <w:sz w:val="20"/>
          <w:szCs w:val="20"/>
          <w:color w:val="auto"/>
        </w:rPr>
      </w:pPr>
    </w:p>
    <w:p>
      <w:pPr>
        <w:ind w:right="160" w:firstLine="318"/>
        <w:spacing w:after="0" w:line="317" w:lineRule="auto"/>
        <w:rPr>
          <w:sz w:val="20"/>
          <w:szCs w:val="20"/>
          <w:color w:val="auto"/>
        </w:rPr>
      </w:pPr>
      <w:r>
        <w:rPr>
          <w:rFonts w:ascii="Arial" w:cs="Arial" w:eastAsia="Arial" w:hAnsi="Arial"/>
          <w:sz w:val="17"/>
          <w:szCs w:val="17"/>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20"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We are subject to the anti -bribery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8" w:lineRule="exact"/>
        <w:rPr>
          <w:sz w:val="20"/>
          <w:szCs w:val="20"/>
          <w:color w:val="auto"/>
        </w:rPr>
      </w:pPr>
    </w:p>
    <w:p>
      <w:pPr>
        <w:jc w:val="center"/>
        <w:ind w:right="60"/>
        <w:spacing w:after="0" w:line="317"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2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186"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187" w:lineRule="exact"/>
        <w:rPr>
          <w:sz w:val="20"/>
          <w:szCs w:val="20"/>
          <w:color w:val="auto"/>
        </w:rPr>
      </w:pPr>
    </w:p>
    <w:p>
      <w:pPr>
        <w:ind w:right="140" w:firstLine="318"/>
        <w:spacing w:after="0" w:line="282" w:lineRule="auto"/>
        <w:rPr>
          <w:sz w:val="20"/>
          <w:szCs w:val="20"/>
          <w:color w:val="auto"/>
        </w:rPr>
      </w:pPr>
      <w:r>
        <w:rPr>
          <w:rFonts w:ascii="Arial" w:cs="Arial" w:eastAsia="Arial" w:hAnsi="Arial"/>
          <w:sz w:val="17"/>
          <w:szCs w:val="17"/>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00" w:firstLine="318"/>
        <w:spacing w:after="0" w:line="286" w:lineRule="auto"/>
        <w:rPr>
          <w:sz w:val="20"/>
          <w:szCs w:val="20"/>
          <w:color w:val="auto"/>
        </w:rPr>
      </w:pPr>
      <w:r>
        <w:rPr>
          <w:rFonts w:ascii="Arial" w:cs="Arial" w:eastAsia="Arial" w:hAnsi="Arial"/>
          <w:sz w:val="18"/>
          <w:szCs w:val="18"/>
          <w:b w:val="1"/>
          <w:bCs w:val="1"/>
          <w:i w:val="1"/>
          <w:iCs w:val="1"/>
          <w:color w:val="auto"/>
        </w:rPr>
        <w:t>Changes to and uncertainties in the interpretation and application of tax laws and regulations could materially affect our tax obligations and effective tax rate.</w:t>
      </w:r>
    </w:p>
    <w:p>
      <w:pPr>
        <w:spacing w:after="0" w:line="14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and may be subject to significant change. The issuance of additional regulatory or accounting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Furthermore, our tax obligations (including the cost of compliance) could increase as a result of international tax developments. For example, the Organization for Economic Co-operation and Development, or OECD, is leading work on proposals, commonly referred to as “BEPS 2.0”, which have made (and are expected to continue to make) changes to the international tax system. These proposals include, among other measures, the imposition of a minimum effective tax rate on certain multinational enterprises, referred to as Pillar Two. A number of countries in which we operate have enacted, or are planning to enact, core elements of the Pillar Two rules (with further provisions expected to be enacted in the future). The OECD has issued (and is expected to continue to issue) administrative guidance providing transition and safe harbor rules in relation to the implementation of Pillar Two. For example, on January 5, 2026, the OECD published details of a proposed "side-by-side" arrangement providing for, among other things, additional safe harbors for multinational groups headquartered in certain qualifying jurisdictions, which includes the U.S. We are monitoring developments and evaluating the potential impacts of these rules, including on our effective tax rates and considering our eligibility to qualify for the available safe harbor rules (including under the proposed "side-by-side" arrangement). Any of the foregoing could increase our tax obligations and require us to incur additional material costs to ensure compliance with any such rules in the countries where we do business.</w:t>
      </w:r>
    </w:p>
    <w:p>
      <w:pPr>
        <w:spacing w:after="0" w:line="196"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In addition, forecasts of our income tax position and effective tax rate for financial accounting purposes are complex and subject to significant judgment and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tax laws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tax assets and attributes, our assessment of the need for valuation allowances, effective tax rates by jurisdiction or other factors are different than those estimated, our actual tax rate could be materially different than forecasted, which could have a material impact on our business, financial condition and results of operations.</w:t>
      </w:r>
    </w:p>
    <w:p>
      <w:pPr>
        <w:spacing w:after="0" w:line="187" w:lineRule="exact"/>
        <w:rPr>
          <w:sz w:val="20"/>
          <w:szCs w:val="20"/>
          <w:color w:val="auto"/>
        </w:rPr>
      </w:pPr>
    </w:p>
    <w:p>
      <w:pPr>
        <w:ind w:right="400" w:firstLine="318"/>
        <w:spacing w:after="0" w:line="317" w:lineRule="auto"/>
        <w:rPr>
          <w:sz w:val="20"/>
          <w:szCs w:val="20"/>
          <w:color w:val="auto"/>
        </w:rPr>
      </w:pPr>
      <w:r>
        <w:rPr>
          <w:rFonts w:ascii="Arial" w:cs="Arial" w:eastAsia="Arial" w:hAnsi="Arial"/>
          <w:sz w:val="17"/>
          <w:szCs w:val="17"/>
          <w:b w:val="1"/>
          <w:bCs w:val="1"/>
          <w:i w:val="1"/>
          <w:iCs w:val="1"/>
          <w:color w:val="auto"/>
        </w:rPr>
        <w:t>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120"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result in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17"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At December 31, 2025 we had U.S. federal, state and foreign net operating loss carryforwards, or NOLs, of $378.4 million, $218.9 million, and $618.7 million, respectively, available to offset future taxable income, some of which will begin to expire in 2030. A lack of future taxable income would adversely affect our ability to utilize certain of our NOLs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color w:val="auto"/>
        </w:rPr>
        <w:t>they expire. Under current law, Federal NOLs incurred in taxable years beginning after December 31, 2017 can be carried forward indefinitely, but the deductibility of such federal NOLs in a taxable year is limited to 80% of taxable income in such year. Certain foreign jurisdictions have annual limitations on the use of NOLs.</w:t>
      </w:r>
    </w:p>
    <w:p>
      <w:pPr>
        <w:spacing w:after="0" w:line="17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under the provisions of the Internal Revenue Code of 1986, as amended, or the Internal Revenue Code, changes in our ownership may limit the amount of pre-change NOLs that can be utilized annually in the future to offset taxable income. Section 382 and 383 of the Internal Revenue Code impose limitations on a company’s ability to use its NOLs and other tax assets to offset its taxable income if one or more stockholders or groups of stockholders that each own at least 5% of the company’s stock increase their aggregate ownership (by value) by more than 50 percentage points over their lowest ownership percentages within a rolling three-year period. Similar rules may apply under state and foreign tax laws. Based upon an analysis at December 31, 2025, we do not expect these limitations to materially impair our ability to use our NOLs and other tax assets prior to expiration. However, if changes in our ownership occurred after such date, or occur in the future, our ability to use our NOLs and other tax assets may be limited. Subsequent statutory or regulatory changes in respect of the utilization of NOLs and other tax assets for federal, state or foreign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our NOLs and other tax assets, even if we achieve profitability.</w:t>
      </w:r>
    </w:p>
    <w:p>
      <w:pPr>
        <w:spacing w:after="0" w:line="179" w:lineRule="exact"/>
        <w:rPr>
          <w:sz w:val="20"/>
          <w:szCs w:val="20"/>
          <w:color w:val="auto"/>
        </w:rPr>
      </w:pPr>
    </w:p>
    <w:p>
      <w:pPr>
        <w:jc w:val="both"/>
        <w:ind w:right="640" w:firstLine="318"/>
        <w:spacing w:after="0" w:line="266"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180"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19"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We recognize the critical importance of developing, implementing, and maintaining robust cybersecurity measures to safeguard our information systems and protect the confidentiality, integrity, and availability of our data and our exposure management solutions. We have implemented and maintain various information security processes designed to identify, assess and manage material risks from cybersecurity threats to our critical computer networks, third-party hosted services, communications systems, hardware and software, critical data (including without limitation intellectual property, confidential information that is proprietary, strategic or competitive, customer vulnerability data, and information systems data), and exposure management solutions.</w:t>
      </w:r>
    </w:p>
    <w:p>
      <w:pPr>
        <w:spacing w:after="0" w:line="185"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Our Information Security function is overseen by our Chief Security Officer, or CSO, and is supported by our Chief Information Officer, Chief Product Officer and Product Engineering Team Leads, Chief Legal Officer, and Head of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Privacy. Our Information Security function is responsible for identifying, assessing and managing cybersecurity threats and risks and works to monitor and evaluate our threat environment and risk profile using various methods. These methods include conducting vulnerability assessments and threat assessments in certain environments for internal and external threats, scanning certain environments, analyzing certain reports of threats and actors, conducting internal audits for certain systems, evaluating our and our industry’s risk profile, coordinating with law enforcement concerning select threats, and engaging with third-party service providers to conduct external audits, threat assessments for certain systems, provide intelligence feeds, and conduct red/blue team testing and tabletop incident response exercises.</w:t>
      </w:r>
    </w:p>
    <w:p>
      <w:pPr>
        <w:spacing w:after="0" w:line="169"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We implement and maintain various technical, physical, and organizational measures, processes, standards and policies designed to manage and mitigate material risks from cybersecurity threats to our information systems and data depending on the environment. This includes maintaining an incident response plan, exposure management policy, and disaster recovery and business continuity plans, conducting risk assessments for certain environments, implementing certain security standards and certifications for certain products and systems, encrypting certain data in transit and at rest, controlling data access in certain environments, using multiple security controls in certain environments, segregating certain data, monitoring certain systems, performing regular security assessments for certain systems, training employees, maintaining cybersecurity insurance, maintaining dedicated cybersecurity staff, and conducting internal and external penetration tests.</w:t>
      </w:r>
    </w:p>
    <w:p>
      <w:pPr>
        <w:spacing w:after="0" w:line="190"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Our assessment and management of material risks from cybersecurity threats are integrated into our overall risk management processes. This integration is designed to ensure that cybersecurity considerations are part of our decision-making processes. Our senior management evaluates material risks from cybersecurity threats against our overall business objectives and reports to the Cybersecurity Risk Management Committee, or Cybersecurity Committee, of the Board of Directors.</w:t>
      </w:r>
    </w:p>
    <w:p>
      <w:pPr>
        <w:spacing w:after="0" w:line="180"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We use third-party service providers to assist us from time to time in identifying, assessing, and managing material risks from cybersecurity threats, including for example cybersecurity consultants and software providers, managed cybersecurity service providers, threat intelligence service providers, forensic investigators, penetration testing firms, dark web monitoring services, and professional services firms, including legal counsel and auditors. By partnering with these specialized providers, we can leverage their insights and expertise to continue to refine our cybersecurity strategies and processes.</w:t>
      </w:r>
    </w:p>
    <w:p>
      <w:pPr>
        <w:spacing w:after="0" w:line="181"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We have established processes designed to manage the cybersecurity risks associated with working with third-party service providers. We evaluate the risks associated with third parties before engagement and maintain ongoing monitoring of such third parties designed to ensure compliance with our security standards. This includes security questionnaires and assessments, as well as external attack surface management.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5"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See Risk Factors in this Annual Report on Form 10-K for a description of the risks from cybersecurity threats that may materially affect us and how they may do so.</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Governance</w:t>
      </w:r>
    </w:p>
    <w:p>
      <w:pPr>
        <w:spacing w:after="0" w:line="217" w:lineRule="exact"/>
        <w:rPr>
          <w:sz w:val="20"/>
          <w:szCs w:val="20"/>
          <w:color w:val="auto"/>
        </w:rPr>
      </w:pPr>
    </w:p>
    <w:p>
      <w:pPr>
        <w:jc w:val="both"/>
        <w:ind w:right="240" w:firstLine="318"/>
        <w:spacing w:after="0" w:line="260" w:lineRule="auto"/>
        <w:rPr>
          <w:sz w:val="20"/>
          <w:szCs w:val="20"/>
          <w:color w:val="auto"/>
        </w:rPr>
      </w:pPr>
      <w:r>
        <w:rPr>
          <w:rFonts w:ascii="Arial" w:cs="Arial" w:eastAsia="Arial" w:hAnsi="Arial"/>
          <w:sz w:val="18"/>
          <w:szCs w:val="18"/>
          <w:color w:val="auto"/>
        </w:rPr>
        <w:t>Our Board of Directors addresses cybersecurity risk management as part of its general oversight function. The Cybersecurity Committee assists with fulfilling this oversight responsibility for our cybersecurity risk management processes, including oversight and mitigation of risks from cybersecurity threats.</w:t>
      </w:r>
    </w:p>
    <w:p>
      <w:pPr>
        <w:spacing w:after="0" w:line="175"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Cybersecurity Committee bears the primary responsibility for oversight of the management of risks related to the use and protection of information technology, cybersecurity, and product security. The Cybersecurity Committee consists of directors with cybersecurity and other expertise including risk management, technology and finance.</w:t>
      </w:r>
    </w:p>
    <w:p>
      <w:pPr>
        <w:spacing w:after="0" w:line="175" w:lineRule="exact"/>
        <w:rPr>
          <w:sz w:val="20"/>
          <w:szCs w:val="20"/>
          <w:color w:val="auto"/>
        </w:rPr>
      </w:pPr>
    </w:p>
    <w:p>
      <w:pPr>
        <w:jc w:val="both"/>
        <w:ind w:right="220" w:firstLine="318"/>
        <w:spacing w:after="0" w:line="260" w:lineRule="auto"/>
        <w:rPr>
          <w:sz w:val="20"/>
          <w:szCs w:val="20"/>
          <w:color w:val="auto"/>
        </w:rPr>
      </w:pPr>
      <w:r>
        <w:rPr>
          <w:rFonts w:ascii="Arial" w:cs="Arial" w:eastAsia="Arial" w:hAnsi="Arial"/>
          <w:sz w:val="18"/>
          <w:szCs w:val="18"/>
          <w:color w:val="auto"/>
        </w:rPr>
        <w:t>Our CSO is responsible for implementing and maintaining our cybersecurity risk assessment and management processes. Our CSO has over 25 years of experience in cybersecurity, including serving as a chief security and strategy officer at another company as well as serving over 20 years conducting offensive and defensive cyber operations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intelligence community and US Cyber Command. Our CSO oversees and maintains our information security management framework and is responsible for defining and implementing our information security strategy, hiring appropriate personnel, communicating key cybersecurity priorities to relevant personnel, and managing cybersecurity budgets and cybersecurity processes.</w:t>
      </w:r>
    </w:p>
    <w:p>
      <w:pPr>
        <w:spacing w:after="0" w:line="175"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Our CSO seeks to regularly obtain information about relevant developments in cybersecurity, including potential threats and risk management techniques to help shape our approach to preventing, detecting, mitigating, and remediating cybersecurity threats. Our CSO is also responsible for implementing and overseeing processes for regularly monitoring our information systems and data, including the conducting of periodic audits of certain systems to identify potential vulnerabilities. The CSO reports directly to our Co-Chief Executive Officer, Mr. Vintz, and provides regular updates to our executive team, Cybersecurity Committee and Board of Directors on certain cybersecurity risks and incidents.</w:t>
      </w:r>
    </w:p>
    <w:p>
      <w:pPr>
        <w:spacing w:after="0" w:line="185"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In the event of a cybersecurity incident, the CSO initiates our incident response plan that includes actions designed to mitigate the impact and long-term strategies for remediation and prevention of future incidents. Our incident response plan is designed to escalate certain cybersecurity incidents to members of management depending on the circumstances, including reporting to the Cybersecurity Committee and the Board of Directors for certain cybersecurity incidents.</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19"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Our corporate headquarters in Columbia, Maryland consist of approximately 160,000 square feet under a lease that expires in February 2032. We maintain additional offices in North America, Europe and the Middle East, Asia Pacific and South America. We believe that our current facilities are adequate to meet our ongoing needs and that suitable additional alternative spaces will be available in the future on commercially reasonable terms.</w:t>
      </w:r>
    </w:p>
    <w:p>
      <w:pPr>
        <w:spacing w:after="0" w:line="1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19"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trades on the Nasdaq Global Select Market under the ticker symbol "TENB."</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17" w:lineRule="exact"/>
        <w:rPr>
          <w:sz w:val="20"/>
          <w:szCs w:val="20"/>
          <w:color w:val="auto"/>
        </w:rPr>
      </w:pPr>
    </w:p>
    <w:p>
      <w:pPr>
        <w:jc w:val="both"/>
        <w:ind w:right="760" w:firstLine="318"/>
        <w:spacing w:after="0" w:line="304" w:lineRule="auto"/>
        <w:rPr>
          <w:sz w:val="20"/>
          <w:szCs w:val="20"/>
          <w:color w:val="auto"/>
        </w:rPr>
      </w:pPr>
      <w:r>
        <w:rPr>
          <w:rFonts w:ascii="Arial" w:cs="Arial" w:eastAsia="Arial" w:hAnsi="Arial"/>
          <w:sz w:val="17"/>
          <w:szCs w:val="17"/>
          <w:color w:val="auto"/>
        </w:rPr>
        <w:t>At December 31, 2025, we had 13 holders of record. Because many of our shares of common stock are held by brokers and other institutions on behalf of stockholders, we are unable to estimate the total number of stockholders represented by these record holders.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17"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We have never declared or paid any dividends on our common stock. In addition, our credit agreement with JPMorgan Chase Bank, N.A., as administrative agent and collateral agent, contains restrictive covenants that limit our ability to pay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Unregistered Issuances of Equity Securities</w:t>
      </w:r>
    </w:p>
    <w:p>
      <w:pPr>
        <w:spacing w:after="0" w:line="21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On June 17, 2025, in connection with our acquisition of Apex Security, Inc., or Apex, we issued 187,304 shares of restricted common stock to certain key Apex employees. These shares have not been registered under the Securities Act or the securities laws of any state of the United States in reliance upon certain exemptions from registration under said acts and may not be offered or sold absent to registration or pursuant to an exemption therefrom. The foregoing did not involve any underwriters, underwriting discounts or commissions, or any public offering. The sales were exempt from registration under the Securities Act in reliance on Section 4(a)(2) of the Securities Act (and Regulation D or Regulation S promulgated thereunder) as transactions by an issuer not involving any public offering. The recipients of the securities represented their intentions to acquire the securities for investment only and not with a view to, or for sale in connection with, any distribution thereof, and appropriate legends were placed on the share certificates issued. The shares are deemed restricted securities, and unless so registered, may not be offered or sold in the United States except pursuant to an exemption from the registration requirements of the Securities Act. All recipients had adequate access, through their relationships with us, to information about us. The sales of these securities were made without any general solicitation or advertising.</w:t>
      </w:r>
    </w:p>
    <w:p>
      <w:pPr>
        <w:spacing w:after="0" w:line="191" w:lineRule="exact"/>
        <w:rPr>
          <w:sz w:val="20"/>
          <w:szCs w:val="20"/>
          <w:color w:val="auto"/>
        </w:rPr>
      </w:pPr>
    </w:p>
    <w:p>
      <w:pPr>
        <w:ind w:right="80" w:firstLine="318"/>
        <w:spacing w:after="0" w:line="274" w:lineRule="auto"/>
        <w:rPr>
          <w:sz w:val="20"/>
          <w:szCs w:val="20"/>
          <w:color w:val="auto"/>
        </w:rPr>
      </w:pPr>
      <w:r>
        <w:rPr>
          <w:rFonts w:ascii="Arial" w:cs="Arial" w:eastAsia="Arial" w:hAnsi="Arial"/>
          <w:sz w:val="18"/>
          <w:szCs w:val="18"/>
          <w:color w:val="auto"/>
        </w:rPr>
        <w:t>The shares issued were subject to vesting agreements and were unvested as of their issuance. The shares are subject to forfeiture if these employees do not continue to provide services for the specified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share repurchases during the three months ended December 31, 2025 is presented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Total Number of</w:t>
            </w:r>
          </w:p>
        </w:tc>
        <w:tc>
          <w:tcPr>
            <w:tcW w:w="1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w:t>
            </w:r>
          </w:p>
        </w:tc>
        <w:tc>
          <w:tcPr>
            <w:tcW w:w="13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Average Price</w:t>
            </w:r>
          </w:p>
        </w:tc>
        <w:tc>
          <w:tcPr>
            <w:tcW w:w="188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rPr>
              <w:t>Shares Purchased as</w:t>
            </w:r>
          </w:p>
        </w:tc>
        <w:tc>
          <w:tcPr>
            <w:tcW w:w="140" w:type="dxa"/>
            <w:vAlign w:val="bottom"/>
          </w:tcPr>
          <w:p>
            <w:pPr>
              <w:spacing w:after="0"/>
              <w:rPr>
                <w:sz w:val="13"/>
                <w:szCs w:val="13"/>
                <w:color w:val="auto"/>
              </w:rPr>
            </w:pPr>
          </w:p>
        </w:tc>
        <w:tc>
          <w:tcPr>
            <w:tcW w:w="318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98"/>
              </w:rPr>
              <w:t>Approximate Dollar Value of Shares that</w:t>
            </w:r>
          </w:p>
        </w:tc>
        <w:tc>
          <w:tcPr>
            <w:tcW w:w="0" w:type="dxa"/>
            <w:vAlign w:val="bottom"/>
          </w:tcPr>
          <w:p>
            <w:pPr>
              <w:spacing w:after="0"/>
              <w:rPr>
                <w:sz w:val="1"/>
                <w:szCs w:val="1"/>
                <w:color w:val="auto"/>
              </w:rPr>
            </w:pPr>
          </w:p>
        </w:tc>
      </w:tr>
      <w:tr>
        <w:trPr>
          <w:trHeight w:val="159"/>
        </w:trPr>
        <w:tc>
          <w:tcPr>
            <w:tcW w:w="314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88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7"/>
              </w:rPr>
              <w:t>Part of Publicly</w:t>
            </w:r>
          </w:p>
        </w:tc>
        <w:tc>
          <w:tcPr>
            <w:tcW w:w="140" w:type="dxa"/>
            <w:vAlign w:val="bottom"/>
          </w:tcPr>
          <w:p>
            <w:pPr>
              <w:spacing w:after="0"/>
              <w:rPr>
                <w:sz w:val="13"/>
                <w:szCs w:val="13"/>
                <w:color w:val="auto"/>
              </w:rPr>
            </w:pPr>
          </w:p>
        </w:tc>
        <w:tc>
          <w:tcPr>
            <w:tcW w:w="3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data)</w:t>
            </w:r>
          </w:p>
        </w:tc>
        <w:tc>
          <w:tcPr>
            <w:tcW w:w="80" w:type="dxa"/>
            <w:vAlign w:val="bottom"/>
            <w:tcBorders>
              <w:bottom w:val="single" w:sz="8" w:color="BFE4FF"/>
            </w:tcBorders>
          </w:tcPr>
          <w:p>
            <w:pPr>
              <w:spacing w:after="0"/>
              <w:rPr>
                <w:sz w:val="18"/>
                <w:szCs w:val="18"/>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Purchased</w:t>
            </w:r>
          </w:p>
        </w:tc>
        <w:tc>
          <w:tcPr>
            <w:tcW w:w="100" w:type="dxa"/>
            <w:vAlign w:val="bottom"/>
            <w:tcBorders>
              <w:bottom w:val="single" w:sz="8" w:color="BFE4FF"/>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Paid Per Share</w:t>
            </w:r>
          </w:p>
        </w:tc>
        <w:tc>
          <w:tcPr>
            <w:tcW w:w="120" w:type="dxa"/>
            <w:vAlign w:val="bottom"/>
            <w:tcBorders>
              <w:bottom w:val="single" w:sz="8" w:color="BFE4FF"/>
            </w:tcBorders>
          </w:tcPr>
          <w:p>
            <w:pPr>
              <w:spacing w:after="0"/>
              <w:rPr>
                <w:sz w:val="18"/>
                <w:szCs w:val="18"/>
                <w:color w:val="auto"/>
              </w:rPr>
            </w:pPr>
          </w:p>
        </w:tc>
        <w:tc>
          <w:tcPr>
            <w:tcW w:w="178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6"/>
                <w:szCs w:val="16"/>
                <w:b w:val="1"/>
                <w:bCs w:val="1"/>
                <w:color w:val="auto"/>
                <w:w w:val="96"/>
              </w:rPr>
              <w:t>Announced Plan</w:t>
            </w:r>
            <w:r>
              <w:rPr>
                <w:rFonts w:ascii="Arial" w:cs="Arial" w:eastAsia="Arial" w:hAnsi="Arial"/>
                <w:sz w:val="20"/>
                <w:szCs w:val="20"/>
                <w:b w:val="1"/>
                <w:bCs w:val="1"/>
                <w:color w:val="auto"/>
                <w:w w:val="96"/>
                <w:vertAlign w:val="superscript"/>
              </w:rPr>
              <w:t>(1)</w:t>
            </w:r>
          </w:p>
        </w:tc>
        <w:tc>
          <w:tcPr>
            <w:tcW w:w="100" w:type="dxa"/>
            <w:vAlign w:val="bottom"/>
            <w:tcBorders>
              <w:bottom w:val="single" w:sz="8" w:color="BFE4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jc w:val="right"/>
              <w:ind w:right="221"/>
              <w:spacing w:after="0" w:line="212" w:lineRule="exact"/>
              <w:rPr>
                <w:sz w:val="20"/>
                <w:szCs w:val="20"/>
                <w:color w:val="auto"/>
              </w:rPr>
            </w:pPr>
            <w:r>
              <w:rPr>
                <w:rFonts w:ascii="Arial" w:cs="Arial" w:eastAsia="Arial" w:hAnsi="Arial"/>
                <w:sz w:val="16"/>
                <w:szCs w:val="16"/>
                <w:b w:val="1"/>
                <w:bCs w:val="1"/>
                <w:color w:val="auto"/>
              </w:rPr>
              <w:t>May Yet Be Purchased Under Plan</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52"/>
        </w:trPr>
        <w:tc>
          <w:tcPr>
            <w:tcW w:w="3060" w:type="dxa"/>
            <w:vAlign w:val="bottom"/>
            <w:shd w:val="clear" w:color="auto" w:fill="BFE4FF"/>
          </w:tcPr>
          <w:p>
            <w:pPr>
              <w:ind w:left="20"/>
              <w:spacing w:after="0" w:line="152" w:lineRule="exact"/>
              <w:rPr>
                <w:sz w:val="20"/>
                <w:szCs w:val="20"/>
                <w:color w:val="auto"/>
              </w:rPr>
            </w:pPr>
            <w:r>
              <w:rPr>
                <w:rFonts w:ascii="Arial" w:cs="Arial" w:eastAsia="Arial" w:hAnsi="Arial"/>
                <w:sz w:val="16"/>
                <w:szCs w:val="16"/>
                <w:color w:val="auto"/>
              </w:rPr>
              <w:t>Shares purchased October 1, 2025 to</w:t>
            </w:r>
          </w:p>
        </w:tc>
        <w:tc>
          <w:tcPr>
            <w:tcW w:w="80" w:type="dxa"/>
            <w:vAlign w:val="bottom"/>
            <w:shd w:val="clear" w:color="auto" w:fill="BFE4FF"/>
          </w:tcPr>
          <w:p>
            <w:pPr>
              <w:spacing w:after="0"/>
              <w:rPr>
                <w:sz w:val="13"/>
                <w:szCs w:val="13"/>
                <w:color w:val="auto"/>
              </w:rPr>
            </w:pPr>
          </w:p>
        </w:tc>
        <w:tc>
          <w:tcPr>
            <w:tcW w:w="1380" w:type="dxa"/>
            <w:vAlign w:val="bottom"/>
            <w:vMerge w:val="restart"/>
            <w:shd w:val="clear" w:color="auto" w:fill="BFE4FF"/>
          </w:tcPr>
          <w:p>
            <w:pPr>
              <w:jc w:val="right"/>
              <w:ind w:right="1"/>
              <w:spacing w:after="0"/>
              <w:rPr>
                <w:sz w:val="20"/>
                <w:szCs w:val="20"/>
                <w:color w:val="auto"/>
              </w:rPr>
            </w:pPr>
            <w:r>
              <w:rPr>
                <w:rFonts w:ascii="Arial" w:cs="Arial" w:eastAsia="Arial" w:hAnsi="Arial"/>
                <w:sz w:val="16"/>
                <w:szCs w:val="16"/>
                <w:color w:val="auto"/>
              </w:rPr>
              <w:t>775</w:t>
            </w:r>
          </w:p>
        </w:tc>
        <w:tc>
          <w:tcPr>
            <w:tcW w:w="220" w:type="dxa"/>
            <w:vAlign w:val="bottom"/>
            <w:gridSpan w:val="2"/>
            <w:vMerge w:val="restart"/>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29.58</w:t>
            </w:r>
          </w:p>
        </w:tc>
        <w:tc>
          <w:tcPr>
            <w:tcW w:w="120" w:type="dxa"/>
            <w:vAlign w:val="bottom"/>
            <w:shd w:val="clear" w:color="auto" w:fill="BFE4FF"/>
          </w:tcPr>
          <w:p>
            <w:pPr>
              <w:spacing w:after="0"/>
              <w:rPr>
                <w:sz w:val="13"/>
                <w:szCs w:val="13"/>
                <w:color w:val="auto"/>
              </w:rPr>
            </w:pPr>
          </w:p>
        </w:tc>
        <w:tc>
          <w:tcPr>
            <w:tcW w:w="17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BFE4FF"/>
          </w:tcPr>
          <w:p>
            <w:pPr>
              <w:spacing w:after="0"/>
              <w:rPr>
                <w:sz w:val="13"/>
                <w:szCs w:val="13"/>
                <w:color w:val="auto"/>
              </w:rPr>
            </w:pPr>
          </w:p>
        </w:tc>
        <w:tc>
          <w:tcPr>
            <w:tcW w:w="14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31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227,183</w:t>
            </w:r>
          </w:p>
        </w:tc>
        <w:tc>
          <w:tcPr>
            <w:tcW w:w="0" w:type="dxa"/>
            <w:vAlign w:val="bottom"/>
          </w:tcPr>
          <w:p>
            <w:pPr>
              <w:spacing w:after="0"/>
              <w:rPr>
                <w:sz w:val="1"/>
                <w:szCs w:val="1"/>
                <w:color w:val="auto"/>
              </w:rPr>
            </w:pPr>
          </w:p>
        </w:tc>
      </w:tr>
      <w:tr>
        <w:trPr>
          <w:trHeight w:val="212"/>
        </w:trPr>
        <w:tc>
          <w:tcPr>
            <w:tcW w:w="314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October 31, 2025</w:t>
            </w:r>
          </w:p>
        </w:tc>
        <w:tc>
          <w:tcPr>
            <w:tcW w:w="1380" w:type="dxa"/>
            <w:vAlign w:val="bottom"/>
            <w:vMerge w:val="continue"/>
            <w:shd w:val="clear" w:color="auto" w:fill="BFE4FF"/>
          </w:tcPr>
          <w:p>
            <w:pPr>
              <w:spacing w:after="0"/>
              <w:rPr>
                <w:sz w:val="18"/>
                <w:szCs w:val="18"/>
                <w:color w:val="auto"/>
              </w:rPr>
            </w:pPr>
          </w:p>
        </w:tc>
        <w:tc>
          <w:tcPr>
            <w:tcW w:w="220" w:type="dxa"/>
            <w:vAlign w:val="bottom"/>
            <w:gridSpan w:val="2"/>
            <w:vMerge w:val="continue"/>
            <w:shd w:val="clear" w:color="auto" w:fill="BFE4FF"/>
          </w:tcPr>
          <w:p>
            <w:pPr>
              <w:spacing w:after="0"/>
              <w:rPr>
                <w:sz w:val="18"/>
                <w:szCs w:val="18"/>
                <w:color w:val="auto"/>
              </w:rPr>
            </w:pPr>
          </w:p>
        </w:tc>
        <w:tc>
          <w:tcPr>
            <w:tcW w:w="118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78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vMerge w:val="continue"/>
            <w:shd w:val="clear" w:color="auto" w:fill="BFE4FF"/>
          </w:tcPr>
          <w:p>
            <w:pPr>
              <w:spacing w:after="0"/>
              <w:rPr>
                <w:sz w:val="18"/>
                <w:szCs w:val="18"/>
                <w:color w:val="auto"/>
              </w:rPr>
            </w:pPr>
          </w:p>
        </w:tc>
        <w:tc>
          <w:tcPr>
            <w:tcW w:w="318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Shares purchased November 1, 2025 to</w:t>
            </w:r>
          </w:p>
        </w:tc>
        <w:tc>
          <w:tcPr>
            <w:tcW w:w="1380" w:type="dxa"/>
            <w:vAlign w:val="bottom"/>
            <w:vMerge w:val="restart"/>
          </w:tcPr>
          <w:p>
            <w:pPr>
              <w:jc w:val="right"/>
              <w:ind w:right="1"/>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80" w:type="dxa"/>
            <w:vAlign w:val="bottom"/>
            <w:vMerge w:val="restart"/>
          </w:tcPr>
          <w:p>
            <w:pPr>
              <w:jc w:val="right"/>
              <w:spacing w:after="0"/>
              <w:rPr>
                <w:sz w:val="20"/>
                <w:szCs w:val="20"/>
                <w:color w:val="auto"/>
              </w:rPr>
            </w:pPr>
            <w:r>
              <w:rPr>
                <w:rFonts w:ascii="Arial" w:cs="Arial" w:eastAsia="Arial" w:hAnsi="Arial"/>
                <w:sz w:val="16"/>
                <w:szCs w:val="16"/>
                <w:color w:val="auto"/>
              </w:rPr>
              <w:t>208,190</w:t>
            </w:r>
          </w:p>
        </w:tc>
        <w:tc>
          <w:tcPr>
            <w:tcW w:w="0" w:type="dxa"/>
            <w:vAlign w:val="bottom"/>
          </w:tcPr>
          <w:p>
            <w:pPr>
              <w:spacing w:after="0"/>
              <w:rPr>
                <w:sz w:val="1"/>
                <w:szCs w:val="1"/>
                <w:color w:val="auto"/>
              </w:rPr>
            </w:pPr>
          </w:p>
        </w:tc>
      </w:tr>
      <w:tr>
        <w:trPr>
          <w:trHeight w:val="211"/>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November 30, 2025</w:t>
            </w: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140" w:type="dxa"/>
            <w:vAlign w:val="bottom"/>
            <w:gridSpan w:val="2"/>
            <w:shd w:val="clear" w:color="auto" w:fill="BFE4FF"/>
          </w:tcPr>
          <w:p>
            <w:pPr>
              <w:ind w:left="20"/>
              <w:spacing w:after="0" w:line="160" w:lineRule="exact"/>
              <w:rPr>
                <w:sz w:val="20"/>
                <w:szCs w:val="20"/>
                <w:color w:val="auto"/>
              </w:rPr>
            </w:pPr>
            <w:r>
              <w:rPr>
                <w:rFonts w:ascii="Arial" w:cs="Arial" w:eastAsia="Arial" w:hAnsi="Arial"/>
                <w:sz w:val="16"/>
                <w:szCs w:val="16"/>
                <w:color w:val="auto"/>
              </w:rPr>
              <w:t>Shares purchased December 1, 2025 to</w:t>
            </w:r>
          </w:p>
        </w:tc>
        <w:tc>
          <w:tcPr>
            <w:tcW w:w="1380" w:type="dxa"/>
            <w:vAlign w:val="bottom"/>
            <w:vMerge w:val="restart"/>
            <w:shd w:val="clear" w:color="auto" w:fill="BFE4FF"/>
          </w:tcPr>
          <w:p>
            <w:pPr>
              <w:jc w:val="right"/>
              <w:ind w:right="1"/>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BFE4FF"/>
          </w:tcPr>
          <w:p>
            <w:pPr>
              <w:spacing w:after="0"/>
              <w:rPr>
                <w:sz w:val="13"/>
                <w:szCs w:val="13"/>
                <w:color w:val="auto"/>
              </w:rPr>
            </w:pPr>
          </w:p>
        </w:tc>
        <w:tc>
          <w:tcPr>
            <w:tcW w:w="120" w:type="dxa"/>
            <w:vAlign w:val="bottom"/>
            <w:shd w:val="clear" w:color="auto" w:fill="BFE4FF"/>
          </w:tcPr>
          <w:p>
            <w:pPr>
              <w:spacing w:after="0"/>
              <w:rPr>
                <w:sz w:val="13"/>
                <w:szCs w:val="13"/>
                <w:color w:val="auto"/>
              </w:rPr>
            </w:pPr>
          </w:p>
        </w:tc>
        <w:tc>
          <w:tcPr>
            <w:tcW w:w="11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25.67</w:t>
            </w:r>
          </w:p>
        </w:tc>
        <w:tc>
          <w:tcPr>
            <w:tcW w:w="120" w:type="dxa"/>
            <w:vAlign w:val="bottom"/>
            <w:shd w:val="clear" w:color="auto" w:fill="BFE4FF"/>
          </w:tcPr>
          <w:p>
            <w:pPr>
              <w:spacing w:after="0"/>
              <w:rPr>
                <w:sz w:val="13"/>
                <w:szCs w:val="13"/>
                <w:color w:val="auto"/>
              </w:rPr>
            </w:pPr>
          </w:p>
        </w:tc>
        <w:tc>
          <w:tcPr>
            <w:tcW w:w="17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318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187,621</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December 31, 2025</w:t>
            </w:r>
          </w:p>
        </w:tc>
        <w:tc>
          <w:tcPr>
            <w:tcW w:w="1380" w:type="dxa"/>
            <w:vAlign w:val="bottom"/>
            <w:tcBorders>
              <w:bottom w:val="single" w:sz="8" w:color="auto"/>
            </w:tcBorders>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8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78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318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3" w:lineRule="exact"/>
        <w:rPr>
          <w:sz w:val="20"/>
          <w:szCs w:val="20"/>
          <w:color w:val="auto"/>
        </w:rPr>
      </w:pPr>
    </w:p>
    <w:p>
      <w:pPr>
        <w:ind w:right="100" w:firstLine="6"/>
        <w:spacing w:after="0" w:line="238" w:lineRule="auto"/>
        <w:tabs>
          <w:tab w:leader="none" w:pos="303"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 xml:space="preserve">In November 2023, our Board of Directors authorized the repurchase of up to $100 million of our common stock. In October 2024, July 2025 and January 2026, our Board of Directors increased the repurchase authorization by $200 million, $250 million and </w:t>
      </w:r>
      <w:r>
        <w:rPr>
          <w:rFonts w:ascii="Arial" w:cs="Arial" w:eastAsia="Arial" w:hAnsi="Arial"/>
          <w:sz w:val="17"/>
          <w:szCs w:val="17"/>
          <w:color w:val="auto"/>
        </w:rPr>
        <w:t>$150 million</w:t>
      </w:r>
      <w:r>
        <w:rPr>
          <w:rFonts w:ascii="Arial" w:cs="Arial" w:eastAsia="Arial" w:hAnsi="Arial"/>
          <w:sz w:val="16"/>
          <w:szCs w:val="16"/>
          <w:color w:val="auto"/>
        </w:rPr>
        <w:t>, respectively, bringing the total authorized amount to $700 million. The authorization has no expiration date. Repurchases under the share repurchase program may be made in the open market, in privately negotiated transactions, or in such other manner as determined by us, including through repurchase plans complying with the rules and regulations of the Securities and Exchange Commission.</w:t>
      </w:r>
    </w:p>
    <w:p>
      <w:pPr>
        <w:spacing w:after="0" w:line="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 10-K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right="300" w:firstLine="318"/>
        <w:spacing w:after="0" w:line="282" w:lineRule="auto"/>
        <w:rPr>
          <w:sz w:val="20"/>
          <w:szCs w:val="20"/>
          <w:color w:val="auto"/>
        </w:rPr>
      </w:pPr>
      <w:r>
        <w:rPr>
          <w:rFonts w:ascii="Arial" w:cs="Arial" w:eastAsia="Arial" w:hAnsi="Arial"/>
          <w:sz w:val="17"/>
          <w:szCs w:val="17"/>
          <w:color w:val="auto"/>
        </w:rPr>
        <w:t xml:space="preserve">We are the leading provider of exposure management solutions. Exposure management </w:t>
      </w:r>
      <w:r>
        <w:rPr>
          <w:rFonts w:ascii="Arial" w:cs="Arial" w:eastAsia="Arial" w:hAnsi="Arial"/>
          <w:sz w:val="18"/>
          <w:szCs w:val="18"/>
          <w:color w:val="auto"/>
        </w:rPr>
        <w:t>i</w:t>
      </w:r>
      <w:r>
        <w:rPr>
          <w:rFonts w:ascii="Arial" w:cs="Arial" w:eastAsia="Arial" w:hAnsi="Arial"/>
          <w:sz w:val="17"/>
          <w:szCs w:val="17"/>
          <w:color w:val="auto"/>
        </w:rPr>
        <w:t>s an increasingly critical category that extends foundational vulnerability management capabilities to advance risk assessment and prioritization across the entire attack surface – from IT infrastructure and cloud environments to critical infrastructure and AI. Tenable unifies security visibility, insight and action across this attack surface, equipping modern organizations to quickly identify and close the cybersecurity gaps that erode business value, reputation and trust.</w:t>
      </w:r>
    </w:p>
    <w:p>
      <w:pPr>
        <w:spacing w:after="0" w:line="159"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Tenable One, our AI-powered exposure management platform, gives enterprises a single, unified view of risk across all types of assets and attack pathways. The platform combines broad, industry-leading vulnerability coverage, spanning IT assets, cloud resources, containers, web apps, identity systems, third-party connectors and AI-related assets and workloads.</w:t>
      </w:r>
    </w:p>
    <w:p>
      <w:pPr>
        <w:spacing w:after="0" w:line="175" w:lineRule="exact"/>
        <w:rPr>
          <w:sz w:val="20"/>
          <w:szCs w:val="20"/>
          <w:color w:val="auto"/>
        </w:rPr>
      </w:pPr>
    </w:p>
    <w:p>
      <w:pPr>
        <w:jc w:val="both"/>
        <w:ind w:right="660" w:firstLine="318"/>
        <w:spacing w:after="0" w:line="260" w:lineRule="auto"/>
        <w:rPr>
          <w:sz w:val="20"/>
          <w:szCs w:val="20"/>
          <w:color w:val="auto"/>
        </w:rPr>
      </w:pPr>
      <w:r>
        <w:rPr>
          <w:rFonts w:ascii="Arial" w:cs="Arial" w:eastAsia="Arial" w:hAnsi="Arial"/>
          <w:sz w:val="18"/>
          <w:szCs w:val="18"/>
          <w:color w:val="auto"/>
        </w:rPr>
        <w:t>Our solutions are primarily sold on a subscription basis with a one-year term, but are increasingly being sold with longer contractual durations. Our subscription terms are generally not longer than three years. These subscriptions are typically invoiced in advance at the beginning of the term, however multi-year subscriptions are increasingly being invoiced annually in installments.</w:t>
      </w:r>
    </w:p>
    <w:p>
      <w:pPr>
        <w:spacing w:after="0" w:line="175"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network of distributors, resellers and managed security service providers (MSSPs), in developing sales opportunities. We typically use a two-tiered channel model whereby we sell our enterprise platform offerings to our distributors, who in turn sell to our resellers, who then sell to end users, who we call customers.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our key financial results: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798,710</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(52,160)</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149,855</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Recurring revenue, which includes revenue from subscription arrangements for software (both recognized ratably over the subscription term and upon delivery) and cloud-based solutions and maintenance associated with perpetual licenses, represented 96% of revenue in 2025 and 2024 and 95% of revenue in 2023.</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Operating and Financial Metrics</w:t>
      </w:r>
    </w:p>
    <w:p>
      <w:pPr>
        <w:spacing w:after="0" w:line="219"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17" w:lineRule="exact"/>
        <w:rPr>
          <w:sz w:val="20"/>
          <w:szCs w:val="20"/>
          <w:color w:val="auto"/>
        </w:rPr>
      </w:pPr>
    </w:p>
    <w:p>
      <w:pPr>
        <w:ind w:right="260" w:firstLine="318"/>
        <w:spacing w:after="0" w:line="260"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Variability in total billings, depending on the timing of large multi-year contracts and the preference for annual billing versus multi-year upfront billing, may distort growth in one period over another.</w:t>
      </w:r>
    </w:p>
    <w:p>
      <w:pPr>
        <w:spacing w:after="0" w:line="175"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the mix of the amount of subscriptions and perpetual licenses and the timing of billing professional services,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175"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Historically we have used calculated current billings as a key metric to measure our periodic performance and to measure and monitor our ability to provide our business with the working capital generated by upfront payments from our customers. Recently, however, the shift to annual installment billing for larger multi-year transactions is reducing our overall billing duration. We believe this shift creates a negative distortion in calculated current billings that fails to accurately represent the growth of our business and as such we have transitioned away from relying on calculated current billings to monitor performance of our business. We have included calculated current billings for comparative purposes.</w:t>
      </w:r>
    </w:p>
    <w:p>
      <w:pPr>
        <w:spacing w:after="0" w:line="185" w:lineRule="exact"/>
        <w:rPr>
          <w:sz w:val="20"/>
          <w:szCs w:val="20"/>
          <w:color w:val="auto"/>
        </w:rPr>
      </w:pPr>
    </w:p>
    <w:p>
      <w:pPr>
        <w:ind w:right="720" w:firstLine="318"/>
        <w:spacing w:after="0" w:line="274" w:lineRule="auto"/>
        <w:rPr>
          <w:sz w:val="20"/>
          <w:szCs w:val="20"/>
          <w:color w:val="auto"/>
        </w:rPr>
      </w:pPr>
      <w:r>
        <w:rPr>
          <w:rFonts w:ascii="Arial" w:cs="Arial" w:eastAsia="Arial" w:hAnsi="Arial"/>
          <w:sz w:val="18"/>
          <w:szCs w:val="18"/>
          <w:color w:val="auto"/>
        </w:rPr>
        <w:t>The following table presents calculated current billings, including a reconciliation of revenue, the most directly comparable financial measure calculated in accordance with GAAP:</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900,021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8"/>
              </w:rPr>
              <w:t>798,710</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706,866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173"/>
              <w:spacing w:after="0"/>
              <w:rPr>
                <w:sz w:val="20"/>
                <w:szCs w:val="20"/>
                <w:color w:val="auto"/>
              </w:rPr>
            </w:pPr>
            <w:r>
              <w:rPr>
                <w:rFonts w:ascii="Arial" w:cs="Arial" w:eastAsia="Arial" w:hAnsi="Arial"/>
                <w:sz w:val="18"/>
                <w:szCs w:val="18"/>
                <w:color w:val="auto"/>
                <w:w w:val="98"/>
              </w:rPr>
              <w:t>650,372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ind w:left="153"/>
              <w:spacing w:after="0"/>
              <w:rPr>
                <w:sz w:val="20"/>
                <w:szCs w:val="20"/>
                <w:color w:val="auto"/>
              </w:rPr>
            </w:pPr>
            <w:r>
              <w:rPr>
                <w:rFonts w:ascii="Arial" w:cs="Arial" w:eastAsia="Arial" w:hAnsi="Arial"/>
                <w:sz w:val="18"/>
                <w:szCs w:val="18"/>
                <w:color w:val="auto"/>
                <w:w w:val="98"/>
              </w:rPr>
              <w:t>580,779</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8"/>
              </w:rPr>
              <w:t>(580,887)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8"/>
              </w:rPr>
              <w:t>(506,192)</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1,049,236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8"/>
              </w:rPr>
              <w:t>969,506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8"/>
              </w:rPr>
              <w:t>873,297</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3" w:lineRule="exact"/>
        <w:rPr>
          <w:sz w:val="20"/>
          <w:szCs w:val="20"/>
          <w:color w:val="auto"/>
        </w:rPr>
      </w:pPr>
    </w:p>
    <w:p>
      <w:pPr>
        <w:ind w:right="640" w:firstLine="6"/>
        <w:spacing w:after="0" w:line="218" w:lineRule="auto"/>
        <w:tabs>
          <w:tab w:leader="none" w:pos="303"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Deferred revenue (current), beginning of period for 2025, 2024 and 2023 includes $6.7 million, $0.1 million and $4.1 million, respectively, related to acquired deferred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Metrics</w:t>
      </w:r>
    </w:p>
    <w:p>
      <w:pPr>
        <w:spacing w:after="0" w:line="217"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We define an enterprise platform customer as a customer that has licensed Tenable One, Tenable Vulnerability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 The following tables summarize key components of our customer base: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40" w:type="dxa"/>
            <w:vAlign w:val="bottom"/>
          </w:tcPr>
          <w:p>
            <w:pPr>
              <w:spacing w:after="0"/>
              <w:rPr>
                <w:sz w:val="17"/>
                <w:szCs w:val="17"/>
                <w:color w:val="auto"/>
              </w:rPr>
            </w:pPr>
          </w:p>
        </w:tc>
        <w:tc>
          <w:tcPr>
            <w:tcW w:w="1040" w:type="dxa"/>
            <w:vAlign w:val="bottom"/>
          </w:tcPr>
          <w:p>
            <w:pPr>
              <w:jc w:val="right"/>
              <w:ind w:right="96"/>
              <w:spacing w:after="0"/>
              <w:rPr>
                <w:sz w:val="20"/>
                <w:szCs w:val="20"/>
                <w:color w:val="auto"/>
              </w:rPr>
            </w:pPr>
            <w:r>
              <w:rPr>
                <w:rFonts w:ascii="Arial" w:cs="Arial" w:eastAsia="Arial" w:hAnsi="Arial"/>
                <w:sz w:val="16"/>
                <w:szCs w:val="16"/>
                <w:b w:val="1"/>
                <w:bCs w:val="1"/>
                <w:color w:val="auto"/>
              </w:rPr>
              <w:t>2025</w:t>
            </w:r>
          </w:p>
        </w:tc>
        <w:tc>
          <w:tcPr>
            <w:tcW w:w="1800" w:type="dxa"/>
            <w:vAlign w:val="bottom"/>
            <w:gridSpan w:val="3"/>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16"/>
              <w:spacing w:after="0"/>
              <w:rPr>
                <w:sz w:val="20"/>
                <w:szCs w:val="20"/>
                <w:color w:val="auto"/>
              </w:rPr>
            </w:pPr>
            <w:r>
              <w:rPr>
                <w:rFonts w:ascii="Arial" w:cs="Arial" w:eastAsia="Arial" w:hAnsi="Arial"/>
                <w:sz w:val="16"/>
                <w:szCs w:val="16"/>
                <w:b w:val="1"/>
                <w:bCs w:val="1"/>
                <w:color w:val="auto"/>
              </w:rPr>
              <w:t>2023</w:t>
            </w:r>
          </w:p>
        </w:tc>
      </w:tr>
      <w:tr>
        <w:trPr>
          <w:trHeight w:val="218"/>
        </w:trPr>
        <w:tc>
          <w:tcPr>
            <w:tcW w:w="6940" w:type="dxa"/>
            <w:vAlign w:val="bottom"/>
            <w:tcBorders>
              <w:top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2"/>
                <w:szCs w:val="22"/>
                <w:color w:val="auto"/>
                <w:vertAlign w:val="superscript"/>
              </w:rPr>
              <w:t>(1)</w:t>
            </w:r>
          </w:p>
        </w:tc>
        <w:tc>
          <w:tcPr>
            <w:tcW w:w="10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1,667</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1,689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1,788</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00" w:hanging="294"/>
        <w:spacing w:after="0" w:line="213" w:lineRule="auto"/>
        <w:tabs>
          <w:tab w:leader="none" w:pos="30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The number of new enterprise platform customers added in 2023 includes 104 legacy customers of Ermetic, Ltd. ("Ermetic").</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05"/>
        </w:trPr>
        <w:tc>
          <w:tcPr>
            <w:tcW w:w="69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2023</w:t>
            </w:r>
          </w:p>
        </w:tc>
      </w:tr>
      <w:tr>
        <w:trPr>
          <w:trHeight w:val="162"/>
        </w:trPr>
        <w:tc>
          <w:tcPr>
            <w:tcW w:w="69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9"/>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1,721</w:t>
            </w: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21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dollar-based net expansion rate is evaluated on a last twelve months, or LTM, basis, and is calculated as follows:</w:t>
      </w:r>
    </w:p>
    <w:p>
      <w:pPr>
        <w:spacing w:after="0" w:line="217" w:lineRule="exact"/>
        <w:rPr>
          <w:sz w:val="20"/>
          <w:szCs w:val="20"/>
          <w:color w:val="auto"/>
        </w:rPr>
      </w:pPr>
    </w:p>
    <w:p>
      <w:pPr>
        <w:ind w:left="640" w:right="60" w:hanging="316"/>
        <w:spacing w:after="0" w:line="253"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81" w:lineRule="exact"/>
        <w:rPr>
          <w:rFonts w:ascii="Arial" w:cs="Arial" w:eastAsia="Arial" w:hAnsi="Arial"/>
          <w:sz w:val="18"/>
          <w:szCs w:val="18"/>
          <w:color w:val="auto"/>
        </w:rPr>
      </w:pPr>
    </w:p>
    <w:p>
      <w:pPr>
        <w:ind w:left="640" w:right="340" w:hanging="316"/>
        <w:spacing w:after="0" w:line="27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dollar-based net expansion rate: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7"/>
              </w:rPr>
              <w:t>December 31,</w:t>
            </w:r>
          </w:p>
        </w:tc>
        <w:tc>
          <w:tcPr>
            <w:tcW w:w="1460" w:type="dxa"/>
            <w:vAlign w:val="bottom"/>
            <w:tcBorders>
              <w:bottom w:val="single" w:sz="8" w:color="auto"/>
            </w:tcBorders>
          </w:tcPr>
          <w:p>
            <w:pPr>
              <w:spacing w:after="0"/>
              <w:rPr>
                <w:sz w:val="18"/>
                <w:szCs w:val="18"/>
                <w:color w:val="auto"/>
              </w:rPr>
            </w:pPr>
          </w:p>
        </w:tc>
      </w:tr>
      <w:tr>
        <w:trPr>
          <w:trHeight w:val="205"/>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2023</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expansion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jc w:val="both"/>
        <w:ind w:right="620" w:firstLine="318"/>
        <w:spacing w:after="0" w:line="282" w:lineRule="auto"/>
        <w:rPr>
          <w:sz w:val="20"/>
          <w:szCs w:val="20"/>
          <w:color w:val="auto"/>
        </w:rPr>
      </w:pPr>
      <w:r>
        <w:rPr>
          <w:rFonts w:ascii="Arial" w:cs="Arial" w:eastAsia="Arial" w:hAnsi="Arial"/>
          <w:sz w:val="17"/>
          <w:szCs w:val="17"/>
          <w:color w:val="auto"/>
        </w:rPr>
        <w:t>We generate revenue from subscription arrangements for our software and cloud-based solutions, perpetual licenses, maintenance associated with perpetual licenses and professional services. We begin to recognize revenue when control of our software or services is transferred to the customer, which for sales made through our channel network is typically concurrent with the transfer to the end user.</w:t>
      </w:r>
    </w:p>
    <w:p>
      <w:pPr>
        <w:spacing w:after="0" w:line="159"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85"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5"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5"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We anticipate that these historical trends may be impacted by current macroeconomic conditions and U.S. policy decisions related to the funding of government agencies and the imposition of tariffs which may lengthen purchasing and approval phases of our sales cycle in 2026. The ratable nature of our subscription revenue makes this seasonality less apparent in our overall financial results.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1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ordinary course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w:t>
      </w:r>
    </w:p>
    <w:p>
      <w:pPr>
        <w:spacing w:after="0" w:line="180"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 The level and timing of investment in these areas could affect our cost of revenue in the future.</w:t>
      </w:r>
    </w:p>
    <w:p>
      <w:pPr>
        <w:spacing w:after="0" w:line="163"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180"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and restructuring expenses. Personnel costs are the most significant component of operating expenses and consist of salaries, benefits, bonuses, payroll taxes, stock-based compensation and ordinary course severance. Operating expenses also include depreciation and amortization, allocated overhead costs, including IT and facilities costs, as well as acquisition-related expenses.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217"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meetings and events, allocated overhead costs and acquisition-related expenses. We capitalize sales commissions, including related fringe benefit costs, and recognize the expense over an estimated period of benefit, which ranges 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18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intend to continue to make investments in sales and marketing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in 2026 and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allocated overhead and acquisition-related expenses. Our research and development expense supports our efforts to continue to add capabilities to our existing products and enable the continued detection of new network vulnerabilities.</w:t>
      </w:r>
    </w:p>
    <w:p>
      <w:pPr>
        <w:spacing w:after="0" w:line="18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exposure management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217" w:lineRule="exact"/>
        <w:rPr>
          <w:sz w:val="20"/>
          <w:szCs w:val="20"/>
          <w:color w:val="auto"/>
        </w:rPr>
      </w:pPr>
    </w:p>
    <w:p>
      <w:pPr>
        <w:ind w:right="300" w:firstLine="318"/>
        <w:spacing w:after="0" w:line="260"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expenses.</w:t>
      </w:r>
    </w:p>
    <w:p>
      <w:pPr>
        <w:spacing w:after="0" w:line="175"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expect our general and administrative expense to continue to increase in absolute dollars and decrease as a percentage of our revenue over the long term, although our general and administrative expense may fluctuate from period to period due to the timing and extent of these expenses. In 2025, our general and administrative expense included $15.5 million of termination benefits, including cash compensation and accelerated equity award vesting, related to the passing of our former Chairman and Chief Executive Officer.</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w:t>
      </w:r>
    </w:p>
    <w:p>
      <w:pPr>
        <w:spacing w:after="0" w:line="217" w:lineRule="exact"/>
        <w:rPr>
          <w:sz w:val="20"/>
          <w:szCs w:val="20"/>
          <w:color w:val="auto"/>
        </w:rPr>
      </w:pPr>
    </w:p>
    <w:p>
      <w:pPr>
        <w:ind w:right="360" w:firstLine="318"/>
        <w:spacing w:after="0" w:line="274" w:lineRule="auto"/>
        <w:rPr>
          <w:sz w:val="20"/>
          <w:szCs w:val="20"/>
          <w:color w:val="auto"/>
        </w:rPr>
      </w:pPr>
      <w:r>
        <w:rPr>
          <w:rFonts w:ascii="Arial" w:cs="Arial" w:eastAsia="Arial" w:hAnsi="Arial"/>
          <w:sz w:val="18"/>
          <w:szCs w:val="18"/>
          <w:color w:val="auto"/>
        </w:rPr>
        <w:t>Restructuring expenses consist of non-ordinary course severance, employee related benefits and other charges to reorganize business operations. In the three months ended December 31, 2025, we recorded $3.1 million of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color w:val="auto"/>
        </w:rPr>
        <w:t>expense for non-ordinary course severance and employee-related benefits. We expect to record approximately $5.0 million in restructuring expense in the year ended December 31, 2026.</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17"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Interest income consists of income earned on cash and cash equivalents and short-term investments. Interest expense consists primarily of interest expense in connection with our Term Loan, unused commitment fees on our senior secured revolving credit facility, or Revolving Credit Facility, and letter of credit fees. Other income (expense), net consists primarily of foreign currency remeasurement and transaction gains and losses and any realized and unrealized gains and losses, including impairment losses and gains related to our investments in privately held securities.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Provision for income taxes consists of income taxes in all jurisdictions in which we conduct business and the related withholding taxes on sales with customers. We have recorded deferred tax assets for which a valuation allowance has been provided, including net operating loss carryforwards and tax credits. We expect to maintain this valuation allowance for the foreseeable future as it is more likely than not that some or all of those deferred tax assets may not be realized based on our history of losses. The valuation allowance is subject to change based on our ability to generate future taxable income. We will continue to evaluate the realization of deferred tax assets to determine changes to valuation allowance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8"/>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798,710</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gridSpan w:val="2"/>
          </w:tcPr>
          <w:p>
            <w:pPr>
              <w:ind w:left="2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183,577</w:t>
            </w:r>
          </w:p>
        </w:tc>
        <w:tc>
          <w:tcPr>
            <w:tcW w:w="0" w:type="dxa"/>
            <w:vAlign w:val="bottom"/>
          </w:tcPr>
          <w:p>
            <w:pPr>
              <w:spacing w:after="0"/>
              <w:rPr>
                <w:sz w:val="1"/>
                <w:szCs w:val="1"/>
                <w:color w:val="auto"/>
              </w:rPr>
            </w:pPr>
          </w:p>
        </w:tc>
      </w:tr>
      <w:tr>
        <w:trPr>
          <w:trHeight w:val="218"/>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615,133</w:t>
            </w:r>
          </w:p>
        </w:tc>
        <w:tc>
          <w:tcPr>
            <w:tcW w:w="0" w:type="dxa"/>
            <w:vAlign w:val="bottom"/>
          </w:tcPr>
          <w:p>
            <w:pPr>
              <w:spacing w:after="0"/>
              <w:rPr>
                <w:sz w:val="1"/>
                <w:szCs w:val="1"/>
                <w:color w:val="auto"/>
              </w:rPr>
            </w:pPr>
          </w:p>
        </w:tc>
      </w:tr>
      <w:tr>
        <w:trPr>
          <w:trHeight w:val="225"/>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 w:type="dxa"/>
            <w:vAlign w:val="bottom"/>
            <w:shd w:val="clear" w:color="auto" w:fill="CCEEFF"/>
          </w:tcPr>
          <w:p>
            <w:pPr>
              <w:spacing w:after="0"/>
              <w:rPr>
                <w:sz w:val="19"/>
                <w:szCs w:val="19"/>
                <w:color w:val="auto"/>
              </w:rPr>
            </w:pPr>
          </w:p>
        </w:tc>
        <w:tc>
          <w:tcPr>
            <w:tcW w:w="6720" w:type="dxa"/>
            <w:vAlign w:val="bottom"/>
            <w:shd w:val="clear" w:color="auto" w:fill="CCEEFF"/>
          </w:tcPr>
          <w:p>
            <w:pPr>
              <w:ind w:left="40"/>
              <w:spacing w:after="0" w:line="225"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6720" w:type="dxa"/>
            <w:vAlign w:val="bottom"/>
          </w:tcPr>
          <w:p>
            <w:pPr>
              <w:ind w:left="4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153,163</w:t>
            </w:r>
          </w:p>
        </w:tc>
        <w:tc>
          <w:tcPr>
            <w:tcW w:w="0" w:type="dxa"/>
            <w:vAlign w:val="bottom"/>
          </w:tcPr>
          <w:p>
            <w:pPr>
              <w:spacing w:after="0"/>
              <w:rPr>
                <w:sz w:val="1"/>
                <w:szCs w:val="1"/>
                <w:color w:val="auto"/>
              </w:rPr>
            </w:pPr>
          </w:p>
        </w:tc>
      </w:tr>
      <w:tr>
        <w:trPr>
          <w:trHeight w:val="225"/>
        </w:trPr>
        <w:tc>
          <w:tcPr>
            <w:tcW w:w="180" w:type="dxa"/>
            <w:vAlign w:val="bottom"/>
            <w:shd w:val="clear" w:color="auto" w:fill="CCEEFF"/>
          </w:tcPr>
          <w:p>
            <w:pPr>
              <w:spacing w:after="0"/>
              <w:rPr>
                <w:sz w:val="19"/>
                <w:szCs w:val="19"/>
                <w:color w:val="auto"/>
              </w:rPr>
            </w:pPr>
          </w:p>
        </w:tc>
        <w:tc>
          <w:tcPr>
            <w:tcW w:w="6720" w:type="dxa"/>
            <w:vAlign w:val="bottom"/>
            <w:shd w:val="clear" w:color="auto" w:fill="CCEEFF"/>
          </w:tcPr>
          <w:p>
            <w:pPr>
              <w:ind w:left="4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116,181</w:t>
            </w:r>
          </w:p>
        </w:tc>
        <w:tc>
          <w:tcPr>
            <w:tcW w:w="0" w:type="dxa"/>
            <w:vAlign w:val="bottom"/>
          </w:tcPr>
          <w:p>
            <w:pPr>
              <w:spacing w:after="0"/>
              <w:rPr>
                <w:sz w:val="1"/>
                <w:szCs w:val="1"/>
                <w:color w:val="auto"/>
              </w:rPr>
            </w:pPr>
          </w:p>
        </w:tc>
      </w:tr>
      <w:tr>
        <w:trPr>
          <w:trHeight w:val="225"/>
        </w:trPr>
        <w:tc>
          <w:tcPr>
            <w:tcW w:w="1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8"/>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667,293</w:t>
            </w:r>
          </w:p>
        </w:tc>
        <w:tc>
          <w:tcPr>
            <w:tcW w:w="0" w:type="dxa"/>
            <w:vAlign w:val="bottom"/>
          </w:tcPr>
          <w:p>
            <w:pPr>
              <w:spacing w:after="0"/>
              <w:rPr>
                <w:sz w:val="1"/>
                <w:szCs w:val="1"/>
                <w:color w:val="auto"/>
              </w:rPr>
            </w:pPr>
          </w:p>
        </w:tc>
      </w:tr>
      <w:tr>
        <w:trPr>
          <w:trHeight w:val="218"/>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(52,160)</w:t>
            </w:r>
          </w:p>
        </w:tc>
        <w:tc>
          <w:tcPr>
            <w:tcW w:w="0" w:type="dxa"/>
            <w:vAlign w:val="bottom"/>
          </w:tcPr>
          <w:p>
            <w:pPr>
              <w:spacing w:after="0"/>
              <w:rPr>
                <w:sz w:val="1"/>
                <w:szCs w:val="1"/>
                <w:color w:val="auto"/>
              </w:rPr>
            </w:pPr>
          </w:p>
        </w:tc>
      </w:tr>
      <w:tr>
        <w:trPr>
          <w:trHeight w:val="225"/>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0" w:type="dxa"/>
            <w:vAlign w:val="bottom"/>
          </w:tcPr>
          <w:p>
            <w:pPr>
              <w:spacing w:after="0"/>
              <w:rPr>
                <w:sz w:val="1"/>
                <w:szCs w:val="1"/>
                <w:color w:val="auto"/>
              </w:rPr>
            </w:pPr>
          </w:p>
        </w:tc>
      </w:tr>
      <w:tr>
        <w:trPr>
          <w:trHeight w:val="225"/>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(31,339)</w:t>
            </w:r>
          </w:p>
        </w:tc>
        <w:tc>
          <w:tcPr>
            <w:tcW w:w="0" w:type="dxa"/>
            <w:vAlign w:val="bottom"/>
          </w:tcPr>
          <w:p>
            <w:pPr>
              <w:spacing w:after="0"/>
              <w:rPr>
                <w:sz w:val="1"/>
                <w:szCs w:val="1"/>
                <w:color w:val="auto"/>
              </w:rPr>
            </w:pPr>
          </w:p>
        </w:tc>
      </w:tr>
      <w:tr>
        <w:trPr>
          <w:trHeight w:val="225"/>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0" w:type="dxa"/>
            <w:vAlign w:val="bottom"/>
          </w:tcPr>
          <w:p>
            <w:pPr>
              <w:spacing w:after="0"/>
              <w:rPr>
                <w:sz w:val="1"/>
                <w:szCs w:val="1"/>
                <w:color w:val="auto"/>
              </w:rPr>
            </w:pPr>
          </w:p>
        </w:tc>
      </w:tr>
      <w:tr>
        <w:trPr>
          <w:trHeight w:val="218"/>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(67,401)</w:t>
            </w:r>
          </w:p>
        </w:tc>
        <w:tc>
          <w:tcPr>
            <w:tcW w:w="0" w:type="dxa"/>
            <w:vAlign w:val="bottom"/>
          </w:tcPr>
          <w:p>
            <w:pPr>
              <w:spacing w:after="0"/>
              <w:rPr>
                <w:sz w:val="1"/>
                <w:szCs w:val="1"/>
                <w:color w:val="auto"/>
              </w:rPr>
            </w:pPr>
          </w:p>
        </w:tc>
      </w:tr>
      <w:tr>
        <w:trPr>
          <w:trHeight w:val="225"/>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18"/>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(78,284)</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20"/>
                <w:szCs w:val="20"/>
                <w:color w:val="auto"/>
              </w:rPr>
            </w:pPr>
            <w:r>
              <w:rPr>
                <w:rFonts w:ascii="Arial" w:cs="Arial" w:eastAsia="Arial" w:hAnsi="Arial"/>
                <w:sz w:val="10"/>
                <w:szCs w:val="10"/>
                <w:color w:val="auto"/>
              </w:rPr>
              <w:t>(1)</w:t>
            </w:r>
          </w:p>
        </w:tc>
        <w:tc>
          <w:tcPr>
            <w:tcW w:w="6720" w:type="dxa"/>
            <w:vAlign w:val="bottom"/>
            <w:vMerge w:val="restart"/>
          </w:tcPr>
          <w:p>
            <w:pPr>
              <w:ind w:left="120"/>
              <w:spacing w:after="0"/>
              <w:rPr>
                <w:sz w:val="20"/>
                <w:szCs w:val="20"/>
                <w:color w:val="auto"/>
              </w:rPr>
            </w:pPr>
            <w:r>
              <w:rPr>
                <w:rFonts w:ascii="Arial" w:cs="Arial" w:eastAsia="Arial" w:hAnsi="Arial"/>
                <w:sz w:val="16"/>
                <w:szCs w:val="16"/>
                <w:color w:val="auto"/>
              </w:rPr>
              <w:t>Includes stock-based compensation expense as follows: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0" w:type="dxa"/>
            <w:vAlign w:val="bottom"/>
          </w:tcPr>
          <w:p>
            <w:pPr>
              <w:spacing w:after="0"/>
              <w:rPr>
                <w:sz w:val="6"/>
                <w:szCs w:val="6"/>
                <w:color w:val="auto"/>
              </w:rPr>
            </w:pPr>
          </w:p>
        </w:tc>
        <w:tc>
          <w:tcPr>
            <w:tcW w:w="67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1"/>
        </w:trPr>
        <w:tc>
          <w:tcPr>
            <w:tcW w:w="1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0" w:type="dxa"/>
            <w:vAlign w:val="bottom"/>
          </w:tcPr>
          <w:p>
            <w:pPr>
              <w:spacing w:after="0"/>
              <w:rPr>
                <w:sz w:val="1"/>
                <w:szCs w:val="1"/>
                <w:color w:val="auto"/>
              </w:rPr>
            </w:pPr>
          </w:p>
        </w:tc>
      </w:tr>
      <w:tr>
        <w:trPr>
          <w:trHeight w:val="225"/>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61,322</w:t>
            </w:r>
          </w:p>
        </w:tc>
        <w:tc>
          <w:tcPr>
            <w:tcW w:w="0" w:type="dxa"/>
            <w:vAlign w:val="bottom"/>
          </w:tcPr>
          <w:p>
            <w:pPr>
              <w:spacing w:after="0"/>
              <w:rPr>
                <w:sz w:val="1"/>
                <w:szCs w:val="1"/>
                <w:color w:val="auto"/>
              </w:rPr>
            </w:pPr>
          </w:p>
        </w:tc>
      </w:tr>
      <w:tr>
        <w:trPr>
          <w:trHeight w:val="225"/>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gridSpan w:val="2"/>
          </w:tcPr>
          <w:p>
            <w:pPr>
              <w:ind w:left="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35,533</w:t>
            </w:r>
          </w:p>
        </w:tc>
        <w:tc>
          <w:tcPr>
            <w:tcW w:w="0" w:type="dxa"/>
            <w:vAlign w:val="bottom"/>
          </w:tcPr>
          <w:p>
            <w:pPr>
              <w:spacing w:after="0"/>
              <w:rPr>
                <w:sz w:val="1"/>
                <w:szCs w:val="1"/>
                <w:color w:val="auto"/>
              </w:rPr>
            </w:pPr>
          </w:p>
        </w:tc>
      </w:tr>
      <w:tr>
        <w:trPr>
          <w:trHeight w:val="244"/>
        </w:trPr>
        <w:tc>
          <w:tcPr>
            <w:tcW w:w="18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145,327</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 w:lineRule="exact"/>
        <w:rPr>
          <w:sz w:val="20"/>
          <w:szCs w:val="20"/>
          <w:color w:val="auto"/>
        </w:rPr>
      </w:pPr>
    </w:p>
    <w:p>
      <w:pPr>
        <w:ind w:right="80" w:firstLine="6"/>
        <w:spacing w:after="0" w:line="222" w:lineRule="auto"/>
        <w:tabs>
          <w:tab w:leader="none" w:pos="303"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Stock-based compensation expense in 2025 includes $14.6 million of expense related to the accelerated vesting of equity awards for our former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Comparison of 2025 and 2024</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w:t>
            </w:r>
          </w:p>
        </w:tc>
      </w:tr>
      <w:tr>
        <w:trPr>
          <w:trHeight w:val="21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18"/>
        </w:trPr>
        <w:tc>
          <w:tcPr>
            <w:tcW w:w="5300" w:type="dxa"/>
            <w:vAlign w:val="bottom"/>
          </w:tcPr>
          <w:p>
            <w:pPr>
              <w:ind w:left="2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900,021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29"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The increase in revenue of $99.4 million included $95.7 million from existing customers as of January 1, 2025 and $3.7 million from new customers. U.S. revenue increased $40.9 million, or 8%. International revenue increased $58.5 million, or 14%.</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0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218,937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199,668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780,468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700,353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$19.3 million was primarily due to:</w:t>
      </w:r>
    </w:p>
    <w:p>
      <w:pPr>
        <w:spacing w:after="0" w:line="111"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$6.5 million increase in amortization of acquired intangible assets;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$4.0 million increase in third-party cloud infrastructure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$3.9 million increase in personnel costs, including a $1.0 million increase in stock-based compensation;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$2.4 million increase in depreciation and amortization.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sales and marketing expense of $21.6 million was primarily due to:</w:t>
      </w:r>
    </w:p>
    <w:p>
      <w:pPr>
        <w:spacing w:after="0" w:line="111"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$10.3 million increase in personnel costs, including a $6.1 million increase in stock-based compensation;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$4.5 million increase in sales commissions;</w:t>
      </w:r>
    </w:p>
    <w:p>
      <w:pPr>
        <w:spacing w:after="0" w:line="58"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$4.2 million increase in expenses for demand generation programs, including advertising, sponsorships, and brand awareness efforts;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$3.1 million increase in selling expenses, including travel and meeting costs and software subscription costs.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$42.0 million was primarily due to:</w:t>
      </w:r>
    </w:p>
    <w:p>
      <w:pPr>
        <w:spacing w:after="0" w:line="111" w:lineRule="exact"/>
        <w:rPr>
          <w:sz w:val="20"/>
          <w:szCs w:val="20"/>
          <w:color w:val="auto"/>
        </w:rPr>
      </w:pPr>
    </w:p>
    <w:p>
      <w:pPr>
        <w:ind w:left="640" w:right="500" w:hanging="316"/>
        <w:spacing w:after="0" w:line="27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$34.9 million increase in personnel costs, largely associated with an increase in headcount, including an $8.9 million increase in stock-based compensation;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$3.0 million increase in allocated overhead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$21.8 million was primarily due to:</w:t>
      </w:r>
    </w:p>
    <w:p>
      <w:pPr>
        <w:spacing w:after="0" w:line="111" w:lineRule="exact"/>
        <w:rPr>
          <w:sz w:val="20"/>
          <w:szCs w:val="20"/>
          <w:color w:val="auto"/>
        </w:rPr>
      </w:pPr>
    </w:p>
    <w:p>
      <w:pPr>
        <w:ind w:left="640" w:right="40" w:hanging="316"/>
        <w:spacing w:after="0" w:line="27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$17.0 million increase in personnel costs, including $15.5 million in termination benefits including cash compensation and accelerated equity award vesting related to the passing of our former Chairman and Chief Executive Officer;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$2.3 million increase in acquisition-related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Restructuring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88"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8"/>
          <w:szCs w:val="18"/>
          <w:color w:val="auto"/>
        </w:rPr>
        <w:t>In 2025, restructuring included $3.1 million in non-ordinary course severance and employee-related benefits. In 2024, restructuring included a $4.5 million non-cash impairment of leasehold improvements and furniture and fixtures that was recorded in connection with the sublease of a portion of our headquarters and $1.6 million in non-ordinary course severance and employee-related benefits.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8"/>
              </w:rPr>
              <w:t>(7,333)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center"/>
              <w:ind w:left="315"/>
              <w:spacing w:after="0"/>
              <w:rPr>
                <w:sz w:val="20"/>
                <w:szCs w:val="20"/>
                <w:color w:val="auto"/>
              </w:rPr>
            </w:pPr>
            <w:r>
              <w:rPr>
                <w:rFonts w:ascii="Arial" w:cs="Arial" w:eastAsia="Arial" w:hAnsi="Arial"/>
                <w:sz w:val="18"/>
                <w:szCs w:val="18"/>
                <w:color w:val="auto"/>
                <w:w w:val="97"/>
              </w:rPr>
              <w:t>3,501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2,097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288" w:lineRule="exact"/>
        <w:rPr>
          <w:sz w:val="20"/>
          <w:szCs w:val="20"/>
          <w:color w:val="auto"/>
        </w:rPr>
      </w:pPr>
    </w:p>
    <w:p>
      <w:pPr>
        <w:jc w:val="both"/>
        <w:ind w:right="180" w:firstLine="318"/>
        <w:spacing w:after="0" w:line="253" w:lineRule="auto"/>
        <w:rPr>
          <w:sz w:val="20"/>
          <w:szCs w:val="20"/>
          <w:color w:val="auto"/>
        </w:rPr>
      </w:pPr>
      <w:r>
        <w:rPr>
          <w:rFonts w:ascii="Arial" w:cs="Arial" w:eastAsia="Arial" w:hAnsi="Arial"/>
          <w:sz w:val="18"/>
          <w:szCs w:val="18"/>
          <w:color w:val="auto"/>
        </w:rPr>
        <w:t>The $7.3 million decrease in interest income was primarily due to a decrease in cash and cash equivalents and short-term investments as well as lower interest rates on our cash and cash equivalents and short-term investments. The $3.5 million decrease in interest expense was primarily due to a decrease in the variable rate of our Term Loan. The $2.1 million decrease in other expense, net was primarily due to a $3.4 million decrease in foreign exchange losses partially offset by a $1.5 million gain on the conversion of one of our simple agreements for future equity, or SAFE, investments in the prior year.</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5"/>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2025, the provision for income taxes included:</w:t>
      </w:r>
    </w:p>
    <w:p>
      <w:pPr>
        <w:spacing w:after="0" w:line="58"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$7.0 million of discrete expenses primarily related to withholding taxes on sales to customers;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$6.2 million of income taxes in foreign jurisdictions in which we conduct business.</w:t>
      </w: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2024, the provision for income taxes included:</w:t>
      </w:r>
    </w:p>
    <w:p>
      <w:pPr>
        <w:spacing w:after="0" w:line="58"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$6.9 million of discrete expenses primarily related to withholding taxes on sales to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$6.2 million of income taxes in foreign jurisdictions in which we conduct business;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$3.3 million related to Base Erosion and Anti-Abuse Tax, or BEAT;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 million of additional tax incurred related to the 2021 restructuring of Indegy;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$0.2 million of deferred tax benefits related to the Alsid acquisition.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Comparison of 2024 and 2023</w:t>
      </w:r>
    </w:p>
    <w:p>
      <w:pPr>
        <w:spacing w:after="0" w:line="219" w:lineRule="exact"/>
        <w:rPr>
          <w:sz w:val="20"/>
          <w:szCs w:val="20"/>
          <w:color w:val="auto"/>
        </w:rPr>
      </w:pPr>
    </w:p>
    <w:p>
      <w:pPr>
        <w:ind w:right="620" w:firstLine="318"/>
        <w:spacing w:after="0" w:line="274" w:lineRule="auto"/>
        <w:rPr>
          <w:sz w:val="20"/>
          <w:szCs w:val="20"/>
          <w:color w:val="auto"/>
        </w:rPr>
      </w:pPr>
      <w:r>
        <w:rPr>
          <w:rFonts w:ascii="Arial" w:cs="Arial" w:eastAsia="Arial" w:hAnsi="Arial"/>
          <w:sz w:val="18"/>
          <w:szCs w:val="18"/>
          <w:color w:val="auto"/>
        </w:rPr>
        <w:t>For a discussion of our consolidated results for 2024 compared to 2023, see our Annual Report on Form 10-K filed with the SEC on February 21, 2025.</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19" w:lineRule="exact"/>
        <w:rPr>
          <w:sz w:val="20"/>
          <w:szCs w:val="20"/>
          <w:color w:val="auto"/>
        </w:rPr>
      </w:pPr>
    </w:p>
    <w:p>
      <w:pPr>
        <w:ind w:right="260" w:firstLine="318"/>
        <w:spacing w:after="0" w:line="260" w:lineRule="auto"/>
        <w:rPr>
          <w:sz w:val="20"/>
          <w:szCs w:val="20"/>
          <w:color w:val="auto"/>
        </w:rPr>
      </w:pPr>
      <w:r>
        <w:rPr>
          <w:rFonts w:ascii="Arial" w:cs="Arial" w:eastAsia="Arial" w:hAnsi="Arial"/>
          <w:sz w:val="18"/>
          <w:szCs w:val="18"/>
          <w:color w:val="auto"/>
        </w:rPr>
        <w:t>At December 31, 2025, we had $187.8 million of cash and cash equivalents, which consisted of bank deposits and money market funds, and $214.4 million of short-term investments, which consisted of commercial paper, asset backed securities, U.S. Treasury and agency obligations and corporate and Yankee bonds.</w:t>
      </w:r>
    </w:p>
    <w:p>
      <w:pPr>
        <w:spacing w:after="0" w:line="175" w:lineRule="exact"/>
        <w:rPr>
          <w:sz w:val="20"/>
          <w:szCs w:val="20"/>
          <w:color w:val="auto"/>
        </w:rPr>
      </w:pPr>
    </w:p>
    <w:p>
      <w:pPr>
        <w:ind w:right="640" w:firstLine="318"/>
        <w:spacing w:after="0" w:line="274" w:lineRule="auto"/>
        <w:rPr>
          <w:sz w:val="20"/>
          <w:szCs w:val="20"/>
          <w:color w:val="auto"/>
        </w:rPr>
      </w:pPr>
      <w:r>
        <w:rPr>
          <w:rFonts w:ascii="Arial" w:cs="Arial" w:eastAsia="Arial" w:hAnsi="Arial"/>
          <w:sz w:val="18"/>
          <w:szCs w:val="18"/>
          <w:color w:val="auto"/>
        </w:rPr>
        <w:t>We have generated significant operating losses prior to and during 2025 as reflected by our accumulated deficit of $897.5 million at December 31, 2025.</w:t>
      </w:r>
    </w:p>
    <w:p>
      <w:pPr>
        <w:spacing w:after="0" w:line="163" w:lineRule="exact"/>
        <w:rPr>
          <w:sz w:val="20"/>
          <w:szCs w:val="20"/>
          <w:color w:val="auto"/>
        </w:rPr>
      </w:pPr>
    </w:p>
    <w:p>
      <w:pPr>
        <w:ind w:firstLine="318"/>
        <w:spacing w:after="0" w:line="253" w:lineRule="auto"/>
        <w:rPr>
          <w:sz w:val="20"/>
          <w:szCs w:val="20"/>
          <w:color w:val="auto"/>
        </w:rPr>
      </w:pPr>
      <w:r>
        <w:rPr>
          <w:rFonts w:ascii="Arial" w:cs="Arial" w:eastAsia="Arial" w:hAnsi="Arial"/>
          <w:sz w:val="18"/>
          <w:szCs w:val="18"/>
          <w:color w:val="auto"/>
        </w:rPr>
        <w:t>We typically invoice our customers in advance, however multi-year subscriptions are increasingly being invoiced annually in installments. Deferred revenue consists primarily of the unearned portion of billed fees for our subscriptions and perpetual licenses, which is subsequently recognized as revenue in accordance with our revenue recognition policy. At December 31, 2025, we had deferred revenue of $899.3 million, of which $706.9 million was recorded as a current liability and is expected to be recognized as revenue in the next 12 months, provided all other revenue recognition criteria are met.</w:t>
      </w:r>
    </w:p>
    <w:p>
      <w:pPr>
        <w:spacing w:after="0" w:line="181"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 xml:space="preserve">Our principal uses of cash in recent periods have been funding our operations, expansion of our sales and marketing and research and development activities, investments in infrastructure, acquiring complementary businesses and technology and repurchasing shares of our common stock. We paid $196.2 million, $29.2 million and $ 243.3 million to acquire businesses in 2025, 2024 and 2023, respectively.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w:t>
      </w:r>
      <w:r>
        <w:rPr>
          <w:rFonts w:ascii="Arial" w:cs="Arial" w:eastAsia="Arial" w:hAnsi="Arial"/>
          <w:sz w:val="18"/>
          <w:szCs w:val="18"/>
          <w:color w:val="000000"/>
        </w:rPr>
        <w:t>to our consolidated financial statements for details about recent acquisitions. We expect to enter into arrangements to acquire or invest in</w:t>
      </w:r>
      <w:r>
        <w:rPr>
          <w:rFonts w:ascii="Arial" w:cs="Arial" w:eastAsia="Arial" w:hAnsi="Arial"/>
          <w:sz w:val="18"/>
          <w:szCs w:val="18"/>
          <w:color w:val="0000FF"/>
        </w:rPr>
        <w:t xml:space="preserve"> </w:t>
      </w:r>
      <w:r>
        <w:rPr>
          <w:rFonts w:ascii="Arial" w:cs="Arial" w:eastAsia="Arial" w:hAnsi="Arial"/>
          <w:sz w:val="18"/>
          <w:szCs w:val="18"/>
          <w:color w:val="000000"/>
        </w:rPr>
        <w:t>other complementary businesses, services and technologies, including intellectual property rights, in the future.</w:t>
      </w:r>
    </w:p>
    <w:p>
      <w:pPr>
        <w:spacing w:after="0" w:line="181" w:lineRule="exact"/>
        <w:rPr>
          <w:sz w:val="20"/>
          <w:szCs w:val="20"/>
          <w:color w:val="auto"/>
        </w:rPr>
      </w:pPr>
    </w:p>
    <w:p>
      <w:pPr>
        <w:jc w:val="both"/>
        <w:ind w:right="20" w:firstLine="318"/>
        <w:spacing w:after="0" w:line="266" w:lineRule="auto"/>
        <w:rPr>
          <w:sz w:val="20"/>
          <w:szCs w:val="20"/>
          <w:color w:val="auto"/>
        </w:rPr>
      </w:pPr>
      <w:r>
        <w:rPr>
          <w:rFonts w:ascii="Arial" w:cs="Arial" w:eastAsia="Arial" w:hAnsi="Arial"/>
          <w:sz w:val="17"/>
          <w:szCs w:val="17"/>
          <w:color w:val="auto"/>
        </w:rPr>
        <w:t>We expect to continue incurring operating losses in the near term. Even though we generated positive cash flows from operations and free cash flow in 2025, 2024 and 2023, we may not be able to sustain these cash flows. We believe that our existing cash and cash equivalents and short-term investments will be sufficient to fund our operating and capital needs for at least the next 12 months and for the foreseeable future.</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November 2023, our Board of Directors authorized the repurchase of up to $100 million of our common stock. In October 2024, July 2025 and January 2026, our Board of Directors increased the repurchase authorization by $200 million, $250 million and $ 150 million, respectively. Since the inception of the share repurchase program and through December 31, 2025, we have purchased a total of 10.6 million shares for $362.4 million.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we entered into a credit agreement, or the Credit Agreement, which is comprised of a $375.0 million Term Loan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 million Revolving Credit Facility, with a $15.0 million letter of credit sublimit. The Term Loan bears interest at a rate of 2.75% per annum</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over SOFR, subject to a 0.50% floor, plus a credit spread adjustment depending on the interest period.</w:t>
      </w:r>
    </w:p>
    <w:p>
      <w:pPr>
        <w:spacing w:after="0" w:line="201"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In 2025, interest rates on our Term Loan were between 6.78% and 7.22%.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At December 31, 2025, our first lien net leverage ratio was 0.84.</w:t>
      </w:r>
    </w:p>
    <w:p>
      <w:pPr>
        <w:spacing w:after="0" w:line="180"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SOFR and matures on July 7, 2026. We pay a commitment fee during the term ranging from 0.25% to 0.375% per annum of the average daily undrawn portion of our Revolving Credit Facility. At December 31, 2025, we were in compliance with the covenants and had $0.2 million of standby letters of credit outstanding under the Revolving Credit Facility.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149,855</w:t>
            </w:r>
          </w:p>
        </w:tc>
      </w:tr>
      <w:tr>
        <w:trPr>
          <w:trHeight w:val="225"/>
        </w:trPr>
        <w:tc>
          <w:tcPr>
            <w:tcW w:w="69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(212,615)</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17" w:lineRule="exact"/>
        <w:rPr>
          <w:sz w:val="20"/>
          <w:szCs w:val="20"/>
          <w:color w:val="auto"/>
        </w:rPr>
      </w:pPr>
    </w:p>
    <w:p>
      <w:pPr>
        <w:jc w:val="both"/>
        <w:ind w:right="540" w:firstLine="318"/>
        <w:spacing w:after="0" w:line="260" w:lineRule="auto"/>
        <w:rPr>
          <w:sz w:val="20"/>
          <w:szCs w:val="20"/>
          <w:color w:val="auto"/>
        </w:rPr>
      </w:pPr>
      <w:r>
        <w:rPr>
          <w:rFonts w:ascii="Arial" w:cs="Arial" w:eastAsia="Arial" w:hAnsi="Arial"/>
          <w:sz w:val="18"/>
          <w:szCs w:val="18"/>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217" w:lineRule="exact"/>
        <w:rPr>
          <w:sz w:val="20"/>
          <w:szCs w:val="20"/>
          <w:color w:val="auto"/>
        </w:rPr>
      </w:pPr>
    </w:p>
    <w:p>
      <w:pPr>
        <w:ind w:right="760" w:firstLine="318"/>
        <w:spacing w:after="0" w:line="260" w:lineRule="auto"/>
        <w:rPr>
          <w:sz w:val="20"/>
          <w:szCs w:val="20"/>
          <w:color w:val="auto"/>
        </w:rPr>
      </w:pPr>
      <w:r>
        <w:rPr>
          <w:rFonts w:ascii="Arial" w:cs="Arial" w:eastAsia="Arial" w:hAnsi="Arial"/>
          <w:sz w:val="18"/>
          <w:szCs w:val="18"/>
          <w:color w:val="auto"/>
        </w:rPr>
        <w:t>From 2024 to 2025, net cash used in investing activities increased by $133.1 million, primarily due to an increase in cash paid for acquisitions of $167.0 million and a $7.9 million increase in purchases of property and equipment, partially offset by a $41.2 million net decrease in purchases of short-term investments.</w:t>
      </w:r>
    </w:p>
    <w:p>
      <w:pPr>
        <w:spacing w:after="0" w:line="175" w:lineRule="exact"/>
        <w:rPr>
          <w:sz w:val="20"/>
          <w:szCs w:val="20"/>
          <w:color w:val="auto"/>
        </w:rPr>
      </w:pPr>
    </w:p>
    <w:p>
      <w:pPr>
        <w:ind w:right="840" w:firstLine="318"/>
        <w:spacing w:after="0" w:line="274" w:lineRule="auto"/>
        <w:rPr>
          <w:sz w:val="20"/>
          <w:szCs w:val="20"/>
          <w:color w:val="auto"/>
        </w:rPr>
      </w:pPr>
      <w:r>
        <w:rPr>
          <w:rFonts w:ascii="Arial" w:cs="Arial" w:eastAsia="Arial" w:hAnsi="Arial"/>
          <w:sz w:val="18"/>
          <w:szCs w:val="18"/>
          <w:color w:val="auto"/>
        </w:rPr>
        <w:t>From 2023 to 2024, net cash used in investing activities decreased by $171.2 million, primarily due to a decrease in cash paid for acquisitions of $214.1 million, partially offset by a $43.3 million net decrease in sales of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217" w:lineRule="exact"/>
        <w:rPr>
          <w:sz w:val="20"/>
          <w:szCs w:val="20"/>
          <w:color w:val="auto"/>
        </w:rPr>
      </w:pPr>
    </w:p>
    <w:p>
      <w:pPr>
        <w:ind w:right="520" w:firstLine="318"/>
        <w:spacing w:after="0" w:line="274" w:lineRule="auto"/>
        <w:rPr>
          <w:sz w:val="20"/>
          <w:szCs w:val="20"/>
          <w:color w:val="auto"/>
        </w:rPr>
      </w:pPr>
      <w:r>
        <w:rPr>
          <w:rFonts w:ascii="Arial" w:cs="Arial" w:eastAsia="Arial" w:hAnsi="Arial"/>
          <w:sz w:val="18"/>
          <w:szCs w:val="18"/>
          <w:color w:val="auto"/>
        </w:rPr>
        <w:t>From 2024 to 2025, net cash used in financing activities increased by $154.7 million, primarily due to a $147.5 million increase in the repurchase of common stock under our share repurchase program.</w:t>
      </w:r>
    </w:p>
    <w:p>
      <w:pPr>
        <w:spacing w:after="0" w:line="163" w:lineRule="exact"/>
        <w:rPr>
          <w:sz w:val="20"/>
          <w:szCs w:val="20"/>
          <w:color w:val="auto"/>
        </w:rPr>
      </w:pPr>
    </w:p>
    <w:p>
      <w:pPr>
        <w:jc w:val="both"/>
        <w:ind w:right="180" w:firstLine="318"/>
        <w:spacing w:after="0" w:line="260" w:lineRule="auto"/>
        <w:rPr>
          <w:sz w:val="20"/>
          <w:szCs w:val="20"/>
          <w:color w:val="auto"/>
        </w:rPr>
      </w:pPr>
      <w:r>
        <w:rPr>
          <w:rFonts w:ascii="Arial" w:cs="Arial" w:eastAsia="Arial" w:hAnsi="Arial"/>
          <w:sz w:val="18"/>
          <w:szCs w:val="18"/>
          <w:color w:val="auto"/>
        </w:rPr>
        <w:t>From 2023 to 2024, net cash provided by financing activities decreased by $80.7 million, primarily due to an $85.0 million increase in the repurchase of common stock under our share repurchase program, partially offset by a $4.6 million increase in proceeds from the exercise of stock options.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219" w:lineRule="exact"/>
        <w:rPr>
          <w:sz w:val="20"/>
          <w:szCs w:val="20"/>
          <w:color w:val="auto"/>
        </w:rPr>
      </w:pPr>
    </w:p>
    <w:p>
      <w:pPr>
        <w:ind w:right="40" w:firstLine="318"/>
        <w:spacing w:after="0" w:line="304" w:lineRule="auto"/>
        <w:rPr>
          <w:sz w:val="20"/>
          <w:szCs w:val="20"/>
          <w:color w:val="auto"/>
        </w:rPr>
      </w:pPr>
      <w:r>
        <w:rPr>
          <w:rFonts w:ascii="Arial" w:cs="Arial" w:eastAsia="Arial" w:hAnsi="Arial"/>
          <w:sz w:val="17"/>
          <w:szCs w:val="17"/>
          <w:color w:val="auto"/>
        </w:rPr>
        <w:t xml:space="preserve">We have certain contractual obligations for future payments.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to our consolidated financial statements for our required operating lease payments and </w:t>
      </w:r>
      <w:r>
        <w:rPr>
          <w:rFonts w:ascii="Arial" w:cs="Arial" w:eastAsia="Arial" w:hAnsi="Arial"/>
          <w:sz w:val="17"/>
          <w:szCs w:val="17"/>
          <w:u w:val="single" w:color="auto"/>
          <w:color w:val="0000FF"/>
        </w:rPr>
        <w:t>Note 9</w:t>
      </w:r>
      <w:r>
        <w:rPr>
          <w:rFonts w:ascii="Arial" w:cs="Arial" w:eastAsia="Arial" w:hAnsi="Arial"/>
          <w:sz w:val="17"/>
          <w:szCs w:val="17"/>
          <w:color w:val="auto"/>
        </w:rPr>
        <w:t xml:space="preserve"> to our consolidated financial statements for our required payments to Microsoft and AWS for cloud services.</w:t>
      </w:r>
    </w:p>
    <w:p>
      <w:pPr>
        <w:spacing w:after="0" w:line="141"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At December 31, 2025, we had other non-cancellable purchase obligations of $25.8 million due in the next twelve months and $7.9 million due thereafter.</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ind w:right="620" w:firstLine="318"/>
        <w:spacing w:after="0" w:line="274"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We recognize revenue to depict the transfer of promised goods or services to customers in an amount that reflects the consideration to which we expect to be entitled to in exchange for those goods or services. In recognizing revenue, we apply the following steps:</w:t>
      </w:r>
    </w:p>
    <w:p>
      <w:pPr>
        <w:spacing w:after="0" w:line="57"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300" w:firstLine="318"/>
        <w:spacing w:after="0" w:line="260" w:lineRule="auto"/>
        <w:rPr>
          <w:sz w:val="20"/>
          <w:szCs w:val="20"/>
          <w:color w:val="auto"/>
        </w:rPr>
      </w:pPr>
      <w:r>
        <w:rPr>
          <w:rFonts w:ascii="Arial" w:cs="Arial" w:eastAsia="Arial" w:hAnsi="Arial"/>
          <w:sz w:val="18"/>
          <w:szCs w:val="18"/>
          <w:color w:val="auto"/>
        </w:rPr>
        <w:t>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w:t>
      </w:r>
    </w:p>
    <w:p>
      <w:pPr>
        <w:spacing w:after="0" w:line="175" w:lineRule="exact"/>
        <w:rPr>
          <w:sz w:val="20"/>
          <w:szCs w:val="20"/>
          <w:color w:val="auto"/>
        </w:rPr>
      </w:pPr>
    </w:p>
    <w:p>
      <w:pPr>
        <w:ind w:right="620" w:firstLine="318"/>
        <w:spacing w:after="0" w:line="274"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and other revenue.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17"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700"/>
        <w:spacing w:after="0" w:line="274" w:lineRule="auto"/>
        <w:rPr>
          <w:sz w:val="20"/>
          <w:szCs w:val="20"/>
          <w:color w:val="auto"/>
        </w:rPr>
      </w:pPr>
      <w:r>
        <w:rPr>
          <w:rFonts w:ascii="Arial" w:cs="Arial" w:eastAsia="Arial" w:hAnsi="Arial"/>
          <w:sz w:val="18"/>
          <w:szCs w:val="18"/>
          <w:color w:val="auto"/>
        </w:rPr>
        <w:t>software does not depend on ongoing updates, we recognize revenue attributable to the license at the time of delivery and the revenue attributable to the maintenance and support ratably over the contract period.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5"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We have estimated the five-year economic life of perpetual license contracts based on historical contract attrition, expected renewal periods, the lifecycle of our technology and other factors. While we believe that the estimates we have made are reasonable and appropriate, different assumptions and estimates could impact our financial results.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17"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7"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17"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180"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1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7" w:lineRule="exact"/>
        <w:rPr>
          <w:sz w:val="20"/>
          <w:szCs w:val="20"/>
          <w:color w:val="auto"/>
        </w:rPr>
      </w:pPr>
    </w:p>
    <w:p>
      <w:pPr>
        <w:jc w:val="both"/>
        <w:ind w:right="220" w:firstLine="318"/>
        <w:spacing w:after="0" w:line="253"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generally determine the fair value of acquired technology using the multi-period excess earnings method, a form of the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income approach. However, in certain situations we may use the cost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costs are expensed as incurred.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17"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ind w:right="380" w:firstLine="318"/>
        <w:spacing w:after="0" w:line="260" w:lineRule="auto"/>
        <w:rPr>
          <w:sz w:val="20"/>
          <w:szCs w:val="20"/>
          <w:color w:val="auto"/>
        </w:rPr>
      </w:pPr>
      <w:r>
        <w:rPr>
          <w:rFonts w:ascii="Arial" w:cs="Arial" w:eastAsia="Arial" w:hAnsi="Arial"/>
          <w:sz w:val="18"/>
          <w:szCs w:val="18"/>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175"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We have elected to treat taxes related to Global Intangible Low Taxed Income, or GILTI, as a period cost.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provide a source of taxable income when reversed. Our evaluation of valuation allowances could change in the future and the impact could have a material impact on our financial statements.</w:t>
      </w:r>
    </w:p>
    <w:p>
      <w:pPr>
        <w:spacing w:after="0" w:line="175" w:lineRule="exact"/>
        <w:rPr>
          <w:sz w:val="20"/>
          <w:szCs w:val="20"/>
          <w:color w:val="auto"/>
        </w:rPr>
      </w:pPr>
    </w:p>
    <w:p>
      <w:pPr>
        <w:ind w:right="620" w:firstLine="318"/>
        <w:spacing w:after="0" w:line="304" w:lineRule="auto"/>
        <w:rPr>
          <w:sz w:val="20"/>
          <w:szCs w:val="20"/>
          <w:color w:val="auto"/>
        </w:rPr>
      </w:pPr>
      <w:r>
        <w:rPr>
          <w:rFonts w:ascii="Arial" w:cs="Arial" w:eastAsia="Arial" w:hAnsi="Arial"/>
          <w:sz w:val="17"/>
          <w:szCs w:val="17"/>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41" w:lineRule="exact"/>
        <w:rPr>
          <w:sz w:val="20"/>
          <w:szCs w:val="20"/>
          <w:color w:val="auto"/>
        </w:rPr>
      </w:pPr>
    </w:p>
    <w:p>
      <w:pPr>
        <w:ind w:right="360" w:firstLine="318"/>
        <w:spacing w:after="0" w:line="260"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to our consolidated financial statements for more information regarding recently issued accounting pronouncements.</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At December 31, 2025, we had $187.8 million of cash and cash equivalents, which consisted of cash deposits and money market funds. We also had $ 214.4 million of short-term investments, which consisted of commercial paper, asset backed securities, U.S. treasury and agency securities and corporate and Yankee bonds. Our investments are carried at their fair market values with cumulative unrealized gains or losses recorded as a component of accumulated other comprehensive (loss)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190" w:lineRule="exact"/>
        <w:rPr>
          <w:sz w:val="20"/>
          <w:szCs w:val="20"/>
          <w:color w:val="auto"/>
        </w:rPr>
      </w:pPr>
    </w:p>
    <w:p>
      <w:pPr>
        <w:ind w:right="40" w:firstLine="318"/>
        <w:spacing w:after="0" w:line="282" w:lineRule="auto"/>
        <w:rPr>
          <w:sz w:val="20"/>
          <w:szCs w:val="20"/>
          <w:color w:val="auto"/>
        </w:rPr>
      </w:pPr>
      <w:r>
        <w:rPr>
          <w:rFonts w:ascii="Arial" w:cs="Arial" w:eastAsia="Arial" w:hAnsi="Arial"/>
          <w:sz w:val="17"/>
          <w:szCs w:val="17"/>
          <w:color w:val="auto"/>
        </w:rPr>
        <w:t>In July 2021, we entered into the Credit Agreement comprised of a $375.0 million Term Loan and a $50.0 million Revolving Credit Facility. In 2025, interest rates on our Term Loan were between 6.78% and 7.22%. In January and February 2026, our Term Loan has an interest rate of 6.58% and 6.54%, respectively. A one percentage point increase in the rate would not have had a material impact on our financial statements.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7"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Indian Rupee, Brazilian Real and Singapore dollar. Strengthening of the U.S. dollar compared to other currencies could result in lower international sales as our products would seem more expensive and could result in lower international operating costs as the U.S. 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7"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While we do not believe that inflation has had a material effect on our business, results of operations, or financial condition through December 31, 2025, our costs, specifically employee-related and third-party cloud infrastructure costs, may become subject to significant inflationary pressures, and our inability or failure to fully offset such higher costs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21"/>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424"/>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2"/>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Page</w:t>
            </w:r>
          </w:p>
        </w:tc>
      </w:tr>
      <w:tr>
        <w:trPr>
          <w:trHeight w:val="470"/>
        </w:trPr>
        <w:tc>
          <w:tcPr>
            <w:tcW w:w="340" w:type="dxa"/>
            <w:vAlign w:val="bottom"/>
          </w:tcPr>
          <w:p>
            <w:pPr>
              <w:spacing w:after="0"/>
              <w:rPr>
                <w:sz w:val="24"/>
                <w:szCs w:val="24"/>
                <w:color w:val="auto"/>
              </w:rPr>
            </w:pPr>
          </w:p>
        </w:tc>
        <w:tc>
          <w:tcPr>
            <w:tcW w:w="10600" w:type="dxa"/>
            <w:vAlign w:val="bottom"/>
            <w:gridSpan w:val="23"/>
          </w:tcPr>
          <w:p>
            <w:pPr>
              <w:spacing w:after="0"/>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42)</w:t>
            </w:r>
          </w:p>
        </w:tc>
        <w:tc>
          <w:tcPr>
            <w:tcW w:w="400" w:type="dxa"/>
            <w:vAlign w:val="bottom"/>
            <w:gridSpan w:val="2"/>
          </w:tcPr>
          <w:p>
            <w:pPr>
              <w:spacing w:after="0"/>
              <w:rPr>
                <w:sz w:val="20"/>
                <w:szCs w:val="20"/>
                <w:color w:val="auto"/>
              </w:rPr>
            </w:pPr>
            <w:r>
              <w:rPr>
                <w:rFonts w:ascii="Arial" w:cs="Arial" w:eastAsia="Arial" w:hAnsi="Arial"/>
                <w:sz w:val="18"/>
                <w:szCs w:val="18"/>
                <w:color w:val="0000FF"/>
              </w:rPr>
              <w:t>67</w:t>
            </w:r>
          </w:p>
        </w:tc>
      </w:tr>
      <w:tr>
        <w:trPr>
          <w:trHeight w:val="205"/>
        </w:trPr>
        <w:tc>
          <w:tcPr>
            <w:tcW w:w="340" w:type="dxa"/>
            <w:vAlign w:val="bottom"/>
          </w:tcPr>
          <w:p>
            <w:pPr>
              <w:spacing w:after="0"/>
              <w:rPr>
                <w:sz w:val="17"/>
                <w:szCs w:val="17"/>
                <w:color w:val="auto"/>
              </w:rPr>
            </w:pPr>
          </w:p>
        </w:tc>
        <w:tc>
          <w:tcPr>
            <w:tcW w:w="1660" w:type="dxa"/>
            <w:vAlign w:val="bottom"/>
            <w:tcBorders>
              <w:top w:val="single" w:sz="8" w:color="0000FF"/>
              <w:bottom w:val="single" w:sz="8" w:color="0000FF"/>
            </w:tcBorders>
            <w:gridSpan w:val="8"/>
          </w:tcPr>
          <w:p>
            <w:pPr>
              <w:spacing w:after="0" w:line="205" w:lineRule="exact"/>
              <w:rPr>
                <w:sz w:val="20"/>
                <w:szCs w:val="20"/>
                <w:color w:val="auto"/>
              </w:rPr>
            </w:pPr>
            <w:r>
              <w:rPr>
                <w:rFonts w:ascii="Arial" w:cs="Arial" w:eastAsia="Arial" w:hAnsi="Arial"/>
                <w:sz w:val="18"/>
                <w:szCs w:val="18"/>
                <w:color w:val="0000FF"/>
                <w:w w:val="97"/>
              </w:rPr>
              <w:t>Financial Statements</w:t>
            </w:r>
          </w:p>
        </w:tc>
        <w:tc>
          <w:tcPr>
            <w:tcW w:w="2940" w:type="dxa"/>
            <w:vAlign w:val="bottom"/>
            <w:tcBorders>
              <w:top w:val="single" w:sz="8" w:color="0000FF"/>
            </w:tcBorders>
            <w:gridSpan w:val="13"/>
          </w:tcPr>
          <w:p>
            <w:pPr>
              <w:spacing w:after="0"/>
              <w:rPr>
                <w:sz w:val="17"/>
                <w:szCs w:val="17"/>
                <w:color w:val="auto"/>
              </w:rPr>
            </w:pPr>
          </w:p>
        </w:tc>
        <w:tc>
          <w:tcPr>
            <w:tcW w:w="6000" w:type="dxa"/>
            <w:vAlign w:val="bottom"/>
            <w:gridSpan w:val="2"/>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32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97"/>
              </w:rPr>
              <w:t>Consolidated Balance Sheets</w:t>
            </w:r>
          </w:p>
        </w:tc>
        <w:tc>
          <w:tcPr>
            <w:tcW w:w="8280" w:type="dxa"/>
            <w:vAlign w:val="bottom"/>
            <w:gridSpan w:val="13"/>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70</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10600" w:type="dxa"/>
            <w:vAlign w:val="bottom"/>
            <w:gridSpan w:val="23"/>
          </w:tcPr>
          <w:p>
            <w:pPr>
              <w:spacing w:after="0" w:line="205" w:lineRule="exact"/>
              <w:rPr>
                <w:sz w:val="20"/>
                <w:szCs w:val="20"/>
                <w:color w:val="auto"/>
              </w:rPr>
            </w:pPr>
            <w:r>
              <w:rPr>
                <w:rFonts w:ascii="Arial" w:cs="Arial" w:eastAsia="Arial" w:hAnsi="Arial"/>
                <w:sz w:val="18"/>
                <w:szCs w:val="18"/>
                <w:color w:val="0000FF"/>
              </w:rPr>
              <w:t>Consolidated Statements of Operations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71</w:t>
            </w: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388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97"/>
              </w:rPr>
              <w:t>Consolidated Statements of Comprehensive Loss</w:t>
            </w:r>
          </w:p>
        </w:tc>
        <w:tc>
          <w:tcPr>
            <w:tcW w:w="6720" w:type="dxa"/>
            <w:vAlign w:val="bottom"/>
            <w:gridSpan w:val="4"/>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72</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3820" w:type="dxa"/>
            <w:vAlign w:val="bottom"/>
            <w:tcBorders>
              <w:bottom w:val="single" w:sz="8" w:color="0000FF"/>
            </w:tcBorders>
            <w:gridSpan w:val="17"/>
          </w:tcPr>
          <w:p>
            <w:pPr>
              <w:spacing w:after="0" w:line="205" w:lineRule="exact"/>
              <w:rPr>
                <w:sz w:val="20"/>
                <w:szCs w:val="20"/>
                <w:color w:val="auto"/>
              </w:rPr>
            </w:pPr>
            <w:r>
              <w:rPr>
                <w:rFonts w:ascii="Arial" w:cs="Arial" w:eastAsia="Arial" w:hAnsi="Arial"/>
                <w:sz w:val="18"/>
                <w:szCs w:val="18"/>
                <w:color w:val="0000FF"/>
                <w:w w:val="97"/>
              </w:rPr>
              <w:t>Consolidated Statements of Stockholders' Equity</w:t>
            </w:r>
          </w:p>
        </w:tc>
        <w:tc>
          <w:tcPr>
            <w:tcW w:w="6780" w:type="dxa"/>
            <w:vAlign w:val="bottom"/>
            <w:gridSpan w:val="6"/>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73</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10600" w:type="dxa"/>
            <w:vAlign w:val="bottom"/>
            <w:gridSpan w:val="23"/>
          </w:tcPr>
          <w:p>
            <w:pPr>
              <w:spacing w:after="0" w:line="205" w:lineRule="exact"/>
              <w:rPr>
                <w:sz w:val="20"/>
                <w:szCs w:val="20"/>
                <w:color w:val="auto"/>
              </w:rPr>
            </w:pPr>
            <w:r>
              <w:rPr>
                <w:rFonts w:ascii="Arial" w:cs="Arial" w:eastAsia="Arial" w:hAnsi="Arial"/>
                <w:sz w:val="18"/>
                <w:szCs w:val="18"/>
                <w:color w:val="0000FF"/>
              </w:rPr>
              <w:t>Consolidated Statements of Cash Flows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74</w:t>
            </w: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3440" w:type="dxa"/>
            <w:vAlign w:val="bottom"/>
            <w:tcBorders>
              <w:bottom w:val="single" w:sz="8" w:color="0000FF"/>
            </w:tcBorders>
            <w:gridSpan w:val="16"/>
          </w:tcPr>
          <w:p>
            <w:pPr>
              <w:spacing w:after="0" w:line="205" w:lineRule="exact"/>
              <w:rPr>
                <w:sz w:val="20"/>
                <w:szCs w:val="20"/>
                <w:color w:val="auto"/>
              </w:rPr>
            </w:pPr>
            <w:r>
              <w:rPr>
                <w:rFonts w:ascii="Arial" w:cs="Arial" w:eastAsia="Arial" w:hAnsi="Arial"/>
                <w:sz w:val="18"/>
                <w:szCs w:val="18"/>
                <w:color w:val="0000FF"/>
                <w:w w:val="97"/>
              </w:rPr>
              <w:t>Notes to Consolidated Financial Statements</w:t>
            </w:r>
          </w:p>
        </w:tc>
        <w:tc>
          <w:tcPr>
            <w:tcW w:w="7160" w:type="dxa"/>
            <w:vAlign w:val="bottom"/>
            <w:gridSpan w:val="7"/>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75</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1.</w:t>
            </w:r>
          </w:p>
        </w:tc>
        <w:tc>
          <w:tcPr>
            <w:tcW w:w="10220" w:type="dxa"/>
            <w:vAlign w:val="bottom"/>
            <w:gridSpan w:val="21"/>
          </w:tcPr>
          <w:p>
            <w:pPr>
              <w:ind w:left="20"/>
              <w:spacing w:after="0" w:line="205" w:lineRule="exact"/>
              <w:rPr>
                <w:sz w:val="20"/>
                <w:szCs w:val="20"/>
                <w:color w:val="auto"/>
              </w:rPr>
            </w:pPr>
            <w:r>
              <w:rPr>
                <w:rFonts w:ascii="Arial" w:cs="Arial" w:eastAsia="Arial" w:hAnsi="Arial"/>
                <w:sz w:val="18"/>
                <w:szCs w:val="18"/>
                <w:color w:val="0000FF"/>
              </w:rPr>
              <w:t>Business and Summary of Significant Accounting Policies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75</w:t>
            </w:r>
          </w:p>
        </w:tc>
      </w:tr>
      <w:tr>
        <w:trPr>
          <w:trHeight w:val="205"/>
        </w:trPr>
        <w:tc>
          <w:tcPr>
            <w:tcW w:w="560" w:type="dxa"/>
            <w:vAlign w:val="bottom"/>
            <w:gridSpan w:val="2"/>
          </w:tcPr>
          <w:p>
            <w:pPr>
              <w:spacing w:after="0"/>
              <w:rPr>
                <w:sz w:val="17"/>
                <w:szCs w:val="17"/>
                <w:color w:val="auto"/>
              </w:rPr>
            </w:pPr>
          </w:p>
        </w:tc>
        <w:tc>
          <w:tcPr>
            <w:tcW w:w="16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92"/>
              </w:rPr>
              <w:t>2.</w:t>
            </w:r>
          </w:p>
        </w:tc>
        <w:tc>
          <w:tcPr>
            <w:tcW w:w="4520" w:type="dxa"/>
            <w:vAlign w:val="bottom"/>
            <w:tcBorders>
              <w:top w:val="single" w:sz="8" w:color="0000FF"/>
            </w:tcBorders>
            <w:gridSpan w:val="20"/>
          </w:tcPr>
          <w:p>
            <w:pPr>
              <w:ind w:left="20"/>
              <w:spacing w:after="0" w:line="205" w:lineRule="exact"/>
              <w:rPr>
                <w:sz w:val="20"/>
                <w:szCs w:val="20"/>
                <w:color w:val="auto"/>
              </w:rPr>
            </w:pPr>
            <w:r>
              <w:rPr>
                <w:rFonts w:ascii="Arial" w:cs="Arial" w:eastAsia="Arial" w:hAnsi="Arial"/>
                <w:sz w:val="18"/>
                <w:szCs w:val="18"/>
                <w:color w:val="0000FF"/>
              </w:rPr>
              <w:t>Revenue</w:t>
            </w:r>
          </w:p>
        </w:tc>
        <w:tc>
          <w:tcPr>
            <w:tcW w:w="5700" w:type="dxa"/>
            <w:vAlign w:val="bottom"/>
          </w:tcPr>
          <w:p>
            <w:pPr>
              <w:spacing w:after="0"/>
              <w:rPr>
                <w:sz w:val="17"/>
                <w:szCs w:val="17"/>
                <w:color w:val="auto"/>
              </w:rPr>
            </w:pPr>
          </w:p>
        </w:tc>
        <w:tc>
          <w:tcPr>
            <w:tcW w:w="2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89"/>
              </w:rPr>
              <w:t>81</w:t>
            </w:r>
          </w:p>
        </w:tc>
        <w:tc>
          <w:tcPr>
            <w:tcW w:w="2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97"/>
              </w:rPr>
              <w:t>3. Cash Equivalents and Short-Term Investments</w:t>
            </w:r>
          </w:p>
        </w:tc>
        <w:tc>
          <w:tcPr>
            <w:tcW w:w="6540" w:type="dxa"/>
            <w:vAlign w:val="bottom"/>
            <w:gridSpan w:val="3"/>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82</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4.</w:t>
            </w:r>
          </w:p>
        </w:tc>
        <w:tc>
          <w:tcPr>
            <w:tcW w:w="10220" w:type="dxa"/>
            <w:vAlign w:val="bottom"/>
            <w:gridSpan w:val="21"/>
          </w:tcPr>
          <w:p>
            <w:pPr>
              <w:ind w:left="20"/>
              <w:spacing w:after="0" w:line="205" w:lineRule="exact"/>
              <w:rPr>
                <w:sz w:val="20"/>
                <w:szCs w:val="20"/>
                <w:color w:val="auto"/>
              </w:rPr>
            </w:pPr>
            <w:r>
              <w:rPr>
                <w:rFonts w:ascii="Arial" w:cs="Arial" w:eastAsia="Arial" w:hAnsi="Arial"/>
                <w:sz w:val="18"/>
                <w:szCs w:val="18"/>
                <w:color w:val="0000FF"/>
              </w:rPr>
              <w:t>Fair Value Measurements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83</w:t>
            </w:r>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5.</w:t>
            </w:r>
          </w:p>
        </w:tc>
        <w:tc>
          <w:tcPr>
            <w:tcW w:w="2300" w:type="dxa"/>
            <w:vAlign w:val="bottom"/>
            <w:tcBorders>
              <w:bottom w:val="single" w:sz="8" w:color="0000FF"/>
            </w:tcBorders>
            <w:gridSpan w:val="10"/>
          </w:tcPr>
          <w:p>
            <w:pPr>
              <w:ind w:left="20"/>
              <w:spacing w:after="0" w:line="205" w:lineRule="exact"/>
              <w:rPr>
                <w:sz w:val="20"/>
                <w:szCs w:val="20"/>
                <w:color w:val="auto"/>
              </w:rPr>
            </w:pPr>
            <w:r>
              <w:rPr>
                <w:rFonts w:ascii="Arial" w:cs="Arial" w:eastAsia="Arial" w:hAnsi="Arial"/>
                <w:sz w:val="18"/>
                <w:szCs w:val="18"/>
                <w:color w:val="0000FF"/>
                <w:w w:val="97"/>
              </w:rPr>
              <w:t>Property and Equipment, Net</w:t>
            </w:r>
          </w:p>
        </w:tc>
        <w:tc>
          <w:tcPr>
            <w:tcW w:w="7920" w:type="dxa"/>
            <w:vAlign w:val="bottom"/>
            <w:gridSpan w:val="11"/>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85</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6.</w:t>
            </w:r>
          </w:p>
        </w:tc>
        <w:tc>
          <w:tcPr>
            <w:tcW w:w="3480" w:type="dxa"/>
            <w:vAlign w:val="bottom"/>
            <w:tcBorders>
              <w:bottom w:val="single" w:sz="8" w:color="0000FF"/>
            </w:tcBorders>
            <w:gridSpan w:val="16"/>
          </w:tcPr>
          <w:p>
            <w:pPr>
              <w:ind w:left="20"/>
              <w:spacing w:after="0" w:line="205" w:lineRule="exact"/>
              <w:rPr>
                <w:sz w:val="20"/>
                <w:szCs w:val="20"/>
                <w:color w:val="auto"/>
              </w:rPr>
            </w:pPr>
            <w:r>
              <w:rPr>
                <w:rFonts w:ascii="Arial" w:cs="Arial" w:eastAsia="Arial" w:hAnsi="Arial"/>
                <w:sz w:val="18"/>
                <w:szCs w:val="18"/>
                <w:color w:val="0000FF"/>
                <w:w w:val="97"/>
              </w:rPr>
              <w:t>Acquisitions, Goodwill and Intangible Assets</w:t>
            </w:r>
          </w:p>
        </w:tc>
        <w:tc>
          <w:tcPr>
            <w:tcW w:w="6740" w:type="dxa"/>
            <w:vAlign w:val="bottom"/>
            <w:gridSpan w:val="5"/>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85</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7.</w:t>
            </w:r>
          </w:p>
        </w:tc>
        <w:tc>
          <w:tcPr>
            <w:tcW w:w="10220" w:type="dxa"/>
            <w:vAlign w:val="bottom"/>
            <w:gridSpan w:val="21"/>
          </w:tcPr>
          <w:p>
            <w:pPr>
              <w:ind w:left="20"/>
              <w:spacing w:after="0" w:line="205" w:lineRule="exact"/>
              <w:rPr>
                <w:sz w:val="20"/>
                <w:szCs w:val="20"/>
                <w:color w:val="auto"/>
              </w:rPr>
            </w:pPr>
            <w:r>
              <w:rPr>
                <w:rFonts w:ascii="Arial" w:cs="Arial" w:eastAsia="Arial" w:hAnsi="Arial"/>
                <w:sz w:val="18"/>
                <w:szCs w:val="18"/>
                <w:color w:val="0000FF"/>
              </w:rPr>
              <w:t>Leases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87</w:t>
            </w:r>
          </w:p>
        </w:tc>
      </w:tr>
      <w:tr>
        <w:trPr>
          <w:trHeight w:val="205"/>
        </w:trPr>
        <w:tc>
          <w:tcPr>
            <w:tcW w:w="560" w:type="dxa"/>
            <w:vAlign w:val="bottom"/>
            <w:gridSpan w:val="2"/>
          </w:tcPr>
          <w:p>
            <w:pPr>
              <w:spacing w:after="0"/>
              <w:rPr>
                <w:sz w:val="17"/>
                <w:szCs w:val="17"/>
                <w:color w:val="auto"/>
              </w:rPr>
            </w:pPr>
          </w:p>
        </w:tc>
        <w:tc>
          <w:tcPr>
            <w:tcW w:w="16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92"/>
              </w:rPr>
              <w:t>8.</w:t>
            </w:r>
          </w:p>
        </w:tc>
        <w:tc>
          <w:tcPr>
            <w:tcW w:w="580" w:type="dxa"/>
            <w:vAlign w:val="bottom"/>
            <w:tcBorders>
              <w:top w:val="single" w:sz="8" w:color="0000FF"/>
            </w:tcBorders>
            <w:gridSpan w:val="2"/>
          </w:tcPr>
          <w:p>
            <w:pPr>
              <w:ind w:left="20"/>
              <w:spacing w:after="0" w:line="205" w:lineRule="exact"/>
              <w:rPr>
                <w:sz w:val="20"/>
                <w:szCs w:val="20"/>
                <w:color w:val="auto"/>
              </w:rPr>
            </w:pPr>
            <w:r>
              <w:rPr>
                <w:rFonts w:ascii="Arial" w:cs="Arial" w:eastAsia="Arial" w:hAnsi="Arial"/>
                <w:sz w:val="18"/>
                <w:szCs w:val="18"/>
                <w:color w:val="0000FF"/>
              </w:rPr>
              <w:t>Debt</w:t>
            </w:r>
          </w:p>
        </w:tc>
        <w:tc>
          <w:tcPr>
            <w:tcW w:w="9640" w:type="dxa"/>
            <w:vAlign w:val="bottom"/>
            <w:gridSpan w:val="19"/>
          </w:tcPr>
          <w:p>
            <w:pPr>
              <w:spacing w:after="0"/>
              <w:rPr>
                <w:sz w:val="17"/>
                <w:szCs w:val="17"/>
                <w:color w:val="auto"/>
              </w:rPr>
            </w:pPr>
          </w:p>
        </w:tc>
        <w:tc>
          <w:tcPr>
            <w:tcW w:w="2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89"/>
              </w:rPr>
              <w:t>88</w:t>
            </w:r>
          </w:p>
        </w:tc>
        <w:tc>
          <w:tcPr>
            <w:tcW w:w="200" w:type="dxa"/>
            <w:vAlign w:val="bottom"/>
          </w:tcPr>
          <w:p>
            <w:pPr>
              <w:spacing w:after="0"/>
              <w:rPr>
                <w:sz w:val="17"/>
                <w:szCs w:val="17"/>
                <w:color w:val="auto"/>
              </w:rPr>
            </w:pPr>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9.</w:t>
            </w:r>
          </w:p>
        </w:tc>
        <w:tc>
          <w:tcPr>
            <w:tcW w:w="2620" w:type="dxa"/>
            <w:vAlign w:val="bottom"/>
            <w:tcBorders>
              <w:bottom w:val="single" w:sz="8" w:color="0000FF"/>
            </w:tcBorders>
            <w:gridSpan w:val="11"/>
          </w:tcPr>
          <w:p>
            <w:pPr>
              <w:ind w:left="20"/>
              <w:spacing w:after="0" w:line="205" w:lineRule="exact"/>
              <w:rPr>
                <w:sz w:val="20"/>
                <w:szCs w:val="20"/>
                <w:color w:val="auto"/>
              </w:rPr>
            </w:pPr>
            <w:r>
              <w:rPr>
                <w:rFonts w:ascii="Arial" w:cs="Arial" w:eastAsia="Arial" w:hAnsi="Arial"/>
                <w:sz w:val="18"/>
                <w:szCs w:val="18"/>
                <w:color w:val="0000FF"/>
                <w:w w:val="97"/>
              </w:rPr>
              <w:t>Commitments and Contingencies</w:t>
            </w:r>
          </w:p>
        </w:tc>
        <w:tc>
          <w:tcPr>
            <w:tcW w:w="7600" w:type="dxa"/>
            <w:vAlign w:val="bottom"/>
            <w:gridSpan w:val="10"/>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90</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2"/>
          </w:tcPr>
          <w:p>
            <w:pPr>
              <w:spacing w:after="0" w:line="205" w:lineRule="exact"/>
              <w:rPr>
                <w:sz w:val="20"/>
                <w:szCs w:val="20"/>
                <w:color w:val="auto"/>
              </w:rPr>
            </w:pPr>
            <w:r>
              <w:rPr>
                <w:rFonts w:ascii="Arial" w:cs="Arial" w:eastAsia="Arial" w:hAnsi="Arial"/>
                <w:sz w:val="18"/>
                <w:szCs w:val="18"/>
                <w:color w:val="0000FF"/>
              </w:rPr>
              <w:t>10. Stock-Based Compensation</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90</w:t>
            </w: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3"/>
              </w:rPr>
              <w:t>11. Income Taxes</w:t>
            </w:r>
          </w:p>
        </w:tc>
        <w:tc>
          <w:tcPr>
            <w:tcW w:w="1100" w:type="dxa"/>
            <w:vAlign w:val="bottom"/>
            <w:tcBorders>
              <w:top w:val="single" w:sz="8" w:color="0000FF"/>
            </w:tcBorders>
            <w:gridSpan w:val="5"/>
          </w:tcPr>
          <w:p>
            <w:pPr>
              <w:spacing w:after="0"/>
              <w:rPr>
                <w:sz w:val="17"/>
                <w:szCs w:val="17"/>
                <w:color w:val="auto"/>
              </w:rPr>
            </w:pPr>
          </w:p>
        </w:tc>
        <w:tc>
          <w:tcPr>
            <w:tcW w:w="7920" w:type="dxa"/>
            <w:vAlign w:val="bottom"/>
            <w:gridSpan w:val="11"/>
          </w:tcPr>
          <w:p>
            <w:pPr>
              <w:spacing w:after="0"/>
              <w:rPr>
                <w:sz w:val="17"/>
                <w:szCs w:val="17"/>
                <w:color w:val="auto"/>
              </w:rPr>
            </w:pPr>
          </w:p>
        </w:tc>
        <w:tc>
          <w:tcPr>
            <w:tcW w:w="20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93</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bottom w:val="single" w:sz="8" w:color="0000FF"/>
            </w:tcBorders>
            <w:gridSpan w:val="8"/>
          </w:tcPr>
          <w:p>
            <w:pPr>
              <w:spacing w:after="0" w:line="205" w:lineRule="exact"/>
              <w:rPr>
                <w:sz w:val="20"/>
                <w:szCs w:val="20"/>
                <w:color w:val="auto"/>
              </w:rPr>
            </w:pPr>
            <w:r>
              <w:rPr>
                <w:rFonts w:ascii="Arial" w:cs="Arial" w:eastAsia="Arial" w:hAnsi="Arial"/>
                <w:sz w:val="18"/>
                <w:szCs w:val="18"/>
                <w:color w:val="0000FF"/>
                <w:w w:val="96"/>
              </w:rPr>
              <w:t>12. Net Loss Per Share</w:t>
            </w:r>
          </w:p>
        </w:tc>
        <w:tc>
          <w:tcPr>
            <w:tcW w:w="8560" w:type="dxa"/>
            <w:vAlign w:val="bottom"/>
            <w:gridSpan w:val="14"/>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98</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rPr>
              <w:t>13. Segment and Geographic Information</w:t>
            </w: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98</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5"/>
              </w:rPr>
              <w:t>14. Benefit Plans</w:t>
            </w:r>
          </w:p>
        </w:tc>
        <w:tc>
          <w:tcPr>
            <w:tcW w:w="9060" w:type="dxa"/>
            <w:vAlign w:val="bottom"/>
            <w:gridSpan w:val="17"/>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99</w:t>
            </w:r>
          </w:p>
        </w:tc>
        <w:tc>
          <w:tcPr>
            <w:tcW w:w="2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Tenable Holdings, Inc.</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audited the accompanying consolidated balance sheets of Tenable Holdings, Inc. (the Company) as of December 31, 2025 and 2024, the related consolidated statements of operations, comprehensive loss, stockholders' equity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1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3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60"/>
        <w:spacing w:after="0" w:line="234"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 Identification and Evaluation of Contracts with Non-Standard Terms and Conditions</w:t>
      </w:r>
    </w:p>
    <w:p>
      <w:pPr>
        <w:spacing w:after="0" w:line="56" w:lineRule="exact"/>
        <w:rPr>
          <w:sz w:val="20"/>
          <w:szCs w:val="20"/>
          <w:color w:val="auto"/>
        </w:rPr>
      </w:pPr>
    </w:p>
    <w:p>
      <w:pPr>
        <w:ind w:right="500"/>
        <w:spacing w:after="0" w:line="274" w:lineRule="auto"/>
        <w:rPr>
          <w:sz w:val="20"/>
          <w:szCs w:val="20"/>
          <w:color w:val="auto"/>
        </w:rPr>
      </w:pPr>
      <w:r>
        <w:rPr>
          <w:rFonts w:ascii="Arial" w:cs="Arial" w:eastAsia="Arial" w:hAnsi="Arial"/>
          <w:sz w:val="18"/>
          <w:szCs w:val="18"/>
          <w:color w:val="auto"/>
        </w:rPr>
        <w:t>As described in Note 1 to the consolidated financial statements, management enters into certain contracts with customers with non-standard terms and conditions.</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Performing procedures relating to the identification and evaluation of non-standard terms and conditions in contracts is a critical audit matter because there is a significant amount of judgment required by management in identifying and evaluating non-standard terms and conditions and determining the impact of such terms and conditions on the amount and timing of revenue recognition. Accordingly, there is significant auditor judgment and significant audit effort in performing our audit procedures to evaluate whether non-standard terms and conditions in contracts were appropriately identified and evaluated by management.</w:t>
      </w:r>
    </w:p>
    <w:p>
      <w:pPr>
        <w:spacing w:after="0" w:line="26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 (ii) testing management’s determination of the impact of non-standard terms and conditions on the amount and timing of revenue recognition.</w:t>
      </w:r>
    </w:p>
    <w:p>
      <w:pPr>
        <w:spacing w:after="0" w:line="764" w:lineRule="exact"/>
        <w:rPr>
          <w:sz w:val="20"/>
          <w:szCs w:val="20"/>
          <w:color w:val="auto"/>
        </w:rPr>
      </w:pPr>
    </w:p>
    <w:p>
      <w:pPr>
        <w:sectPr>
          <w:pgSz w:w="11900" w:h="16838" w:orient="portrait"/>
          <w:cols w:equalWidth="0" w:num="2">
            <w:col w:w="1940" w:space="160"/>
            <w:col w:w="9120"/>
          </w:cols>
          <w:pgMar w:left="320" w:top="122" w:right="359" w:bottom="1440" w:gutter="0" w:footer="0" w:header="0"/>
        </w:sectPr>
      </w:pPr>
    </w:p>
    <w:p>
      <w:pPr>
        <w:spacing w:after="0"/>
        <w:rPr>
          <w:sz w:val="20"/>
          <w:szCs w:val="20"/>
          <w:color w:val="auto"/>
        </w:rPr>
      </w:pPr>
      <w:r>
        <w:rPr>
          <w:rFonts w:ascii="Arial" w:cs="Arial" w:eastAsia="Arial" w:hAnsi="Arial"/>
          <w:sz w:val="18"/>
          <w:szCs w:val="18"/>
          <w:i w:val="1"/>
          <w:iCs w:val="1"/>
          <w:color w:val="auto"/>
        </w:rPr>
        <w:t>We have served as the Company’s auditor since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212529"/>
        </w:rPr>
        <w:t>To the Stockholders and the Board of Directors of Tenable Holdings,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Tenable Holdings, Inc.’s internal control over financial reporting as of December 31, 2025,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2025, based on the COSO criteria.</w:t>
      </w:r>
    </w:p>
    <w:p>
      <w:pPr>
        <w:spacing w:after="0" w:line="18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equity and cash flows for each of the three years in the period ended December 31, 2025, and the related notes and financial statement schedule listed in the Index at Item 15(a)(2) and our report dated February 27, 2026 expressed an unqualified opinion thereon.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p>
      <w:pPr>
        <w:spacing w:after="0" w:line="200" w:lineRule="exact"/>
        <w:rPr>
          <w:sz w:val="20"/>
          <w:szCs w:val="20"/>
          <w:color w:val="auto"/>
        </w:rPr>
      </w:pP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328,647</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214,419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rPr>
              <w:t>Accounts receivable (net of allowance for doubtful accounts of $656 and $525 at December 31, 2025</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2024, respectively)</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279,150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258,734</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773,584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940,745</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67,914</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45,139</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541,292</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1,747,667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1,742,119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21,889</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19,981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706,866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650,372</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738,092</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192,410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182,815</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356,705</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50,877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56,224</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1,421,291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1,342,165</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rPr>
              <w:t>Common stock (par value: $0.01; 500,000 shares authorized, 129,046 and 122,371 shares issued at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December 31, 2025 and 2024, respectively)</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1,586,727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1,374,659</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10,596 and 2,673 shares at December 31, 2025 and 2024,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(114,911)</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(897,454)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(861,336)</w:t>
            </w:r>
          </w:p>
        </w:tc>
        <w:tc>
          <w:tcPr>
            <w:tcW w:w="0" w:type="dxa"/>
            <w:vAlign w:val="bottom"/>
          </w:tcPr>
          <w:p>
            <w:pPr>
              <w:spacing w:after="0"/>
              <w:rPr>
                <w:sz w:val="1"/>
                <w:szCs w:val="1"/>
                <w:color w:val="auto"/>
              </w:rPr>
            </w:pPr>
          </w:p>
        </w:tc>
      </w:tr>
      <w:tr>
        <w:trPr>
          <w:trHeight w:val="21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399,954</w:t>
            </w: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1,747,667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1,742,119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798,710</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183,577</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615,133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393,450</w:t>
            </w:r>
          </w:p>
        </w:tc>
      </w:tr>
      <w:tr>
        <w:trPr>
          <w:trHeight w:val="225"/>
        </w:trPr>
        <w:tc>
          <w:tcPr>
            <w:tcW w:w="6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153,163</w:t>
            </w: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116,181</w:t>
            </w:r>
          </w:p>
        </w:tc>
      </w:tr>
      <w:tr>
        <w:trPr>
          <w:trHeight w:val="225"/>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667,293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(52,160)</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(31,339)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(67,401)</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6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9"/>
        </w:trPr>
        <w:tc>
          <w:tcPr>
            <w:tcW w:w="2920" w:type="dxa"/>
            <w:vAlign w:val="bottom"/>
          </w:tcPr>
          <w:p>
            <w:pPr>
              <w:spacing w:after="0"/>
              <w:rPr>
                <w:sz w:val="17"/>
                <w:szCs w:val="17"/>
                <w:color w:val="auto"/>
              </w:rPr>
            </w:pPr>
          </w:p>
        </w:tc>
        <w:tc>
          <w:tcPr>
            <w:tcW w:w="192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1100" w:type="dxa"/>
            <w:vAlign w:val="bottom"/>
          </w:tcPr>
          <w:p>
            <w:pPr>
              <w:jc w:val="center"/>
              <w:ind w:right="49"/>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20" w:type="dxa"/>
            <w:vAlign w:val="bottom"/>
          </w:tcPr>
          <w:p>
            <w:pPr>
              <w:jc w:val="right"/>
              <w:spacing w:after="0"/>
              <w:rPr>
                <w:sz w:val="20"/>
                <w:szCs w:val="20"/>
                <w:color w:val="auto"/>
              </w:rPr>
            </w:pPr>
            <w:r>
              <w:rPr>
                <w:rFonts w:ascii="Arial" w:cs="Arial" w:eastAsia="Arial" w:hAnsi="Arial"/>
                <w:sz w:val="14"/>
                <w:szCs w:val="14"/>
                <w:color w:val="auto"/>
              </w:rPr>
              <w:t>113,056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1,017,837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(1,351)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(746,751)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270,866</w:t>
            </w:r>
          </w:p>
        </w:tc>
        <w:tc>
          <w:tcPr>
            <w:tcW w:w="0" w:type="dxa"/>
            <w:vAlign w:val="bottom"/>
          </w:tcPr>
          <w:p>
            <w:pPr>
              <w:spacing w:after="0"/>
              <w:rPr>
                <w:sz w:val="1"/>
                <w:szCs w:val="1"/>
                <w:color w:val="auto"/>
              </w:rPr>
            </w:pPr>
          </w:p>
        </w:tc>
      </w:tr>
      <w:tr>
        <w:trPr>
          <w:trHeight w:val="199"/>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387</w:t>
            </w:r>
          </w:p>
        </w:tc>
        <w:tc>
          <w:tcPr>
            <w:tcW w:w="8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3,497</w:t>
            </w:r>
          </w:p>
        </w:tc>
        <w:tc>
          <w:tcPr>
            <w:tcW w:w="8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4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3,153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Vesting of performance stock units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91</w:t>
            </w:r>
          </w:p>
        </w:tc>
        <w:tc>
          <w:tcPr>
            <w:tcW w:w="8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86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0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4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Issuance of restricted stock awards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2920" w:type="dxa"/>
            <w:vAlign w:val="bottom"/>
            <w:shd w:val="clear" w:color="auto" w:fill="BFE4FF"/>
          </w:tcPr>
          <w:p>
            <w:pPr>
              <w:ind w:left="20"/>
              <w:spacing w:after="0" w:line="150" w:lineRule="exact"/>
              <w:rPr>
                <w:sz w:val="20"/>
                <w:szCs w:val="20"/>
                <w:color w:val="auto"/>
              </w:rPr>
            </w:pPr>
            <w:r>
              <w:rPr>
                <w:rFonts w:ascii="Arial" w:cs="Arial" w:eastAsia="Arial" w:hAnsi="Arial"/>
                <w:sz w:val="14"/>
                <w:szCs w:val="14"/>
                <w:color w:val="auto"/>
              </w:rPr>
              <w:t>Issuance of common stock under employee</w:t>
            </w: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506</w:t>
            </w:r>
          </w:p>
        </w:tc>
        <w:tc>
          <w:tcPr>
            <w:tcW w:w="8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16,219</w:t>
            </w:r>
          </w:p>
        </w:tc>
        <w:tc>
          <w:tcPr>
            <w:tcW w:w="8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880" w:type="dxa"/>
            <w:vAlign w:val="bottom"/>
            <w:gridSpan w:val="2"/>
            <w:vMerge w:val="restart"/>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14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3"/>
                <w:szCs w:val="13"/>
                <w:color w:val="auto"/>
              </w:rPr>
            </w:pPr>
          </w:p>
        </w:tc>
        <w:tc>
          <w:tcPr>
            <w:tcW w:w="1180" w:type="dxa"/>
            <w:vAlign w:val="bottom"/>
            <w:gridSpan w:val="2"/>
            <w:vMerge w:val="restart"/>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16,224</w:t>
            </w:r>
          </w:p>
        </w:tc>
        <w:tc>
          <w:tcPr>
            <w:tcW w:w="0" w:type="dxa"/>
            <w:vAlign w:val="bottom"/>
          </w:tcPr>
          <w:p>
            <w:pPr>
              <w:spacing w:after="0"/>
              <w:rPr>
                <w:sz w:val="1"/>
                <w:szCs w:val="1"/>
                <w:color w:val="auto"/>
              </w:rPr>
            </w:pPr>
          </w:p>
        </w:tc>
      </w:tr>
      <w:tr>
        <w:trPr>
          <w:trHeight w:val="186"/>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stock purchase plan</w:t>
            </w:r>
          </w:p>
        </w:tc>
        <w:tc>
          <w:tcPr>
            <w:tcW w:w="9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760" w:type="dxa"/>
            <w:vAlign w:val="bottom"/>
            <w:vMerge w:val="continue"/>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9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88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440" w:type="dxa"/>
            <w:vAlign w:val="bottom"/>
            <w:gridSpan w:val="2"/>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8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1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Purchase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(14,934)</w:t>
            </w:r>
          </w:p>
        </w:tc>
        <w:tc>
          <w:tcPr>
            <w:tcW w:w="0" w:type="dxa"/>
            <w:vAlign w:val="bottom"/>
          </w:tcPr>
          <w:p>
            <w:pPr>
              <w:spacing w:after="0"/>
              <w:rPr>
                <w:sz w:val="1"/>
                <w:szCs w:val="1"/>
                <w:color w:val="auto"/>
              </w:rPr>
            </w:pPr>
          </w:p>
        </w:tc>
      </w:tr>
      <w:tr>
        <w:trPr>
          <w:trHeight w:val="150"/>
        </w:trPr>
        <w:tc>
          <w:tcPr>
            <w:tcW w:w="2920" w:type="dxa"/>
            <w:vAlign w:val="bottom"/>
            <w:shd w:val="clear" w:color="auto" w:fill="BFE4FF"/>
          </w:tcPr>
          <w:p>
            <w:pPr>
              <w:ind w:left="20"/>
              <w:spacing w:after="0" w:line="150" w:lineRule="exact"/>
              <w:rPr>
                <w:sz w:val="20"/>
                <w:szCs w:val="20"/>
                <w:color w:val="auto"/>
              </w:rPr>
            </w:pPr>
            <w:r>
              <w:rPr>
                <w:rFonts w:ascii="Arial" w:cs="Arial" w:eastAsia="Arial" w:hAnsi="Arial"/>
                <w:sz w:val="14"/>
                <w:szCs w:val="14"/>
                <w:color w:val="auto"/>
              </w:rPr>
              <w:t>Fair value of replacement equity attributable</w:t>
            </w:r>
          </w:p>
        </w:tc>
        <w:tc>
          <w:tcPr>
            <w:tcW w:w="10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8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526</w:t>
            </w:r>
          </w:p>
        </w:tc>
        <w:tc>
          <w:tcPr>
            <w:tcW w:w="8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880" w:type="dxa"/>
            <w:vAlign w:val="bottom"/>
            <w:gridSpan w:val="2"/>
            <w:vMerge w:val="restart"/>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14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3"/>
                <w:szCs w:val="13"/>
                <w:color w:val="auto"/>
              </w:rPr>
            </w:pPr>
          </w:p>
        </w:tc>
        <w:tc>
          <w:tcPr>
            <w:tcW w:w="1180" w:type="dxa"/>
            <w:vAlign w:val="bottom"/>
            <w:gridSpan w:val="2"/>
            <w:vMerge w:val="restart"/>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86"/>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to pre-acquisition service</w:t>
            </w:r>
          </w:p>
        </w:tc>
        <w:tc>
          <w:tcPr>
            <w:tcW w:w="100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86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9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88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440" w:type="dxa"/>
            <w:vAlign w:val="bottom"/>
            <w:gridSpan w:val="2"/>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8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1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147,056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147,056</w:t>
            </w:r>
          </w:p>
        </w:tc>
        <w:tc>
          <w:tcPr>
            <w:tcW w:w="0" w:type="dxa"/>
            <w:vAlign w:val="bottom"/>
          </w:tcPr>
          <w:p>
            <w:pPr>
              <w:spacing w:after="0"/>
              <w:rPr>
                <w:sz w:val="1"/>
                <w:szCs w:val="1"/>
                <w:color w:val="auto"/>
              </w:rPr>
            </w:pPr>
          </w:p>
        </w:tc>
      </w:tr>
      <w:tr>
        <w:trPr>
          <w:trHeight w:val="203"/>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86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0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3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1,389</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1,389</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(78,284)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(78,284)</w:t>
            </w:r>
          </w:p>
        </w:tc>
        <w:tc>
          <w:tcPr>
            <w:tcW w:w="0" w:type="dxa"/>
            <w:vAlign w:val="bottom"/>
          </w:tcPr>
          <w:p>
            <w:pPr>
              <w:spacing w:after="0"/>
              <w:rPr>
                <w:sz w:val="1"/>
                <w:szCs w:val="1"/>
                <w:color w:val="auto"/>
              </w:rPr>
            </w:pPr>
          </w:p>
        </w:tc>
      </w:tr>
      <w:tr>
        <w:trPr>
          <w:trHeight w:val="196"/>
        </w:trPr>
        <w:tc>
          <w:tcPr>
            <w:tcW w:w="292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117,504</w:t>
            </w:r>
          </w:p>
        </w:tc>
        <w:tc>
          <w:tcPr>
            <w:tcW w:w="80" w:type="dxa"/>
            <w:vAlign w:val="bottom"/>
            <w:tcBorders>
              <w:top w:val="single" w:sz="8" w:color="BFE4FF"/>
            </w:tcBorders>
            <w:shd w:val="clear" w:color="auto" w:fill="BFE4FF"/>
          </w:tcPr>
          <w:p>
            <w:pPr>
              <w:spacing w:after="0"/>
              <w:rPr>
                <w:sz w:val="17"/>
                <w:szCs w:val="17"/>
                <w:color w:val="auto"/>
              </w:rPr>
            </w:pPr>
          </w:p>
        </w:tc>
        <w:tc>
          <w:tcPr>
            <w:tcW w:w="160" w:type="dxa"/>
            <w:vAlign w:val="bottom"/>
            <w:tcBorders>
              <w:top w:val="single" w:sz="8" w:color="auto"/>
            </w:tcBorders>
            <w:shd w:val="clear" w:color="auto" w:fill="BFE4FF"/>
          </w:tcPr>
          <w:p>
            <w:pPr>
              <w:spacing w:after="0"/>
              <w:rPr>
                <w:sz w:val="17"/>
                <w:szCs w:val="17"/>
                <w:color w:val="auto"/>
              </w:rPr>
            </w:pPr>
          </w:p>
        </w:tc>
        <w:tc>
          <w:tcPr>
            <w:tcW w:w="7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Borders>
              <w:top w:val="single" w:sz="8" w:color="BFE4FF"/>
            </w:tcBorders>
            <w:shd w:val="clear" w:color="auto" w:fill="BFE4FF"/>
          </w:tcPr>
          <w:p>
            <w:pPr>
              <w:spacing w:after="0"/>
              <w:rPr>
                <w:sz w:val="17"/>
                <w:szCs w:val="17"/>
                <w:color w:val="auto"/>
              </w:rPr>
            </w:pPr>
          </w:p>
        </w:tc>
        <w:tc>
          <w:tcPr>
            <w:tcW w:w="140" w:type="dxa"/>
            <w:vAlign w:val="bottom"/>
            <w:tcBorders>
              <w:top w:val="single" w:sz="8" w:color="auto"/>
            </w:tcBorders>
            <w:shd w:val="clear" w:color="auto" w:fill="BFE4FF"/>
          </w:tcPr>
          <w:p>
            <w:pPr>
              <w:spacing w:after="0"/>
              <w:rPr>
                <w:sz w:val="17"/>
                <w:szCs w:val="17"/>
                <w:color w:val="auto"/>
              </w:rPr>
            </w:pPr>
          </w:p>
        </w:tc>
        <w:tc>
          <w:tcPr>
            <w:tcW w:w="920" w:type="dxa"/>
            <w:vAlign w:val="bottom"/>
            <w:tcBorders>
              <w:top w:val="single" w:sz="8" w:color="auto"/>
            </w:tcBorders>
            <w:shd w:val="clear" w:color="auto" w:fill="BFE4FF"/>
          </w:tcPr>
          <w:p>
            <w:pPr>
              <w:jc w:val="right"/>
              <w:ind w:right="9"/>
              <w:spacing w:after="0"/>
              <w:rPr>
                <w:sz w:val="20"/>
                <w:szCs w:val="20"/>
                <w:color w:val="auto"/>
              </w:rPr>
            </w:pPr>
            <w:r>
              <w:rPr>
                <w:rFonts w:ascii="Arial" w:cs="Arial" w:eastAsia="Arial" w:hAnsi="Arial"/>
                <w:sz w:val="14"/>
                <w:szCs w:val="14"/>
                <w:color w:val="auto"/>
              </w:rPr>
              <w:t>1,185,100</w:t>
            </w:r>
          </w:p>
        </w:tc>
        <w:tc>
          <w:tcPr>
            <w:tcW w:w="80" w:type="dxa"/>
            <w:vAlign w:val="bottom"/>
            <w:tcBorders>
              <w:top w:val="single" w:sz="8" w:color="BFE4FF"/>
            </w:tcBorders>
            <w:shd w:val="clear" w:color="auto" w:fill="BFE4FF"/>
          </w:tcPr>
          <w:p>
            <w:pPr>
              <w:spacing w:after="0"/>
              <w:rPr>
                <w:sz w:val="17"/>
                <w:szCs w:val="17"/>
                <w:color w:val="auto"/>
              </w:rPr>
            </w:pPr>
          </w:p>
        </w:tc>
        <w:tc>
          <w:tcPr>
            <w:tcW w:w="140" w:type="dxa"/>
            <w:vAlign w:val="bottom"/>
            <w:tcBorders>
              <w:top w:val="single" w:sz="8" w:color="auto"/>
            </w:tcBorders>
            <w:shd w:val="clear" w:color="auto" w:fill="BFE4FF"/>
          </w:tcPr>
          <w:p>
            <w:pPr>
              <w:spacing w:after="0"/>
              <w:rPr>
                <w:sz w:val="17"/>
                <w:szCs w:val="17"/>
                <w:color w:val="auto"/>
              </w:rPr>
            </w:pPr>
          </w:p>
        </w:tc>
        <w:tc>
          <w:tcPr>
            <w:tcW w:w="8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(14,934)</w:t>
            </w:r>
          </w:p>
        </w:tc>
        <w:tc>
          <w:tcPr>
            <w:tcW w:w="80" w:type="dxa"/>
            <w:vAlign w:val="bottom"/>
            <w:tcBorders>
              <w:top w:val="single" w:sz="8" w:color="BFE4FF"/>
            </w:tcBorders>
            <w:shd w:val="clear" w:color="auto" w:fill="BFE4FF"/>
          </w:tcPr>
          <w:p>
            <w:pPr>
              <w:spacing w:after="0"/>
              <w:rPr>
                <w:sz w:val="17"/>
                <w:szCs w:val="17"/>
                <w:color w:val="auto"/>
              </w:rPr>
            </w:pPr>
          </w:p>
        </w:tc>
        <w:tc>
          <w:tcPr>
            <w:tcW w:w="160" w:type="dxa"/>
            <w:vAlign w:val="bottom"/>
            <w:tcBorders>
              <w:top w:val="single" w:sz="8" w:color="auto"/>
            </w:tcBorders>
            <w:shd w:val="clear" w:color="auto" w:fill="BFE4FF"/>
          </w:tcPr>
          <w:p>
            <w:pPr>
              <w:spacing w:after="0"/>
              <w:rPr>
                <w:sz w:val="17"/>
                <w:szCs w:val="17"/>
                <w:color w:val="auto"/>
              </w:rPr>
            </w:pPr>
          </w:p>
        </w:tc>
        <w:tc>
          <w:tcPr>
            <w:tcW w:w="13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BFE4FF"/>
            </w:tcBorders>
            <w:shd w:val="clear" w:color="auto" w:fill="BFE4FF"/>
          </w:tcPr>
          <w:p>
            <w:pPr>
              <w:spacing w:after="0"/>
              <w:rPr>
                <w:sz w:val="17"/>
                <w:szCs w:val="17"/>
                <w:color w:val="auto"/>
              </w:rPr>
            </w:pPr>
          </w:p>
        </w:tc>
        <w:tc>
          <w:tcPr>
            <w:tcW w:w="120" w:type="dxa"/>
            <w:vAlign w:val="bottom"/>
            <w:tcBorders>
              <w:top w:val="single" w:sz="8" w:color="auto"/>
            </w:tcBorders>
            <w:shd w:val="clear" w:color="auto" w:fill="BFE4FF"/>
          </w:tcPr>
          <w:p>
            <w:pPr>
              <w:spacing w:after="0"/>
              <w:rPr>
                <w:sz w:val="17"/>
                <w:szCs w:val="17"/>
                <w:color w:val="auto"/>
              </w:rPr>
            </w:pPr>
          </w:p>
        </w:tc>
        <w:tc>
          <w:tcPr>
            <w:tcW w:w="1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(825,035)</w:t>
            </w:r>
          </w:p>
        </w:tc>
        <w:tc>
          <w:tcPr>
            <w:tcW w:w="80" w:type="dxa"/>
            <w:vAlign w:val="bottom"/>
            <w:tcBorders>
              <w:top w:val="single" w:sz="8" w:color="BFE4FF"/>
            </w:tcBorders>
            <w:shd w:val="clear" w:color="auto" w:fill="BFE4FF"/>
          </w:tcPr>
          <w:p>
            <w:pPr>
              <w:spacing w:after="0"/>
              <w:rPr>
                <w:sz w:val="17"/>
                <w:szCs w:val="17"/>
                <w:color w:val="auto"/>
              </w:rPr>
            </w:pPr>
          </w:p>
        </w:tc>
        <w:tc>
          <w:tcPr>
            <w:tcW w:w="140" w:type="dxa"/>
            <w:vAlign w:val="bottom"/>
            <w:tcBorders>
              <w:top w:val="single" w:sz="8" w:color="auto"/>
            </w:tcBorders>
            <w:shd w:val="clear" w:color="auto" w:fill="BFE4FF"/>
          </w:tcPr>
          <w:p>
            <w:pPr>
              <w:spacing w:after="0"/>
              <w:rPr>
                <w:sz w:val="17"/>
                <w:szCs w:val="17"/>
                <w:color w:val="auto"/>
              </w:rPr>
            </w:pPr>
          </w:p>
        </w:tc>
        <w:tc>
          <w:tcPr>
            <w:tcW w:w="1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346,344</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8,053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8,064</w:t>
            </w:r>
          </w:p>
        </w:tc>
        <w:tc>
          <w:tcPr>
            <w:tcW w:w="0" w:type="dxa"/>
            <w:vAlign w:val="bottom"/>
          </w:tcPr>
          <w:p>
            <w:pPr>
              <w:spacing w:after="0"/>
              <w:rPr>
                <w:sz w:val="1"/>
                <w:szCs w:val="1"/>
                <w:color w:val="auto"/>
              </w:rPr>
            </w:pPr>
          </w:p>
        </w:tc>
      </w:tr>
      <w:tr>
        <w:trPr>
          <w:trHeight w:val="203"/>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3,217</w:t>
            </w:r>
          </w:p>
        </w:tc>
        <w:tc>
          <w:tcPr>
            <w:tcW w:w="8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4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Vesting of performance stock units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2920" w:type="dxa"/>
            <w:vAlign w:val="bottom"/>
            <w:shd w:val="clear" w:color="auto" w:fill="BFE4FF"/>
          </w:tcPr>
          <w:p>
            <w:pPr>
              <w:ind w:left="20"/>
              <w:spacing w:after="0" w:line="150" w:lineRule="exact"/>
              <w:rPr>
                <w:sz w:val="20"/>
                <w:szCs w:val="20"/>
                <w:color w:val="auto"/>
              </w:rPr>
            </w:pPr>
            <w:r>
              <w:rPr>
                <w:rFonts w:ascii="Arial" w:cs="Arial" w:eastAsia="Arial" w:hAnsi="Arial"/>
                <w:sz w:val="14"/>
                <w:szCs w:val="14"/>
                <w:color w:val="auto"/>
              </w:rPr>
              <w:t>Issuance of common stock under employee</w:t>
            </w: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499</w:t>
            </w:r>
          </w:p>
        </w:tc>
        <w:tc>
          <w:tcPr>
            <w:tcW w:w="8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16,257</w:t>
            </w:r>
          </w:p>
        </w:tc>
        <w:tc>
          <w:tcPr>
            <w:tcW w:w="8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880" w:type="dxa"/>
            <w:vAlign w:val="bottom"/>
            <w:gridSpan w:val="2"/>
            <w:vMerge w:val="restart"/>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14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3"/>
                <w:szCs w:val="13"/>
                <w:color w:val="auto"/>
              </w:rPr>
            </w:pPr>
          </w:p>
        </w:tc>
        <w:tc>
          <w:tcPr>
            <w:tcW w:w="1180" w:type="dxa"/>
            <w:vAlign w:val="bottom"/>
            <w:gridSpan w:val="2"/>
            <w:vMerge w:val="restart"/>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16,262</w:t>
            </w:r>
          </w:p>
        </w:tc>
        <w:tc>
          <w:tcPr>
            <w:tcW w:w="0" w:type="dxa"/>
            <w:vAlign w:val="bottom"/>
          </w:tcPr>
          <w:p>
            <w:pPr>
              <w:spacing w:after="0"/>
              <w:rPr>
                <w:sz w:val="1"/>
                <w:szCs w:val="1"/>
                <w:color w:val="auto"/>
              </w:rPr>
            </w:pPr>
          </w:p>
        </w:tc>
      </w:tr>
      <w:tr>
        <w:trPr>
          <w:trHeight w:val="186"/>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stock purchase plan</w:t>
            </w:r>
          </w:p>
        </w:tc>
        <w:tc>
          <w:tcPr>
            <w:tcW w:w="9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760" w:type="dxa"/>
            <w:vAlign w:val="bottom"/>
            <w:vMerge w:val="continue"/>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9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88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440" w:type="dxa"/>
            <w:vAlign w:val="bottom"/>
            <w:gridSpan w:val="2"/>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8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1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Purchase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(99,977)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(99,977)</w:t>
            </w:r>
          </w:p>
        </w:tc>
        <w:tc>
          <w:tcPr>
            <w:tcW w:w="0" w:type="dxa"/>
            <w:vAlign w:val="bottom"/>
          </w:tcPr>
          <w:p>
            <w:pPr>
              <w:spacing w:after="0"/>
              <w:rPr>
                <w:sz w:val="1"/>
                <w:szCs w:val="1"/>
                <w:color w:val="auto"/>
              </w:rPr>
            </w:pPr>
          </w:p>
        </w:tc>
      </w:tr>
      <w:tr>
        <w:trPr>
          <w:trHeight w:val="150"/>
        </w:trPr>
        <w:tc>
          <w:tcPr>
            <w:tcW w:w="2920" w:type="dxa"/>
            <w:vAlign w:val="bottom"/>
            <w:shd w:val="clear" w:color="auto" w:fill="BFE4FF"/>
          </w:tcPr>
          <w:p>
            <w:pPr>
              <w:ind w:left="20"/>
              <w:spacing w:after="0" w:line="150" w:lineRule="exact"/>
              <w:rPr>
                <w:sz w:val="20"/>
                <w:szCs w:val="20"/>
                <w:color w:val="auto"/>
              </w:rPr>
            </w:pPr>
            <w:r>
              <w:rPr>
                <w:rFonts w:ascii="Arial" w:cs="Arial" w:eastAsia="Arial" w:hAnsi="Arial"/>
                <w:sz w:val="14"/>
                <w:szCs w:val="14"/>
                <w:color w:val="auto"/>
              </w:rPr>
              <w:t>Fair value of replacement equity attributable</w:t>
            </w:r>
          </w:p>
        </w:tc>
        <w:tc>
          <w:tcPr>
            <w:tcW w:w="10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8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42</w:t>
            </w:r>
          </w:p>
        </w:tc>
        <w:tc>
          <w:tcPr>
            <w:tcW w:w="8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880" w:type="dxa"/>
            <w:vAlign w:val="bottom"/>
            <w:gridSpan w:val="2"/>
            <w:vMerge w:val="restart"/>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14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3"/>
                <w:szCs w:val="13"/>
                <w:color w:val="auto"/>
              </w:rPr>
            </w:pPr>
          </w:p>
        </w:tc>
        <w:tc>
          <w:tcPr>
            <w:tcW w:w="1180" w:type="dxa"/>
            <w:vAlign w:val="bottom"/>
            <w:gridSpan w:val="2"/>
            <w:vMerge w:val="restart"/>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5"/>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to pre-acquisition service</w:t>
            </w:r>
          </w:p>
        </w:tc>
        <w:tc>
          <w:tcPr>
            <w:tcW w:w="100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86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9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88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440" w:type="dxa"/>
            <w:vAlign w:val="bottom"/>
            <w:gridSpan w:val="2"/>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8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1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165,240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165,240</w:t>
            </w:r>
          </w:p>
        </w:tc>
        <w:tc>
          <w:tcPr>
            <w:tcW w:w="0" w:type="dxa"/>
            <w:vAlign w:val="bottom"/>
          </w:tcPr>
          <w:p>
            <w:pPr>
              <w:spacing w:after="0"/>
              <w:rPr>
                <w:sz w:val="1"/>
                <w:szCs w:val="1"/>
                <w:color w:val="auto"/>
              </w:rPr>
            </w:pPr>
          </w:p>
        </w:tc>
      </w:tr>
      <w:tr>
        <w:trPr>
          <w:trHeight w:val="203"/>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86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0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3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(36,301)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(36,301)</w:t>
            </w:r>
          </w:p>
        </w:tc>
        <w:tc>
          <w:tcPr>
            <w:tcW w:w="0" w:type="dxa"/>
            <w:vAlign w:val="bottom"/>
          </w:tcPr>
          <w:p>
            <w:pPr>
              <w:spacing w:after="0"/>
              <w:rPr>
                <w:sz w:val="1"/>
                <w:szCs w:val="1"/>
                <w:color w:val="auto"/>
              </w:rPr>
            </w:pPr>
          </w:p>
        </w:tc>
      </w:tr>
      <w:tr>
        <w:trPr>
          <w:trHeight w:val="196"/>
        </w:trPr>
        <w:tc>
          <w:tcPr>
            <w:tcW w:w="292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9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122,371</w:t>
            </w:r>
          </w:p>
        </w:tc>
        <w:tc>
          <w:tcPr>
            <w:tcW w:w="80" w:type="dxa"/>
            <w:vAlign w:val="bottom"/>
            <w:tcBorders>
              <w:top w:val="single" w:sz="8" w:color="BFE4FF"/>
            </w:tcBorders>
            <w:shd w:val="clear" w:color="auto" w:fill="BFE4FF"/>
          </w:tcPr>
          <w:p>
            <w:pPr>
              <w:spacing w:after="0"/>
              <w:rPr>
                <w:sz w:val="17"/>
                <w:szCs w:val="17"/>
                <w:color w:val="auto"/>
              </w:rPr>
            </w:pPr>
          </w:p>
        </w:tc>
        <w:tc>
          <w:tcPr>
            <w:tcW w:w="160" w:type="dxa"/>
            <w:vAlign w:val="bottom"/>
            <w:tcBorders>
              <w:top w:val="single" w:sz="8" w:color="auto"/>
            </w:tcBorders>
            <w:shd w:val="clear" w:color="auto" w:fill="BFE4FF"/>
          </w:tcPr>
          <w:p>
            <w:pPr>
              <w:spacing w:after="0"/>
              <w:rPr>
                <w:sz w:val="17"/>
                <w:szCs w:val="17"/>
                <w:color w:val="auto"/>
              </w:rPr>
            </w:pPr>
          </w:p>
        </w:tc>
        <w:tc>
          <w:tcPr>
            <w:tcW w:w="7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Borders>
              <w:top w:val="single" w:sz="8" w:color="BFE4FF"/>
            </w:tcBorders>
            <w:shd w:val="clear" w:color="auto" w:fill="BFE4FF"/>
          </w:tcPr>
          <w:p>
            <w:pPr>
              <w:spacing w:after="0"/>
              <w:rPr>
                <w:sz w:val="17"/>
                <w:szCs w:val="17"/>
                <w:color w:val="auto"/>
              </w:rPr>
            </w:pPr>
          </w:p>
        </w:tc>
        <w:tc>
          <w:tcPr>
            <w:tcW w:w="140" w:type="dxa"/>
            <w:vAlign w:val="bottom"/>
            <w:tcBorders>
              <w:top w:val="single" w:sz="8" w:color="auto"/>
            </w:tcBorders>
            <w:shd w:val="clear" w:color="auto" w:fill="BFE4FF"/>
          </w:tcPr>
          <w:p>
            <w:pPr>
              <w:spacing w:after="0"/>
              <w:rPr>
                <w:sz w:val="17"/>
                <w:szCs w:val="17"/>
                <w:color w:val="auto"/>
              </w:rPr>
            </w:pPr>
          </w:p>
        </w:tc>
        <w:tc>
          <w:tcPr>
            <w:tcW w:w="920" w:type="dxa"/>
            <w:vAlign w:val="bottom"/>
            <w:tcBorders>
              <w:top w:val="single" w:sz="8" w:color="auto"/>
            </w:tcBorders>
            <w:shd w:val="clear" w:color="auto" w:fill="BFE4FF"/>
          </w:tcPr>
          <w:p>
            <w:pPr>
              <w:jc w:val="right"/>
              <w:ind w:right="9"/>
              <w:spacing w:after="0"/>
              <w:rPr>
                <w:sz w:val="20"/>
                <w:szCs w:val="20"/>
                <w:color w:val="auto"/>
              </w:rPr>
            </w:pPr>
            <w:r>
              <w:rPr>
                <w:rFonts w:ascii="Arial" w:cs="Arial" w:eastAsia="Arial" w:hAnsi="Arial"/>
                <w:sz w:val="14"/>
                <w:szCs w:val="14"/>
                <w:color w:val="auto"/>
              </w:rPr>
              <w:t>1,374,659</w:t>
            </w:r>
          </w:p>
        </w:tc>
        <w:tc>
          <w:tcPr>
            <w:tcW w:w="80" w:type="dxa"/>
            <w:vAlign w:val="bottom"/>
            <w:tcBorders>
              <w:top w:val="single" w:sz="8" w:color="BFE4FF"/>
            </w:tcBorders>
            <w:shd w:val="clear" w:color="auto" w:fill="BFE4FF"/>
          </w:tcPr>
          <w:p>
            <w:pPr>
              <w:spacing w:after="0"/>
              <w:rPr>
                <w:sz w:val="17"/>
                <w:szCs w:val="17"/>
                <w:color w:val="auto"/>
              </w:rPr>
            </w:pPr>
          </w:p>
        </w:tc>
        <w:tc>
          <w:tcPr>
            <w:tcW w:w="140" w:type="dxa"/>
            <w:vAlign w:val="bottom"/>
            <w:tcBorders>
              <w:top w:val="single" w:sz="8" w:color="auto"/>
            </w:tcBorders>
            <w:shd w:val="clear" w:color="auto" w:fill="BFE4FF"/>
          </w:tcPr>
          <w:p>
            <w:pPr>
              <w:spacing w:after="0"/>
              <w:rPr>
                <w:sz w:val="17"/>
                <w:szCs w:val="17"/>
                <w:color w:val="auto"/>
              </w:rPr>
            </w:pPr>
          </w:p>
        </w:tc>
        <w:tc>
          <w:tcPr>
            <w:tcW w:w="8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(114,911)</w:t>
            </w:r>
          </w:p>
        </w:tc>
        <w:tc>
          <w:tcPr>
            <w:tcW w:w="80" w:type="dxa"/>
            <w:vAlign w:val="bottom"/>
            <w:tcBorders>
              <w:top w:val="single" w:sz="8" w:color="BFE4FF"/>
            </w:tcBorders>
            <w:shd w:val="clear" w:color="auto" w:fill="BFE4FF"/>
          </w:tcPr>
          <w:p>
            <w:pPr>
              <w:spacing w:after="0"/>
              <w:rPr>
                <w:sz w:val="17"/>
                <w:szCs w:val="17"/>
                <w:color w:val="auto"/>
              </w:rPr>
            </w:pPr>
          </w:p>
        </w:tc>
        <w:tc>
          <w:tcPr>
            <w:tcW w:w="160" w:type="dxa"/>
            <w:vAlign w:val="bottom"/>
            <w:tcBorders>
              <w:top w:val="single" w:sz="8" w:color="auto"/>
            </w:tcBorders>
            <w:shd w:val="clear" w:color="auto" w:fill="BFE4FF"/>
          </w:tcPr>
          <w:p>
            <w:pPr>
              <w:spacing w:after="0"/>
              <w:rPr>
                <w:sz w:val="17"/>
                <w:szCs w:val="17"/>
                <w:color w:val="auto"/>
              </w:rPr>
            </w:pPr>
          </w:p>
        </w:tc>
        <w:tc>
          <w:tcPr>
            <w:tcW w:w="13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top w:val="single" w:sz="8" w:color="BFE4FF"/>
            </w:tcBorders>
            <w:shd w:val="clear" w:color="auto" w:fill="BFE4FF"/>
          </w:tcPr>
          <w:p>
            <w:pPr>
              <w:spacing w:after="0"/>
              <w:rPr>
                <w:sz w:val="17"/>
                <w:szCs w:val="17"/>
                <w:color w:val="auto"/>
              </w:rPr>
            </w:pPr>
          </w:p>
        </w:tc>
        <w:tc>
          <w:tcPr>
            <w:tcW w:w="120" w:type="dxa"/>
            <w:vAlign w:val="bottom"/>
            <w:tcBorders>
              <w:top w:val="single" w:sz="8" w:color="auto"/>
            </w:tcBorders>
            <w:shd w:val="clear" w:color="auto" w:fill="BFE4FF"/>
          </w:tcPr>
          <w:p>
            <w:pPr>
              <w:spacing w:after="0"/>
              <w:rPr>
                <w:sz w:val="17"/>
                <w:szCs w:val="17"/>
                <w:color w:val="auto"/>
              </w:rPr>
            </w:pPr>
          </w:p>
        </w:tc>
        <w:tc>
          <w:tcPr>
            <w:tcW w:w="1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(861,336)</w:t>
            </w:r>
          </w:p>
        </w:tc>
        <w:tc>
          <w:tcPr>
            <w:tcW w:w="80" w:type="dxa"/>
            <w:vAlign w:val="bottom"/>
            <w:tcBorders>
              <w:top w:val="single" w:sz="8" w:color="BFE4FF"/>
            </w:tcBorders>
            <w:shd w:val="clear" w:color="auto" w:fill="BFE4FF"/>
          </w:tcPr>
          <w:p>
            <w:pPr>
              <w:spacing w:after="0"/>
              <w:rPr>
                <w:sz w:val="17"/>
                <w:szCs w:val="17"/>
                <w:color w:val="auto"/>
              </w:rPr>
            </w:pPr>
          </w:p>
        </w:tc>
        <w:tc>
          <w:tcPr>
            <w:tcW w:w="140" w:type="dxa"/>
            <w:vAlign w:val="bottom"/>
            <w:tcBorders>
              <w:top w:val="single" w:sz="8" w:color="auto"/>
            </w:tcBorders>
            <w:shd w:val="clear" w:color="auto" w:fill="BFE4FF"/>
          </w:tcPr>
          <w:p>
            <w:pPr>
              <w:spacing w:after="0"/>
              <w:rPr>
                <w:sz w:val="17"/>
                <w:szCs w:val="17"/>
                <w:color w:val="auto"/>
              </w:rPr>
            </w:pPr>
          </w:p>
        </w:tc>
        <w:tc>
          <w:tcPr>
            <w:tcW w:w="1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399,954</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3,597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3,619</w:t>
            </w:r>
          </w:p>
        </w:tc>
        <w:tc>
          <w:tcPr>
            <w:tcW w:w="0" w:type="dxa"/>
            <w:vAlign w:val="bottom"/>
          </w:tcPr>
          <w:p>
            <w:pPr>
              <w:spacing w:after="0"/>
              <w:rPr>
                <w:sz w:val="1"/>
                <w:szCs w:val="1"/>
                <w:color w:val="auto"/>
              </w:rPr>
            </w:pPr>
          </w:p>
        </w:tc>
      </w:tr>
      <w:tr>
        <w:trPr>
          <w:trHeight w:val="203"/>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3,647</w:t>
            </w:r>
          </w:p>
        </w:tc>
        <w:tc>
          <w:tcPr>
            <w:tcW w:w="8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4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Vesting of performance stock units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Issuance of restricted stock awards, net</w:t>
            </w:r>
          </w:p>
        </w:tc>
        <w:tc>
          <w:tcPr>
            <w:tcW w:w="92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137</w:t>
            </w:r>
          </w:p>
        </w:tc>
        <w:tc>
          <w:tcPr>
            <w:tcW w:w="8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7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44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20" w:type="dxa"/>
            <w:vAlign w:val="bottom"/>
          </w:tcPr>
          <w:p>
            <w:pPr>
              <w:ind w:left="20"/>
              <w:spacing w:after="0" w:line="146" w:lineRule="exact"/>
              <w:rPr>
                <w:sz w:val="20"/>
                <w:szCs w:val="20"/>
                <w:color w:val="auto"/>
              </w:rPr>
            </w:pPr>
            <w:r>
              <w:rPr>
                <w:rFonts w:ascii="Arial" w:cs="Arial" w:eastAsia="Arial" w:hAnsi="Arial"/>
                <w:sz w:val="14"/>
                <w:szCs w:val="14"/>
                <w:color w:val="auto"/>
              </w:rPr>
              <w:t>Issuance of common stock under employee</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15,477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15,482</w:t>
            </w:r>
          </w:p>
        </w:tc>
        <w:tc>
          <w:tcPr>
            <w:tcW w:w="0" w:type="dxa"/>
            <w:vAlign w:val="bottom"/>
          </w:tcPr>
          <w:p>
            <w:pPr>
              <w:spacing w:after="0"/>
              <w:rPr>
                <w:sz w:val="1"/>
                <w:szCs w:val="1"/>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stock purchase plan</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920" w:type="dxa"/>
            <w:vAlign w:val="bottom"/>
            <w:shd w:val="clear" w:color="auto" w:fill="BFE4FF"/>
          </w:tcPr>
          <w:p>
            <w:pPr>
              <w:ind w:left="20"/>
              <w:spacing w:after="0" w:line="146" w:lineRule="exact"/>
              <w:rPr>
                <w:sz w:val="20"/>
                <w:szCs w:val="20"/>
                <w:color w:val="auto"/>
              </w:rPr>
            </w:pPr>
            <w:r>
              <w:rPr>
                <w:rFonts w:ascii="Arial" w:cs="Arial" w:eastAsia="Arial" w:hAnsi="Arial"/>
                <w:sz w:val="14"/>
                <w:szCs w:val="14"/>
                <w:color w:val="auto"/>
              </w:rPr>
              <w:t>Taxes paid related to net share settlement of</w:t>
            </w:r>
          </w:p>
        </w:tc>
        <w:tc>
          <w:tcPr>
            <w:tcW w:w="10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2"/>
                <w:szCs w:val="12"/>
                <w:color w:val="auto"/>
              </w:rPr>
            </w:pPr>
          </w:p>
        </w:tc>
        <w:tc>
          <w:tcPr>
            <w:tcW w:w="8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2"/>
                <w:szCs w:val="12"/>
                <w:color w:val="auto"/>
              </w:rPr>
            </w:pPr>
          </w:p>
        </w:tc>
        <w:tc>
          <w:tcPr>
            <w:tcW w:w="10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2"/>
                <w:szCs w:val="12"/>
                <w:color w:val="auto"/>
              </w:rPr>
            </w:pPr>
          </w:p>
        </w:tc>
        <w:tc>
          <w:tcPr>
            <w:tcW w:w="8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(1,978)</w:t>
            </w:r>
          </w:p>
        </w:tc>
        <w:tc>
          <w:tcPr>
            <w:tcW w:w="80" w:type="dxa"/>
            <w:vAlign w:val="bottom"/>
            <w:shd w:val="clear" w:color="auto" w:fill="BFE4FF"/>
          </w:tcPr>
          <w:p>
            <w:pPr>
              <w:spacing w:after="0"/>
              <w:rPr>
                <w:sz w:val="12"/>
                <w:szCs w:val="12"/>
                <w:color w:val="auto"/>
              </w:rPr>
            </w:pPr>
          </w:p>
        </w:tc>
        <w:tc>
          <w:tcPr>
            <w:tcW w:w="160" w:type="dxa"/>
            <w:vAlign w:val="bottom"/>
            <w:shd w:val="clear" w:color="auto" w:fill="BFE4FF"/>
          </w:tcPr>
          <w:p>
            <w:pPr>
              <w:spacing w:after="0"/>
              <w:rPr>
                <w:sz w:val="12"/>
                <w:szCs w:val="12"/>
                <w:color w:val="auto"/>
              </w:rPr>
            </w:pPr>
          </w:p>
        </w:tc>
        <w:tc>
          <w:tcPr>
            <w:tcW w:w="14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2"/>
                <w:szCs w:val="12"/>
                <w:color w:val="auto"/>
              </w:rPr>
            </w:pPr>
          </w:p>
        </w:tc>
        <w:tc>
          <w:tcPr>
            <w:tcW w:w="1180" w:type="dxa"/>
            <w:vAlign w:val="bottom"/>
            <w:gridSpan w:val="2"/>
            <w:vMerge w:val="restart"/>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2"/>
                <w:szCs w:val="12"/>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185"/>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equity awards</w:t>
            </w:r>
          </w:p>
        </w:tc>
        <w:tc>
          <w:tcPr>
            <w:tcW w:w="100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86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00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80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440" w:type="dxa"/>
            <w:vAlign w:val="bottom"/>
            <w:gridSpan w:val="2"/>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8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1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Purchase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(247,685)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(247,685)</w:t>
            </w:r>
          </w:p>
        </w:tc>
        <w:tc>
          <w:tcPr>
            <w:tcW w:w="0" w:type="dxa"/>
            <w:vAlign w:val="bottom"/>
          </w:tcPr>
          <w:p>
            <w:pPr>
              <w:spacing w:after="0"/>
              <w:rPr>
                <w:sz w:val="1"/>
                <w:szCs w:val="1"/>
                <w:color w:val="auto"/>
              </w:rPr>
            </w:pPr>
          </w:p>
        </w:tc>
      </w:tr>
      <w:tr>
        <w:trPr>
          <w:trHeight w:val="150"/>
        </w:trPr>
        <w:tc>
          <w:tcPr>
            <w:tcW w:w="2920" w:type="dxa"/>
            <w:vAlign w:val="bottom"/>
            <w:shd w:val="clear" w:color="auto" w:fill="BFE4FF"/>
          </w:tcPr>
          <w:p>
            <w:pPr>
              <w:ind w:left="20"/>
              <w:spacing w:after="0" w:line="150" w:lineRule="exact"/>
              <w:rPr>
                <w:sz w:val="20"/>
                <w:szCs w:val="20"/>
                <w:color w:val="auto"/>
              </w:rPr>
            </w:pPr>
            <w:r>
              <w:rPr>
                <w:rFonts w:ascii="Arial" w:cs="Arial" w:eastAsia="Arial" w:hAnsi="Arial"/>
                <w:sz w:val="14"/>
                <w:szCs w:val="14"/>
                <w:color w:val="auto"/>
              </w:rPr>
              <w:t>Fair value of replacement equity attributable</w:t>
            </w:r>
          </w:p>
        </w:tc>
        <w:tc>
          <w:tcPr>
            <w:tcW w:w="100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86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920" w:type="dxa"/>
            <w:vAlign w:val="bottom"/>
            <w:vMerge w:val="restart"/>
            <w:shd w:val="clear" w:color="auto" w:fill="BFE4FF"/>
          </w:tcPr>
          <w:p>
            <w:pPr>
              <w:jc w:val="right"/>
              <w:ind w:right="9"/>
              <w:spacing w:after="0"/>
              <w:rPr>
                <w:sz w:val="20"/>
                <w:szCs w:val="20"/>
                <w:color w:val="auto"/>
              </w:rPr>
            </w:pPr>
            <w:r>
              <w:rPr>
                <w:rFonts w:ascii="Arial" w:cs="Arial" w:eastAsia="Arial" w:hAnsi="Arial"/>
                <w:sz w:val="14"/>
                <w:szCs w:val="14"/>
                <w:color w:val="auto"/>
              </w:rPr>
              <w:t>146</w:t>
            </w:r>
          </w:p>
        </w:tc>
        <w:tc>
          <w:tcPr>
            <w:tcW w:w="80" w:type="dxa"/>
            <w:vAlign w:val="bottom"/>
            <w:shd w:val="clear" w:color="auto" w:fill="BFE4FF"/>
          </w:tcPr>
          <w:p>
            <w:pPr>
              <w:spacing w:after="0"/>
              <w:rPr>
                <w:sz w:val="13"/>
                <w:szCs w:val="13"/>
                <w:color w:val="auto"/>
              </w:rPr>
            </w:pPr>
          </w:p>
        </w:tc>
        <w:tc>
          <w:tcPr>
            <w:tcW w:w="140" w:type="dxa"/>
            <w:vAlign w:val="bottom"/>
            <w:shd w:val="clear" w:color="auto" w:fill="BFE4FF"/>
          </w:tcPr>
          <w:p>
            <w:pPr>
              <w:spacing w:after="0"/>
              <w:rPr>
                <w:sz w:val="13"/>
                <w:szCs w:val="13"/>
                <w:color w:val="auto"/>
              </w:rPr>
            </w:pPr>
          </w:p>
        </w:tc>
        <w:tc>
          <w:tcPr>
            <w:tcW w:w="880" w:type="dxa"/>
            <w:vAlign w:val="bottom"/>
            <w:gridSpan w:val="2"/>
            <w:vMerge w:val="restart"/>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3"/>
                <w:szCs w:val="13"/>
                <w:color w:val="auto"/>
              </w:rPr>
            </w:pPr>
          </w:p>
        </w:tc>
        <w:tc>
          <w:tcPr>
            <w:tcW w:w="14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13"/>
                <w:szCs w:val="13"/>
                <w:color w:val="auto"/>
              </w:rPr>
            </w:pPr>
          </w:p>
        </w:tc>
        <w:tc>
          <w:tcPr>
            <w:tcW w:w="1180" w:type="dxa"/>
            <w:vAlign w:val="bottom"/>
            <w:gridSpan w:val="2"/>
            <w:vMerge w:val="restart"/>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3"/>
                <w:szCs w:val="13"/>
                <w:color w:val="auto"/>
              </w:rPr>
            </w:pP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5"/>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to pre-acquisition service</w:t>
            </w:r>
          </w:p>
        </w:tc>
        <w:tc>
          <w:tcPr>
            <w:tcW w:w="100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86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920" w:type="dxa"/>
            <w:vAlign w:val="bottom"/>
            <w:vMerge w:val="continue"/>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880" w:type="dxa"/>
            <w:vAlign w:val="bottom"/>
            <w:gridSpan w:val="2"/>
            <w:vMerge w:val="continue"/>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440" w:type="dxa"/>
            <w:vAlign w:val="bottom"/>
            <w:gridSpan w:val="2"/>
            <w:vMerge w:val="continue"/>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1180" w:type="dxa"/>
            <w:vAlign w:val="bottom"/>
            <w:gridSpan w:val="2"/>
            <w:vMerge w:val="continue"/>
            <w:shd w:val="clear" w:color="auto" w:fill="BFE4FF"/>
          </w:tcPr>
          <w:p>
            <w:pPr>
              <w:spacing w:after="0"/>
              <w:rPr>
                <w:sz w:val="16"/>
                <w:szCs w:val="16"/>
                <w:color w:val="auto"/>
              </w:rPr>
            </w:pPr>
          </w:p>
        </w:tc>
        <w:tc>
          <w:tcPr>
            <w:tcW w:w="140" w:type="dxa"/>
            <w:vAlign w:val="bottom"/>
            <w:shd w:val="clear" w:color="auto" w:fill="BFE4FF"/>
          </w:tcPr>
          <w:p>
            <w:pPr>
              <w:spacing w:after="0"/>
              <w:rPr>
                <w:sz w:val="16"/>
                <w:szCs w:val="16"/>
                <w:color w:val="auto"/>
              </w:rPr>
            </w:pPr>
          </w:p>
        </w:tc>
        <w:tc>
          <w:tcPr>
            <w:tcW w:w="1100" w:type="dxa"/>
            <w:vAlign w:val="bottom"/>
            <w:vMerge w:val="continue"/>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192,887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192,887</w:t>
            </w:r>
          </w:p>
        </w:tc>
        <w:tc>
          <w:tcPr>
            <w:tcW w:w="0" w:type="dxa"/>
            <w:vAlign w:val="bottom"/>
          </w:tcPr>
          <w:p>
            <w:pPr>
              <w:spacing w:after="0"/>
              <w:rPr>
                <w:sz w:val="1"/>
                <w:szCs w:val="1"/>
                <w:color w:val="auto"/>
              </w:rPr>
            </w:pPr>
          </w:p>
        </w:tc>
      </w:tr>
      <w:tr>
        <w:trPr>
          <w:trHeight w:val="203"/>
        </w:trPr>
        <w:tc>
          <w:tcPr>
            <w:tcW w:w="2920" w:type="dxa"/>
            <w:vAlign w:val="bottom"/>
            <w:shd w:val="clear" w:color="auto" w:fill="BFE4FF"/>
          </w:tcPr>
          <w:p>
            <w:pPr>
              <w:ind w:left="2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86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000" w:type="dxa"/>
            <w:vAlign w:val="bottom"/>
            <w:gridSpan w:val="2"/>
            <w:shd w:val="clear" w:color="auto" w:fill="BFE4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880" w:type="dxa"/>
            <w:vAlign w:val="bottom"/>
            <w:gridSpan w:val="2"/>
            <w:shd w:val="clear" w:color="auto" w:fill="BFE4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FE4FF"/>
          </w:tcPr>
          <w:p>
            <w:pPr>
              <w:spacing w:after="0"/>
              <w:rPr>
                <w:sz w:val="17"/>
                <w:szCs w:val="17"/>
                <w:color w:val="auto"/>
              </w:rPr>
            </w:pPr>
          </w:p>
        </w:tc>
        <w:tc>
          <w:tcPr>
            <w:tcW w:w="13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180" w:type="dxa"/>
            <w:vAlign w:val="bottom"/>
            <w:gridSpan w:val="2"/>
            <w:shd w:val="clear" w:color="auto" w:fill="BFE4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(36,118)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(36,118)</w:t>
            </w:r>
          </w:p>
        </w:tc>
        <w:tc>
          <w:tcPr>
            <w:tcW w:w="0" w:type="dxa"/>
            <w:vAlign w:val="bottom"/>
          </w:tcPr>
          <w:p>
            <w:pPr>
              <w:spacing w:after="0"/>
              <w:rPr>
                <w:sz w:val="1"/>
                <w:szCs w:val="1"/>
                <w:color w:val="auto"/>
              </w:rPr>
            </w:pPr>
          </w:p>
        </w:tc>
      </w:tr>
      <w:tr>
        <w:trPr>
          <w:trHeight w:val="221"/>
        </w:trPr>
        <w:tc>
          <w:tcPr>
            <w:tcW w:w="29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920" w:type="dxa"/>
            <w:vAlign w:val="bottom"/>
            <w:tcBorders>
              <w:top w:val="single" w:sz="8" w:color="auto"/>
              <w:bottom w:val="single" w:sz="8" w:color="auto"/>
            </w:tcBorders>
            <w:shd w:val="clear" w:color="auto" w:fill="BFE4FF"/>
          </w:tcPr>
          <w:p>
            <w:pPr>
              <w:jc w:val="right"/>
              <w:ind w:right="9"/>
              <w:spacing w:after="0"/>
              <w:rPr>
                <w:sz w:val="20"/>
                <w:szCs w:val="20"/>
                <w:color w:val="auto"/>
              </w:rPr>
            </w:pPr>
            <w:r>
              <w:rPr>
                <w:rFonts w:ascii="Arial" w:cs="Arial" w:eastAsia="Arial" w:hAnsi="Arial"/>
                <w:sz w:val="14"/>
                <w:szCs w:val="14"/>
                <w:color w:val="auto"/>
              </w:rPr>
              <w:t>129,046</w:t>
            </w: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BFE4FF"/>
          </w:tcPr>
          <w:p>
            <w:pPr>
              <w:jc w:val="right"/>
              <w:ind w:right="9"/>
              <w:spacing w:after="0"/>
              <w:rPr>
                <w:sz w:val="20"/>
                <w:szCs w:val="20"/>
                <w:color w:val="auto"/>
              </w:rPr>
            </w:pPr>
            <w:r>
              <w:rPr>
                <w:rFonts w:ascii="Arial" w:cs="Arial" w:eastAsia="Arial" w:hAnsi="Arial"/>
                <w:sz w:val="14"/>
                <w:szCs w:val="14"/>
                <w:color w:val="auto"/>
              </w:rPr>
              <w:t>1,586,727</w:t>
            </w: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(364,574)</w:t>
            </w: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(897,454)</w:t>
            </w: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326,376</w:t>
            </w:r>
          </w:p>
        </w:tc>
        <w:tc>
          <w:tcPr>
            <w:tcW w:w="0" w:type="dxa"/>
            <w:vAlign w:val="bottom"/>
          </w:tcPr>
          <w:p>
            <w:pPr>
              <w:spacing w:after="0"/>
              <w:rPr>
                <w:sz w:val="1"/>
                <w:szCs w:val="1"/>
                <w:color w:val="auto"/>
              </w:rPr>
            </w:pPr>
          </w:p>
        </w:tc>
      </w:tr>
      <w:tr>
        <w:trPr>
          <w:trHeight w:val="20"/>
        </w:trPr>
        <w:tc>
          <w:tcPr>
            <w:tcW w:w="292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3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r>
      <w:tr>
        <w:trPr>
          <w:trHeight w:val="19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(36,118)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(36,301)</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(78,284)</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33,209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27,108</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163,515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145,327</w:t>
            </w: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Net accretion of discounts and amortization of premiums on short-term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(8,323)</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Loss (gain) on other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5,617</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00" w:type="dxa"/>
            <w:vAlign w:val="bottom"/>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6,507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2,179</w:t>
            </w:r>
          </w:p>
        </w:tc>
      </w:tr>
      <w:tr>
        <w:trPr>
          <w:trHeight w:val="213"/>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(38,730)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(30,042)</w:t>
            </w:r>
          </w:p>
        </w:tc>
      </w:tr>
      <w:tr>
        <w:trPr>
          <w:trHeight w:val="213"/>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w:t>
            </w:r>
          </w:p>
        </w:tc>
      </w:tr>
      <w:tr>
        <w:trPr>
          <w:trHeight w:val="211"/>
        </w:trPr>
        <w:tc>
          <w:tcPr>
            <w:tcW w:w="6900" w:type="dxa"/>
            <w:vAlign w:val="bottom"/>
          </w:tcPr>
          <w:p>
            <w:pPr>
              <w:ind w:left="220"/>
              <w:spacing w:after="0"/>
              <w:rPr>
                <w:sz w:val="20"/>
                <w:szCs w:val="20"/>
                <w:color w:val="auto"/>
              </w:rPr>
            </w:pPr>
            <w:r>
              <w:rPr>
                <w:rFonts w:ascii="Arial" w:cs="Arial" w:eastAsia="Arial" w:hAnsi="Arial"/>
                <w:sz w:val="16"/>
                <w:szCs w:val="16"/>
                <w:color w:val="auto"/>
              </w:rPr>
              <w:t>Accounts payable, accrued expenses and accrued compensation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7,071</w:t>
            </w:r>
          </w:p>
        </w:tc>
      </w:tr>
      <w:tr>
        <w:trPr>
          <w:trHeight w:val="213"/>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82,581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81,755</w:t>
            </w:r>
          </w:p>
        </w:tc>
      </w:tr>
      <w:tr>
        <w:trPr>
          <w:trHeight w:val="211"/>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w:t>
            </w:r>
          </w:p>
        </w:tc>
      </w:tr>
      <w:tr>
        <w:trPr>
          <w:trHeight w:val="206"/>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217,476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149,855</w:t>
            </w:r>
          </w:p>
        </w:tc>
      </w:tr>
      <w:tr>
        <w:trPr>
          <w:trHeight w:val="212"/>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(1,704)</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(7,052)</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(145,342)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(287,797)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(278,209)</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maturities of short-term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283,964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317,651</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other investments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other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Business combinations, net of cash acquired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(243,301)</w:t>
            </w:r>
          </w:p>
        </w:tc>
      </w:tr>
      <w:tr>
        <w:trPr>
          <w:trHeight w:val="206"/>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(212,615)</w:t>
            </w:r>
          </w:p>
        </w:tc>
      </w:tr>
      <w:tr>
        <w:trPr>
          <w:trHeight w:val="212"/>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Payments on term loan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issued in connection with the employee stock purchase plan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16,224</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8,064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3,501</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taxes related to net share settlement of equity awards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(99,977)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(14,934)</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4"/>
        </w:trPr>
        <w:tc>
          <w:tcPr>
            <w:tcW w:w="6900" w:type="dxa"/>
            <w:vAlign w:val="bottom"/>
          </w:tcPr>
          <w:p>
            <w:pPr>
              <w:ind w:left="46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(234,095)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(79,401)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1,251</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w:t>
            </w:r>
          </w:p>
        </w:tc>
      </w:tr>
      <w:tr>
        <w:trPr>
          <w:trHeight w:val="204"/>
        </w:trPr>
        <w:tc>
          <w:tcPr>
            <w:tcW w:w="69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(140,885)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91,515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(63,734)</w:t>
            </w: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237,132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300,866</w:t>
            </w:r>
          </w:p>
        </w:tc>
      </w:tr>
      <w:tr>
        <w:trPr>
          <w:trHeight w:val="206"/>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year</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187,762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328,647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237,132</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8"/>
        </w:trPr>
        <w:tc>
          <w:tcPr>
            <w:tcW w:w="6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34,323</w:t>
            </w:r>
          </w:p>
        </w:tc>
      </w:tr>
      <w:tr>
        <w:trPr>
          <w:trHeight w:val="211"/>
        </w:trPr>
        <w:tc>
          <w:tcPr>
            <w:tcW w:w="6900" w:type="dxa"/>
            <w:vAlign w:val="bottom"/>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8,981</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Cash payments for operating leases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10,455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9,204</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8,914</w:t>
            </w:r>
          </w:p>
        </w:tc>
      </w:tr>
    </w:tbl>
    <w:p>
      <w:pPr>
        <w:spacing w:after="0" w:line="173"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TENABLE HOLDINGS, INC.</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17" w:lineRule="exact"/>
        <w:rPr>
          <w:sz w:val="20"/>
          <w:szCs w:val="20"/>
          <w:color w:val="auto"/>
        </w:rPr>
      </w:pPr>
    </w:p>
    <w:p>
      <w:pPr>
        <w:ind w:right="260" w:firstLine="318"/>
        <w:spacing w:after="0" w:line="257" w:lineRule="auto"/>
        <w:rPr>
          <w:sz w:val="20"/>
          <w:szCs w:val="20"/>
          <w:color w:val="auto"/>
        </w:rPr>
      </w:pPr>
      <w:r>
        <w:rPr>
          <w:rFonts w:ascii="Arial" w:cs="Arial" w:eastAsia="Arial" w:hAnsi="Arial"/>
          <w:sz w:val="18"/>
          <w:szCs w:val="18"/>
          <w:color w:val="auto"/>
        </w:rPr>
        <w:t xml:space="preserve">Tenable Holdings, Inc. (the "Company," "we," "us," or "our") is the leading provider of exposure management solutions. Exposure management </w:t>
      </w:r>
      <w:r>
        <w:rPr>
          <w:rFonts w:ascii="Arial" w:cs="Arial" w:eastAsia="Arial" w:hAnsi="Arial"/>
          <w:sz w:val="19"/>
          <w:szCs w:val="19"/>
          <w:color w:val="auto"/>
        </w:rPr>
        <w:t>i</w:t>
      </w:r>
      <w:r>
        <w:rPr>
          <w:rFonts w:ascii="Arial" w:cs="Arial" w:eastAsia="Arial" w:hAnsi="Arial"/>
          <w:sz w:val="18"/>
          <w:szCs w:val="18"/>
          <w:color w:val="auto"/>
        </w:rPr>
        <w:t>s an increasingly critical category that extends foundational vulnerability management capabilities to advance risk assessment and prioritization across the entire attack surface – from IT infrastructure and cloud environments to critical infrastructure and AI. We unify security visibility, insight and action across this attack surface, equipping modern organizations to quickly identify and close the cybersecurity gaps that erode business value, reputation and trust.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7"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17"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$1.6 million, $5.0 million and $3.1 million in 2025, 2024 and 2023, respectively, and are included as a component of other expense, net in the consolidated statements of operations.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ind w:right="1040" w:firstLine="318"/>
        <w:spacing w:after="0" w:line="292" w:lineRule="auto"/>
        <w:rPr>
          <w:sz w:val="20"/>
          <w:szCs w:val="20"/>
          <w:color w:val="auto"/>
        </w:rPr>
      </w:pPr>
      <w:r>
        <w:rPr>
          <w:rFonts w:ascii="Arial" w:cs="Arial" w:eastAsia="Arial" w:hAnsi="Arial"/>
          <w:sz w:val="17"/>
          <w:szCs w:val="17"/>
          <w:color w:val="auto"/>
        </w:rPr>
        <w:t>We recognize revenue in order to depict the transfer of promised goods or services to customers in an amount that reflects the consideration we expect to be entitled to in exchange for those goods or services. To achieve this, we apply the following steps:</w:t>
      </w:r>
    </w:p>
    <w:p>
      <w:pPr>
        <w:spacing w:after="0" w:line="1"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480" w:firstLine="318"/>
        <w:spacing w:after="0" w:line="260" w:lineRule="auto"/>
        <w:rPr>
          <w:sz w:val="20"/>
          <w:szCs w:val="20"/>
          <w:color w:val="auto"/>
        </w:rPr>
      </w:pPr>
      <w:r>
        <w:rPr>
          <w:rFonts w:ascii="Arial" w:cs="Arial" w:eastAsia="Arial" w:hAnsi="Arial"/>
          <w:sz w:val="18"/>
          <w:szCs w:val="18"/>
          <w:color w:val="auto"/>
        </w:rPr>
        <w:t>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17" w:lineRule="exact"/>
        <w:rPr>
          <w:sz w:val="20"/>
          <w:szCs w:val="20"/>
          <w:color w:val="auto"/>
        </w:rPr>
      </w:pPr>
    </w:p>
    <w:p>
      <w:pPr>
        <w:ind w:right="220" w:firstLine="318"/>
        <w:spacing w:after="0" w:line="271" w:lineRule="auto"/>
        <w:rPr>
          <w:sz w:val="20"/>
          <w:szCs w:val="20"/>
          <w:color w:val="auto"/>
        </w:rPr>
      </w:pPr>
      <w:r>
        <w:rPr>
          <w:rFonts w:ascii="Arial" w:cs="Arial" w:eastAsia="Arial" w:hAnsi="Arial"/>
          <w:sz w:val="17"/>
          <w:szCs w:val="17"/>
          <w:color w:val="auto"/>
        </w:rPr>
        <w:t>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1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17" w:lineRule="exact"/>
        <w:rPr>
          <w:sz w:val="20"/>
          <w:szCs w:val="20"/>
          <w:color w:val="auto"/>
        </w:rPr>
      </w:pPr>
    </w:p>
    <w:p>
      <w:pPr>
        <w:jc w:val="both"/>
        <w:ind w:right="40" w:firstLine="318"/>
        <w:spacing w:after="0" w:line="260"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17"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17"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limited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180" w:lineRule="exact"/>
        <w:rPr>
          <w:sz w:val="20"/>
          <w:szCs w:val="20"/>
          <w:color w:val="auto"/>
        </w:rPr>
      </w:pPr>
    </w:p>
    <w:p>
      <w:pPr>
        <w:ind w:right="160" w:firstLine="318"/>
        <w:spacing w:after="0" w:line="274"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consider all highly liquid financial instruments with an original maturity of three months or less when purchased to be cash equivalents.</w:t>
      </w:r>
    </w:p>
    <w:p>
      <w:pPr>
        <w:spacing w:after="0" w:line="22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At December 31, 2025 and 2024, cash and cash equivalents included $8.7 million and $8.2 million, respectively, of restricted cash related to collateral for outstanding letters of credit and an operating lease.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Short-term Investments</w:t>
      </w:r>
    </w:p>
    <w:p>
      <w:pPr>
        <w:spacing w:after="0" w:line="217"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Our short-term investments include asset backed securities, certificates of deposit, commercial paper, corporate and Yankee bonds, and U.S. treasury and agency obligations. Our investments are classified as available-for-sale and recorded at fair value, with unrealized gains and losses reported in accumulated other comprehensive income (loss) within stockholders’ equity.</w:t>
      </w:r>
    </w:p>
    <w:p>
      <w:pPr>
        <w:spacing w:after="0" w:line="175" w:lineRule="exact"/>
        <w:rPr>
          <w:sz w:val="20"/>
          <w:szCs w:val="20"/>
          <w:color w:val="auto"/>
        </w:rPr>
      </w:pPr>
    </w:p>
    <w:p>
      <w:pPr>
        <w:ind w:right="400" w:firstLine="318"/>
        <w:spacing w:after="0" w:line="260" w:lineRule="auto"/>
        <w:rPr>
          <w:sz w:val="20"/>
          <w:szCs w:val="20"/>
          <w:color w:val="auto"/>
        </w:rPr>
      </w:pPr>
      <w:r>
        <w:rPr>
          <w:rFonts w:ascii="Arial" w:cs="Arial" w:eastAsia="Arial" w:hAnsi="Arial"/>
          <w:sz w:val="18"/>
          <w:szCs w:val="18"/>
          <w:color w:val="auto"/>
        </w:rPr>
        <w:t>We classify investments with original maturities of less than 90 days as cash and cash equivalents. Investments with original maturities greater than 90 days, including those we do not currently intend on selling within the next twelve months, are classified as short-term investments as they are available for use in our operations.</w:t>
      </w:r>
    </w:p>
    <w:p>
      <w:pPr>
        <w:spacing w:after="0" w:line="175"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We evaluate potential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Investments</w:t>
      </w:r>
    </w:p>
    <w:p>
      <w:pPr>
        <w:spacing w:after="0" w:line="217" w:lineRule="exact"/>
        <w:rPr>
          <w:sz w:val="20"/>
          <w:szCs w:val="20"/>
          <w:color w:val="auto"/>
        </w:rPr>
      </w:pPr>
    </w:p>
    <w:p>
      <w:pPr>
        <w:ind w:right="80" w:firstLine="318"/>
        <w:spacing w:after="0" w:line="253" w:lineRule="auto"/>
        <w:rPr>
          <w:sz w:val="20"/>
          <w:szCs w:val="20"/>
          <w:color w:val="auto"/>
        </w:rPr>
      </w:pPr>
      <w:r>
        <w:rPr>
          <w:rFonts w:ascii="Arial" w:cs="Arial" w:eastAsia="Arial" w:hAnsi="Arial"/>
          <w:sz w:val="18"/>
          <w:szCs w:val="18"/>
          <w:color w:val="auto"/>
        </w:rPr>
        <w:t>Our investments in privately held companies consist of preferred stock, convertible notes and non-marketable simple agreements for future equity ("SAFE") investments. We have elected to apply the measurement alternative and record these other investments at cost, less any impairment, plus or minus observable price changes for similar investments of the same issuer. Gains or losses on other investments are recognized in other expense, net on our consolidated statements of operations. Other investments are included in other assets on our consolidated balance sheets.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7"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180"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Our allowance for doubtful accounts reflects our best estimate of expected future credit losses. We consider various factors that may impact our ability to collect on accounts receivable, including our historical collection experience, age of accounts receivable balances, current conditions, reasonable and supportable forecasts of future economic conditions, as well as other factors, however, these estimates may change and future credit losses may differ from our estimates. Expected credit losses from accounts receivable are recognized as expense in our statement of operations.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17"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Sales commissions, including related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 the period of benefit based on the expected contract term including renewal periods, the lifecycle of our technology and other factors. Sales commissions on contract renewals are capitalized and amortized ratably over the contract term as part of sales and marketing expense, with the exception of contracts with renewal periods that are one year or less, in which case the incremental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Repairs and maintenance costs are expensed as incurred.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21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w:t>
      </w:r>
    </w:p>
    <w:p>
      <w:pPr>
        <w:spacing w:after="0" w:line="187"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177" w:lineRule="exact"/>
        <w:rPr>
          <w:sz w:val="20"/>
          <w:szCs w:val="20"/>
          <w:color w:val="auto"/>
        </w:rPr>
      </w:pPr>
    </w:p>
    <w:p>
      <w:pPr>
        <w:ind w:right="120" w:firstLine="318"/>
        <w:spacing w:after="0" w:line="274" w:lineRule="auto"/>
        <w:rPr>
          <w:sz w:val="20"/>
          <w:szCs w:val="20"/>
          <w:color w:val="auto"/>
        </w:rPr>
      </w:pPr>
      <w:r>
        <w:rPr>
          <w:rFonts w:ascii="Arial" w:cs="Arial" w:eastAsia="Arial" w:hAnsi="Arial"/>
          <w:sz w:val="18"/>
          <w:szCs w:val="18"/>
          <w:color w:val="auto"/>
        </w:rPr>
        <w:t>Lease expense for lease payments is recognized on a straight-line basis over the term of the lease. Any sublease income is recorded as a reduction of lease expense.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In 2024, we executed a sublease of our headquarters and recorded a $4.5 million impairment for furniture and fixtures and leasehold improvements. There was no impairment of long-lived assets in 2025 or 2023.</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7"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generally determine the fair value of acquired technology using the multi-period excess earnings method, a form of the income approach. However in certain situations we may use the cost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adjustments made after the measurement period will be reflected in the consolidated statements of operations. Acquisition-related costs are expensed as incurred.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1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excess of the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w:t>
      </w:r>
    </w:p>
    <w:p>
      <w:pPr>
        <w:spacing w:after="0" w:line="217"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Amended and Restated Certificate of Incorporation authorized 500,000,000 shares of common stock and 10,000,000 shares of preferred stock. There were no shares of preferred stock issued or outstanding at December 31, 2025 or 2024. 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Treasury Stock</w:t>
      </w:r>
    </w:p>
    <w:p>
      <w:pPr>
        <w:spacing w:after="0" w:line="217"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In November 2023, our Board of Directors authorized the repurchase of up to $100 million of our common stock. In October 2024 and July 2025, our Board of Directors increased the repurchase authorization by $200 million and $250 million, respectively. We account for purchases of treasury stock under the cost method. Shares are held for future issuance and not retired. Since the inception of the share repurchase program and through December 31, 2025, we have purchased a total of 10.6 million shares for $362.4 million. The remaining amount available under the share repurchase program was $187.6 million at December 31, 2025.</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January 2026, our Board of Directors increased the repurchase authorization by $150 million.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Stock-based compensation expense related to restricted stock units ("RSUs"), purchase rights issued under our 2018 Employee Stock Purchase Plan ("2018 ESPP"), stock options and restricted stock is calculated based on the fair value of the awards granted and is recognized on a straight-line basis over the requisite service period, which is generally two to four years. Our performance stock units ("PSUs") vest over a period of 4 years and are subject to defined performance and service conditions. Our PSUs are expensed using the accelerated attribution method. We account for forfeitures as they occur.</w:t>
      </w:r>
    </w:p>
    <w:p>
      <w:pPr>
        <w:spacing w:after="0" w:line="18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fair value of RSUs, PSUs and restricted stock is based on the market price of our common stock on the date of grant. The fair value of 2018 ESPP purchase rights is estimated on the grant date using the Black-Scholes option pricing model, which requires us to make assumptions and judgments, including the expected term, expected volatility, and risk-free interest rates. We use the market price of our common stock at the date of grant.</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Advertising</w:t>
      </w:r>
    </w:p>
    <w:p>
      <w:pPr>
        <w:spacing w:after="0" w:line="217"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Advertising costs are expensed as they are incurred. We incurred advertising costs of $19.8 million, $13.8 million and $16.2 million in 2025, 2024 and 2023, respectively, which are included in sales and marketing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17" w:lineRule="exact"/>
        <w:rPr>
          <w:sz w:val="20"/>
          <w:szCs w:val="20"/>
          <w:color w:val="auto"/>
        </w:rPr>
      </w:pPr>
    </w:p>
    <w:p>
      <w:pPr>
        <w:ind w:right="40" w:firstLine="318"/>
        <w:spacing w:after="0" w:line="275" w:lineRule="auto"/>
        <w:rPr>
          <w:sz w:val="20"/>
          <w:szCs w:val="20"/>
          <w:color w:val="auto"/>
        </w:rPr>
      </w:pPr>
      <w:r>
        <w:rPr>
          <w:rFonts w:ascii="Arial" w:cs="Arial" w:eastAsia="Arial" w:hAnsi="Arial"/>
          <w:sz w:val="17"/>
          <w:szCs w:val="17"/>
          <w:color w:val="auto"/>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spacing w:after="0" w:line="164" w:lineRule="exact"/>
        <w:rPr>
          <w:sz w:val="20"/>
          <w:szCs w:val="20"/>
          <w:color w:val="auto"/>
        </w:rPr>
      </w:pPr>
    </w:p>
    <w:p>
      <w:pPr>
        <w:ind w:right="100" w:firstLine="318"/>
        <w:spacing w:after="0" w:line="253" w:lineRule="auto"/>
        <w:rPr>
          <w:sz w:val="20"/>
          <w:szCs w:val="20"/>
          <w:color w:val="auto"/>
        </w:rPr>
      </w:pPr>
      <w:r>
        <w:rPr>
          <w:rFonts w:ascii="Arial" w:cs="Arial" w:eastAsia="Arial" w:hAnsi="Arial"/>
          <w:sz w:val="18"/>
          <w:szCs w:val="18"/>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2025, 2024 and 2023, we capitalized $5.4 million, $8.2 million and $8.8 million of development costs related to internal use software, including capitalized stock-based compensation of $1.1 million, $1.7 million, and $1.7 million,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w:t>
      </w:r>
    </w:p>
    <w:p>
      <w:pPr>
        <w:spacing w:after="0" w:line="217"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Restructuring expenses consist of non-ordinary course severance, employee related benefits and other charges to reorganize business operations. In 2025, we incurred $ 3.1 million of restructuring expense related to non-ordinary course severance and employee related benefits in order to realign departments. In 2024, the $6.1 million of restructuring expense consisted of $4.5 million of non-cash impairment of leasehold improvements and furniture and fixtures that was recorded in connection with the sublease of a portion of our headquarters and $1.5 million in non-ordinary course severance and employee related benefits related to the optimization of our go-to-market efforts, including reducing our reliance on sales specialists and streamlining layers of management.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7" w:lineRule="exact"/>
        <w:rPr>
          <w:sz w:val="20"/>
          <w:szCs w:val="20"/>
          <w:color w:val="auto"/>
        </w:rPr>
      </w:pPr>
    </w:p>
    <w:p>
      <w:pPr>
        <w:ind w:right="400" w:firstLine="318"/>
        <w:spacing w:after="0" w:line="274" w:lineRule="auto"/>
        <w:rPr>
          <w:sz w:val="20"/>
          <w:szCs w:val="20"/>
          <w:color w:val="auto"/>
        </w:rPr>
      </w:pPr>
      <w:r>
        <w:rPr>
          <w:rFonts w:ascii="Arial" w:cs="Arial" w:eastAsia="Arial" w:hAnsi="Arial"/>
          <w:sz w:val="18"/>
          <w:szCs w:val="18"/>
          <w:color w:val="auto"/>
        </w:rPr>
        <w:t>We calculate basic net loss per share by dividing the net loss by the weighted-average number of shares of common stock outstanding during the period.</w:t>
      </w:r>
    </w:p>
    <w:p>
      <w:pPr>
        <w:spacing w:after="0" w:line="163"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Diluted earnings per share is computed by giving effect to all potentially dilutive common stock equivalents in the period, including unvested RSUs, PSUs, stock options, unvested restricted shares and shares to be issued under our 2018 ESPP. As we have reported losses for all periods presented, all potentially dilutive securities have been excluded from the calculation of diluted net loss per share as their effect would be antidilutive.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17"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We operate as one operating segment as our Co-Chief Executive Officers, who are our chief operating decision makers ("CODMs"), review financial information on a consolidated basis for purposes of making operating decisions, allocating resources, and evaluating financial performance.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ind w:firstLine="318"/>
        <w:spacing w:after="0" w:line="275" w:lineRule="auto"/>
        <w:rPr>
          <w:sz w:val="20"/>
          <w:szCs w:val="20"/>
          <w:color w:val="auto"/>
        </w:rPr>
      </w:pPr>
      <w:r>
        <w:rPr>
          <w:rFonts w:ascii="Arial" w:cs="Arial" w:eastAsia="Arial" w:hAnsi="Arial"/>
          <w:sz w:val="17"/>
          <w:szCs w:val="17"/>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We have elected to treat taxes related to GILTI as a period cost. A valuation allowance is provided if it is more likely than not that some or all of the deferred tax assets will not be realized.</w:t>
      </w:r>
    </w:p>
    <w:p>
      <w:pPr>
        <w:spacing w:after="0" w:line="164" w:lineRule="exact"/>
        <w:rPr>
          <w:sz w:val="20"/>
          <w:szCs w:val="20"/>
          <w:color w:val="auto"/>
        </w:rPr>
      </w:pPr>
    </w:p>
    <w:p>
      <w:pPr>
        <w:ind w:right="640" w:firstLine="318"/>
        <w:spacing w:after="0" w:line="304" w:lineRule="auto"/>
        <w:rPr>
          <w:sz w:val="20"/>
          <w:szCs w:val="20"/>
          <w:color w:val="auto"/>
        </w:rPr>
      </w:pPr>
      <w:r>
        <w:rPr>
          <w:rFonts w:ascii="Arial" w:cs="Arial" w:eastAsia="Arial" w:hAnsi="Arial"/>
          <w:sz w:val="17"/>
          <w:szCs w:val="17"/>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7"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In December 2023, the Financial Accounting Standards Board ("FASB") issued ASU 2023-09 - Income Taxes (Topic 740): Improvements to Income Tax Disclosures, which requires public entities to provide greater disaggregation within the annual rate reconciliation. The guidance also requires disaggregating the annual disclosure of income taxes paid, net of refunds received. We have adopted ASU 2023-09 for the year ended December 31, 2025, and have applied the new disclosure requirements prospectively to the current annual period. Prior period disclosures have not been adjusted.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7" w:lineRule="exact"/>
        <w:rPr>
          <w:sz w:val="20"/>
          <w:szCs w:val="20"/>
          <w:color w:val="auto"/>
        </w:rPr>
      </w:pPr>
    </w:p>
    <w:p>
      <w:pPr>
        <w:ind w:right="380" w:firstLine="318"/>
        <w:spacing w:after="0" w:line="250" w:lineRule="auto"/>
        <w:rPr>
          <w:sz w:val="20"/>
          <w:szCs w:val="20"/>
          <w:color w:val="auto"/>
        </w:rPr>
      </w:pPr>
      <w:r>
        <w:rPr>
          <w:rFonts w:ascii="Arial" w:cs="Arial" w:eastAsia="Arial" w:hAnsi="Arial"/>
          <w:sz w:val="18"/>
          <w:szCs w:val="18"/>
          <w:color w:val="auto"/>
        </w:rPr>
        <w:t>In November 2024, the FASB issued ASU 2024-03 - Income Statement - Reporting Comprehensive Income - Expense Disaggregation Disclosures (Subtopic 220-40): Disaggregation of Income Statement Expenses, which requires public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the definition of selling expenses. The guidance is effective beginning January 1, 2027 on a prospective basis, with a retrospective option, and interim reporting periods beginning on January 1, 2028. Early adoption is permitted. We are currently evaluating the impact of adopting this standard on our consolidated financial statements and disclosures.</w:t>
      </w:r>
    </w:p>
    <w:p>
      <w:pPr>
        <w:spacing w:after="0" w:line="187"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In July 2025, the FASB issued ASU 2025-05 - Measurement of Credit Loss for Accounts Receivable and Contract Assets, which provides a practical expedient for the calculation of current expected credit losses for accounts receivable and contract assets, allowing entities to assume that current conditions as of the balance sheet date will persist through the forecast period. The guidance is effective beginning January 1, 2026 on a prospective basis. We are currently evaluating the impact of adopting this standard on our consolidated financial statements and disclosures.</w:t>
      </w:r>
    </w:p>
    <w:p>
      <w:pPr>
        <w:spacing w:after="0" w:line="181" w:lineRule="exact"/>
        <w:rPr>
          <w:sz w:val="20"/>
          <w:szCs w:val="20"/>
          <w:color w:val="auto"/>
        </w:rPr>
      </w:pPr>
    </w:p>
    <w:p>
      <w:pPr>
        <w:ind w:right="80" w:firstLine="318"/>
        <w:spacing w:after="0" w:line="275" w:lineRule="auto"/>
        <w:rPr>
          <w:sz w:val="20"/>
          <w:szCs w:val="20"/>
          <w:color w:val="auto"/>
        </w:rPr>
      </w:pPr>
      <w:r>
        <w:rPr>
          <w:rFonts w:ascii="Arial" w:cs="Arial" w:eastAsia="Arial" w:hAnsi="Arial"/>
          <w:sz w:val="17"/>
          <w:szCs w:val="17"/>
          <w:color w:val="auto"/>
        </w:rPr>
        <w:t>In September 2025, the FASB issued ASU 2025-06 - Targeted Improvements to the Accounting for Internal-Use Software, which updates the requirements for capitalization of internal-use software, removing all references to project stages and clarifies the threshold entities apply to begin capitalizing costs. The guidance is effective beginning January 1, 2028 using a prospective, modified retrospective or full retrospective approach. We are currently evaluating the impact of adopting this standard on our consolidated financial statements and disclosures.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Revenue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725,013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48,729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798,710</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w:t>
      </w:r>
    </w:p>
    <w:p>
      <w:pPr>
        <w:spacing w:after="0" w:line="217"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94%, 94% and 93% of revenue in 2025, 2024 and 2023, respectively. One of our distributors accounted for 32%, 34% and 36% of revenue in 2025, 2024 and 2023, respectively. That same distributor accounted for 27% and 29% of accounts receivable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2025, 2024 and 2023, we recognized revenue of $650.0 million, $581.8 million and $502.8 million, respectively, that was included in the deferred revenue balance at the beginning of each respective period.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future estimated revenue related to unsatisfied performance obligations: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8"/>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660,647</w:t>
            </w:r>
          </w:p>
        </w:tc>
        <w:tc>
          <w:tcPr>
            <w:tcW w:w="0" w:type="dxa"/>
            <w:vAlign w:val="bottom"/>
          </w:tcPr>
          <w:p>
            <w:pPr>
              <w:spacing w:after="0"/>
              <w:rPr>
                <w:sz w:val="1"/>
                <w:szCs w:val="1"/>
                <w:color w:val="auto"/>
              </w:rPr>
            </w:pPr>
          </w:p>
        </w:tc>
      </w:tr>
      <w:tr>
        <w:trPr>
          <w:trHeight w:val="225"/>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206,879</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Remaining performance obligations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1,061,065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867,526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b w:val="1"/>
                <w:bCs w:val="1"/>
                <w:i w:val="1"/>
                <w:iCs w:val="1"/>
                <w:color w:val="auto"/>
              </w:rPr>
              <w:t>Deferred Commissions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83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00" w:type="dxa"/>
            <w:vAlign w:val="bottom"/>
            <w:gridSpan w:val="2"/>
          </w:tcPr>
          <w:p>
            <w:pPr>
              <w:ind w:left="32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414"/>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121,953</w:t>
            </w:r>
          </w:p>
        </w:tc>
        <w:tc>
          <w:tcPr>
            <w:tcW w:w="0" w:type="dxa"/>
            <w:vAlign w:val="bottom"/>
          </w:tcPr>
          <w:p>
            <w:pPr>
              <w:spacing w:after="0"/>
              <w:rPr>
                <w:sz w:val="1"/>
                <w:szCs w:val="1"/>
                <w:color w:val="auto"/>
              </w:rPr>
            </w:pPr>
          </w:p>
        </w:tc>
      </w:tr>
      <w:tr>
        <w:trPr>
          <w:trHeight w:val="22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52,263</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(54,511)</w:t>
            </w:r>
          </w:p>
        </w:tc>
        <w:tc>
          <w:tcPr>
            <w:tcW w:w="0" w:type="dxa"/>
            <w:vAlign w:val="bottom"/>
          </w:tcPr>
          <w:p>
            <w:pPr>
              <w:spacing w:after="0"/>
              <w:rPr>
                <w:sz w:val="1"/>
                <w:szCs w:val="1"/>
                <w:color w:val="auto"/>
              </w:rPr>
            </w:pPr>
          </w:p>
        </w:tc>
      </w:tr>
      <w:tr>
        <w:trPr>
          <w:trHeight w:val="218"/>
        </w:trPr>
        <w:tc>
          <w:tcPr>
            <w:tcW w:w="8300" w:type="dxa"/>
            <w:vAlign w:val="bottom"/>
            <w:gridSpan w:val="2"/>
          </w:tcPr>
          <w:p>
            <w:pPr>
              <w:ind w:left="240"/>
              <w:spacing w:after="0"/>
              <w:rPr>
                <w:sz w:val="20"/>
                <w:szCs w:val="20"/>
                <w:color w:val="auto"/>
              </w:rPr>
            </w:pPr>
            <w:r>
              <w:rPr>
                <w:rFonts w:ascii="Arial" w:cs="Arial" w:eastAsia="Arial" w:hAnsi="Arial"/>
                <w:sz w:val="18"/>
                <w:szCs w:val="18"/>
                <w:color w:val="auto"/>
              </w:rPr>
              <w:t>Ending balance</w:t>
            </w:r>
          </w:p>
        </w:tc>
        <w:tc>
          <w:tcPr>
            <w:tcW w:w="300" w:type="dxa"/>
            <w:vAlign w:val="bottom"/>
          </w:tcPr>
          <w:p>
            <w:pPr>
              <w:jc w:val="right"/>
              <w:ind w:right="13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124,629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119,705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219" w:lineRule="exact"/>
        <w:rPr>
          <w:sz w:val="20"/>
          <w:szCs w:val="20"/>
          <w:color w:val="auto"/>
        </w:rPr>
      </w:pPr>
    </w:p>
    <w:p>
      <w:pPr>
        <w:ind w:right="260" w:firstLine="318"/>
        <w:spacing w:after="0" w:line="274"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6"/>
                <w:szCs w:val="16"/>
                <w:b w:val="1"/>
                <w:bCs w:val="1"/>
                <w:color w:val="auto"/>
              </w:rPr>
              <w:t>December 31, 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Pr>
          <w:p>
            <w:pPr>
              <w:spacing w:after="0"/>
              <w:rPr>
                <w:sz w:val="13"/>
                <w:szCs w:val="13"/>
                <w:color w:val="auto"/>
              </w:rPr>
            </w:pPr>
          </w:p>
        </w:tc>
        <w:tc>
          <w:tcPr>
            <w:tcW w:w="1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20" w:type="dxa"/>
            <w:vAlign w:val="bottom"/>
          </w:tcPr>
          <w:p>
            <w:pPr>
              <w:spacing w:after="0"/>
              <w:rPr>
                <w:sz w:val="13"/>
                <w:szCs w:val="13"/>
                <w:color w:val="auto"/>
              </w:rPr>
            </w:pPr>
          </w:p>
        </w:tc>
        <w:tc>
          <w:tcPr>
            <w:tcW w:w="1280" w:type="dxa"/>
            <w:vAlign w:val="bottom"/>
          </w:tcPr>
          <w:p>
            <w:pPr>
              <w:jc w:val="right"/>
              <w:ind w:right="73"/>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0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41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5"/>
        </w:trPr>
        <w:tc>
          <w:tcPr>
            <w:tcW w:w="5200" w:type="dxa"/>
            <w:vAlign w:val="bottom"/>
          </w:tcPr>
          <w:p>
            <w:pPr>
              <w:spacing w:after="0" w:line="205" w:lineRule="exact"/>
              <w:rPr>
                <w:sz w:val="20"/>
                <w:szCs w:val="20"/>
                <w:color w:val="auto"/>
              </w:rPr>
            </w:pPr>
            <w:r>
              <w:rPr>
                <w:rFonts w:ascii="Arial" w:cs="Arial" w:eastAsia="Arial" w:hAnsi="Arial"/>
                <w:sz w:val="18"/>
                <w:szCs w:val="18"/>
                <w:b w:val="1"/>
                <w:bCs w:val="1"/>
                <w:color w:val="auto"/>
              </w:rPr>
              <w:t>Cash equivalents</w:t>
            </w: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59,760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19"/>
        </w:trPr>
        <w:tc>
          <w:tcPr>
            <w:tcW w:w="5200" w:type="dxa"/>
            <w:vAlign w:val="bottom"/>
          </w:tcPr>
          <w:p>
            <w:pPr>
              <w:ind w:left="200"/>
              <w:spacing w:after="0"/>
              <w:rPr>
                <w:sz w:val="20"/>
                <w:szCs w:val="20"/>
                <w:color w:val="auto"/>
              </w:rPr>
            </w:pPr>
            <w:r>
              <w:rPr>
                <w:rFonts w:ascii="Arial" w:cs="Arial" w:eastAsia="Arial" w:hAnsi="Arial"/>
                <w:sz w:val="18"/>
                <w:szCs w:val="18"/>
                <w:color w:val="auto"/>
              </w:rPr>
              <w:t>Total cash equivalents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59,760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94,729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94,894</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color w:val="auto"/>
              </w:rPr>
              <w:t>Yankee bonds</w:t>
            </w: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13,280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agency obligations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83,629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83,802</w:t>
            </w:r>
          </w:p>
        </w:tc>
        <w:tc>
          <w:tcPr>
            <w:tcW w:w="0" w:type="dxa"/>
            <w:vAlign w:val="bottom"/>
          </w:tcPr>
          <w:p>
            <w:pPr>
              <w:spacing w:after="0"/>
              <w:rPr>
                <w:sz w:val="1"/>
                <w:szCs w:val="1"/>
                <w:color w:val="auto"/>
              </w:rPr>
            </w:pPr>
          </w:p>
        </w:tc>
      </w:tr>
      <w:tr>
        <w:trPr>
          <w:trHeight w:val="218"/>
        </w:trPr>
        <w:tc>
          <w:tcPr>
            <w:tcW w:w="5200" w:type="dxa"/>
            <w:vAlign w:val="bottom"/>
          </w:tcPr>
          <w:p>
            <w:pPr>
              <w:ind w:left="200"/>
              <w:spacing w:after="0"/>
              <w:rPr>
                <w:sz w:val="20"/>
                <w:szCs w:val="20"/>
                <w:color w:val="auto"/>
              </w:rPr>
            </w:pPr>
            <w:r>
              <w:rPr>
                <w:rFonts w:ascii="Arial" w:cs="Arial" w:eastAsia="Arial" w:hAnsi="Arial"/>
                <w:sz w:val="18"/>
                <w:szCs w:val="18"/>
                <w:color w:val="auto"/>
              </w:rPr>
              <w:t>Total short-term investments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214,032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214,419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December 31, 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280" w:type="dxa"/>
            <w:vAlign w:val="bottom"/>
          </w:tcPr>
          <w:p>
            <w:pPr>
              <w:jc w:val="right"/>
              <w:ind w:right="73"/>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1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19"/>
        </w:trPr>
        <w:tc>
          <w:tcPr>
            <w:tcW w:w="522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95,410</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Yankee bonds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obligations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18"/>
        </w:trPr>
        <w:tc>
          <w:tcPr>
            <w:tcW w:w="5220" w:type="dxa"/>
            <w:vAlign w:val="bottom"/>
          </w:tcPr>
          <w:p>
            <w:pPr>
              <w:ind w:left="22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160" w:firstLine="318"/>
        <w:spacing w:after="0" w:line="253" w:lineRule="auto"/>
        <w:rPr>
          <w:sz w:val="20"/>
          <w:szCs w:val="20"/>
          <w:color w:val="auto"/>
        </w:rPr>
      </w:pPr>
      <w:r>
        <w:rPr>
          <w:rFonts w:ascii="Arial" w:cs="Arial" w:eastAsia="Arial" w:hAnsi="Arial"/>
          <w:sz w:val="18"/>
          <w:szCs w:val="18"/>
          <w:color w:val="auto"/>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December 31, 2025 and 2024, our unrealized losses were due to changes in market interest rates compared to when the investments were initiated. We do not believe any unrealized losses represent credit losses, and it is unlikely we would sell the investments before we would recover their amortized cost basis.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Pr>
          <w:p>
            <w:pPr>
              <w:spacing w:after="0"/>
              <w:rPr>
                <w:sz w:val="18"/>
                <w:szCs w:val="18"/>
                <w:color w:val="auto"/>
              </w:rPr>
            </w:pPr>
          </w:p>
        </w:tc>
        <w:tc>
          <w:tcPr>
            <w:tcW w:w="2840" w:type="dxa"/>
            <w:vAlign w:val="bottom"/>
            <w:gridSpan w:val="4"/>
          </w:tcPr>
          <w:p>
            <w:pPr>
              <w:jc w:val="right"/>
              <w:ind w:right="675"/>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2"/>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55"/>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75"/>
              <w:spacing w:after="0" w:line="152"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8"/>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204,532</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two years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44,015</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Fair Value Measurements</w:t>
      </w:r>
    </w:p>
    <w:p>
      <w:pPr>
        <w:spacing w:after="0" w:line="219" w:lineRule="exact"/>
        <w:rPr>
          <w:sz w:val="20"/>
          <w:szCs w:val="20"/>
          <w:color w:val="auto"/>
        </w:rPr>
      </w:pPr>
    </w:p>
    <w:p>
      <w:pPr>
        <w:ind w:right="520" w:firstLine="318"/>
        <w:spacing w:after="0" w:line="274"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57"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58" w:lineRule="exact"/>
        <w:rPr>
          <w:rFonts w:ascii="Arial" w:cs="Arial" w:eastAsia="Arial" w:hAnsi="Arial"/>
          <w:sz w:val="18"/>
          <w:szCs w:val="18"/>
          <w:color w:val="auto"/>
        </w:rPr>
      </w:pPr>
    </w:p>
    <w:p>
      <w:pPr>
        <w:ind w:left="640" w:right="660" w:hanging="316"/>
        <w:spacing w:after="0" w:line="27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140" w:type="dxa"/>
            <w:vAlign w:val="bottom"/>
          </w:tcPr>
          <w:p>
            <w:pPr>
              <w:jc w:val="right"/>
              <w:ind w:right="353"/>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line="205"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Yankee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214,419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48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140" w:type="dxa"/>
            <w:vAlign w:val="bottom"/>
          </w:tcPr>
          <w:p>
            <w:pPr>
              <w:jc w:val="right"/>
              <w:ind w:right="353"/>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line="205"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3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Yankee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Other Investments</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Our investments in privately held securities were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6,702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and other securities</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7,702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investments are classified as Level 3 as they do not have readily determinable market values.</w:t>
      </w:r>
    </w:p>
    <w:p>
      <w:pPr>
        <w:spacing w:after="0" w:line="217" w:lineRule="exact"/>
        <w:rPr>
          <w:sz w:val="20"/>
          <w:szCs w:val="20"/>
          <w:color w:val="auto"/>
        </w:rPr>
      </w:pPr>
    </w:p>
    <w:p>
      <w:pPr>
        <w:ind w:right="380" w:firstLine="318"/>
        <w:spacing w:after="0" w:line="274" w:lineRule="auto"/>
        <w:rPr>
          <w:sz w:val="20"/>
          <w:szCs w:val="20"/>
          <w:color w:val="auto"/>
        </w:rPr>
      </w:pPr>
      <w:r>
        <w:rPr>
          <w:rFonts w:ascii="Arial" w:cs="Arial" w:eastAsia="Arial" w:hAnsi="Arial"/>
          <w:sz w:val="18"/>
          <w:szCs w:val="18"/>
          <w:color w:val="auto"/>
        </w:rPr>
        <w:t>We received $0.9 million and $ 3.5 million in proceeds from one of our SAFE investments in 2025 and 2024, respectively. Additionally in 2024, we recognized a $1.5 million gain on the conversion of our SAFE investment to an investment in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have any liabilities measured and recorded at fair value on a recurring basis at December 31, 2025 and 2024.</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 Property and Equipment, Net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0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2024</w:t>
            </w: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21,051</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39,944</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24,524</w:t>
            </w:r>
          </w:p>
        </w:tc>
      </w:tr>
      <w:tr>
        <w:trPr>
          <w:trHeight w:val="218"/>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90,659</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(51,394)</w:t>
            </w:r>
          </w:p>
        </w:tc>
      </w:tr>
      <w:tr>
        <w:trPr>
          <w:trHeight w:val="243"/>
        </w:trPr>
        <w:tc>
          <w:tcPr>
            <w:tcW w:w="8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right="40" w:firstLine="318"/>
        <w:spacing w:after="0" w:line="274" w:lineRule="auto"/>
        <w:rPr>
          <w:sz w:val="20"/>
          <w:szCs w:val="20"/>
          <w:color w:val="auto"/>
        </w:rPr>
      </w:pPr>
      <w:r>
        <w:rPr>
          <w:rFonts w:ascii="Arial" w:cs="Arial" w:eastAsia="Arial" w:hAnsi="Arial"/>
          <w:sz w:val="18"/>
          <w:szCs w:val="18"/>
          <w:color w:val="auto"/>
        </w:rPr>
        <w:t>Depreciation and amortization related to property and equipment was $16.0 million, $13.7 million and $13.2 million in 2025, 2024 and 2023, respectively.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In 2024, we recorded a $4.5 million impairment for furniture and fixtures and leasehold improvements. See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for additional information.</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6. Acquisitions, Goodwill and Intangible Assets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Acquisitions</w:t>
      </w:r>
    </w:p>
    <w:p>
      <w:pPr>
        <w:spacing w:after="0" w:line="217"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In June 2025, we acquired Apex Security, Inc. ("Apex"), an innovator in securing the rapidly expanding AI attack surface. This acquisition is expected to strengthen our ability to help organizations identify and reduce cyber risk, adding the ability to govern usage, enforce policy, and control exposure across both the AI that organizations use and the AI they build. We acquired 100% of Apex's equity through a share purchase agreement for total consideration of $47.8 million, including $47.7 million in cash, net of $2.0 million cash acquired, and $0.1 million fair value of replacement equity.</w:t>
      </w:r>
    </w:p>
    <w:p>
      <w:pPr>
        <w:spacing w:after="0" w:line="181"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In February 2025, we acquired Vulcan Cyber Ltd. ("Vulcan"), an innovator in cyber risk management. This acquisition is expected to add enhanced visibility, extended third-party data flows, risk prioritization and optimized remediation to strengthen our Tenable One Exposure Management platform. We acquired 100% of Vulcan's equity through a share purchase agreement for total cash consideration of $148.5 million, net of $2.3 million cash acquired.</w:t>
      </w:r>
    </w:p>
    <w:p>
      <w:pPr>
        <w:spacing w:after="0" w:line="180"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color w:val="auto"/>
        </w:rPr>
        <w:t>In June 2024, we acquired Eureka Security, Inc. ("Eureka"), a provider of data security posture management ("DSPM") for cloud environments. Adding Eureka's DSPM capabilities to our solutions provides customers a view into their organization's cloud data security footprint, fight policy drift and misconfigurations that put data at risk, and enables customers to continuously improve their security posture over time. We acquired 100% of Eureka's equity through a share purchase agreement for total cash consideration of $29.2 million, net of $0.4 million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consideration, net of cash acquired, was allocated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Apex</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Vulcan</w:t>
            </w:r>
          </w:p>
        </w:tc>
        <w:tc>
          <w:tcPr>
            <w:tcW w:w="28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6"/>
                <w:szCs w:val="16"/>
                <w:b w:val="1"/>
                <w:bCs w:val="1"/>
                <w:color w:val="auto"/>
              </w:rPr>
              <w:t>Eureka</w:t>
            </w:r>
          </w:p>
        </w:tc>
      </w:tr>
      <w:tr>
        <w:trPr>
          <w:trHeight w:val="218"/>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22,753</w:t>
            </w:r>
          </w:p>
        </w:tc>
      </w:tr>
      <w:tr>
        <w:trPr>
          <w:trHeight w:val="22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18"/>
        </w:trPr>
        <w:tc>
          <w:tcPr>
            <w:tcW w:w="6840" w:type="dxa"/>
            <w:vAlign w:val="bottom"/>
          </w:tcPr>
          <w:p>
            <w:pPr>
              <w:ind w:left="220"/>
              <w:spacing w:after="0"/>
              <w:rPr>
                <w:sz w:val="20"/>
                <w:szCs w:val="20"/>
                <w:color w:val="auto"/>
              </w:rPr>
            </w:pPr>
            <w:r>
              <w:rPr>
                <w:rFonts w:ascii="Arial" w:cs="Arial" w:eastAsia="Arial" w:hAnsi="Arial"/>
                <w:sz w:val="18"/>
                <w:szCs w:val="18"/>
                <w:color w:val="auto"/>
              </w:rPr>
              <w:t>Total purchase price allocation</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29,204</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620" w:firstLine="318"/>
        <w:spacing w:after="0" w:line="274" w:lineRule="auto"/>
        <w:rPr>
          <w:sz w:val="20"/>
          <w:szCs w:val="20"/>
          <w:color w:val="auto"/>
        </w:rPr>
      </w:pPr>
      <w:r>
        <w:rPr>
          <w:rFonts w:ascii="Arial" w:cs="Arial" w:eastAsia="Arial" w:hAnsi="Arial"/>
          <w:sz w:val="18"/>
          <w:szCs w:val="18"/>
          <w:color w:val="auto"/>
        </w:rPr>
        <w:t>Intangible assets acquired during the year ended December 31, 2025 included Apex's proprietary technology for $6.8 million with an estimated useful life of 5 years and Vulcan's proprietary technology for $40.0 million with an estimated useful life of 7 years.</w:t>
      </w:r>
    </w:p>
    <w:p>
      <w:pPr>
        <w:spacing w:after="0" w:line="163" w:lineRule="exact"/>
        <w:rPr>
          <w:sz w:val="20"/>
          <w:szCs w:val="20"/>
          <w:color w:val="auto"/>
        </w:rPr>
      </w:pPr>
    </w:p>
    <w:p>
      <w:pPr>
        <w:ind w:right="460" w:firstLine="318"/>
        <w:spacing w:after="0" w:line="274" w:lineRule="auto"/>
        <w:rPr>
          <w:sz w:val="20"/>
          <w:szCs w:val="20"/>
          <w:color w:val="auto"/>
        </w:rPr>
      </w:pPr>
      <w:r>
        <w:rPr>
          <w:rFonts w:ascii="Arial" w:cs="Arial" w:eastAsia="Arial" w:hAnsi="Arial"/>
          <w:sz w:val="18"/>
          <w:szCs w:val="18"/>
          <w:color w:val="auto"/>
        </w:rPr>
        <w:t>Intangible assets acquired during the year ended December 31, 2024 included Eureka's proprietary technology for $6.9 million with an estimated useful life of 5 years.</w:t>
      </w:r>
    </w:p>
    <w:p>
      <w:pPr>
        <w:spacing w:after="0" w:line="163" w:lineRule="exact"/>
        <w:rPr>
          <w:sz w:val="20"/>
          <w:szCs w:val="20"/>
          <w:color w:val="auto"/>
        </w:rPr>
      </w:pPr>
    </w:p>
    <w:p>
      <w:pPr>
        <w:ind w:right="680" w:firstLine="318"/>
        <w:spacing w:after="0" w:line="260" w:lineRule="auto"/>
        <w:rPr>
          <w:sz w:val="20"/>
          <w:szCs w:val="20"/>
          <w:color w:val="auto"/>
        </w:rPr>
      </w:pPr>
      <w:r>
        <w:rPr>
          <w:rFonts w:ascii="Arial" w:cs="Arial" w:eastAsia="Arial" w:hAnsi="Arial"/>
          <w:sz w:val="18"/>
          <w:szCs w:val="18"/>
          <w:color w:val="auto"/>
        </w:rPr>
        <w:t>The results of operations of Apex, Vulcan and Eureka are included in our consolidated statements of operations from the applicable acquisition dates and were not material. Pro forma results of operations are not presented as they are not material to the consolidated statements of operations.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Acquisition-related expenses are included in our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center"/>
              <w:ind w:left="675"/>
              <w:spacing w:after="0"/>
              <w:rPr>
                <w:sz w:val="20"/>
                <w:szCs w:val="20"/>
                <w:color w:val="auto"/>
              </w:rPr>
            </w:pPr>
            <w:r>
              <w:rPr>
                <w:rFonts w:ascii="Arial" w:cs="Arial" w:eastAsia="Arial" w:hAnsi="Arial"/>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8"/>
        </w:trPr>
        <w:tc>
          <w:tcPr>
            <w:tcW w:w="6720" w:type="dxa"/>
            <w:vAlign w:val="bottom"/>
          </w:tcPr>
          <w:p>
            <w:pPr>
              <w:ind w:left="20"/>
              <w:spacing w:after="0"/>
              <w:rPr>
                <w:sz w:val="20"/>
                <w:szCs w:val="20"/>
                <w:color w:val="auto"/>
              </w:rPr>
            </w:pPr>
            <w:r>
              <w:rPr>
                <w:rFonts w:ascii="Arial" w:cs="Arial" w:eastAsia="Arial" w:hAnsi="Arial"/>
                <w:sz w:val="18"/>
                <w:szCs w:val="18"/>
                <w:color w:val="auto"/>
              </w:rPr>
              <w:t>Total acquisition-related expenses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1,932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Goodwill and Acquired Intangible Assets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20" w:type="dxa"/>
            <w:vAlign w:val="bottom"/>
          </w:tcPr>
          <w:p>
            <w:pPr>
              <w:ind w:left="320"/>
              <w:spacing w:after="0"/>
              <w:rPr>
                <w:sz w:val="20"/>
                <w:szCs w:val="20"/>
                <w:color w:val="auto"/>
              </w:rPr>
            </w:pPr>
            <w:r>
              <w:rPr>
                <w:rFonts w:ascii="Arial" w:cs="Arial" w:eastAsia="Arial" w:hAnsi="Arial"/>
                <w:sz w:val="18"/>
                <w:szCs w:val="18"/>
                <w:color w:val="auto"/>
              </w:rPr>
              <w:t>The changes in the carrying amount of goodwill are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541,292</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Acquired goodwill</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156,594</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marketing and selling these new capabilities from Apex, Vulcan and Eureka to our customers. Acquired goodwill is generally not tax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2025</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2024</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2"/>
        </w:trPr>
        <w:tc>
          <w:tcPr>
            <w:tcW w:w="2360" w:type="dxa"/>
            <w:vAlign w:val="bottom"/>
          </w:tcPr>
          <w:p>
            <w:pPr>
              <w:spacing w:after="0"/>
              <w:rPr>
                <w:sz w:val="13"/>
                <w:szCs w:val="13"/>
                <w:color w:val="auto"/>
              </w:rPr>
            </w:pPr>
          </w:p>
        </w:tc>
        <w:tc>
          <w:tcPr>
            <w:tcW w:w="1360" w:type="dxa"/>
            <w:vAlign w:val="bottom"/>
            <w:gridSpan w:val="2"/>
          </w:tcPr>
          <w:p>
            <w:pPr>
              <w:jc w:val="right"/>
              <w:ind w:right="14"/>
              <w:spacing w:after="0" w:line="152"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center"/>
              <w:ind w:right="95"/>
              <w:spacing w:after="0" w:line="152" w:lineRule="exact"/>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3"/>
                <w:szCs w:val="13"/>
                <w:color w:val="auto"/>
              </w:rPr>
            </w:pPr>
          </w:p>
        </w:tc>
        <w:tc>
          <w:tcPr>
            <w:tcW w:w="1380" w:type="dxa"/>
            <w:vAlign w:val="bottom"/>
            <w:gridSpan w:val="2"/>
          </w:tcPr>
          <w:p>
            <w:pPr>
              <w:jc w:val="right"/>
              <w:ind w:right="34"/>
              <w:spacing w:after="0" w:line="152"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right"/>
              <w:ind w:right="135"/>
              <w:spacing w:after="0" w:line="152" w:lineRule="exact"/>
              <w:rPr>
                <w:sz w:val="20"/>
                <w:szCs w:val="20"/>
                <w:color w:val="auto"/>
              </w:rPr>
            </w:pPr>
            <w:r>
              <w:rPr>
                <w:rFonts w:ascii="Arial" w:cs="Arial" w:eastAsia="Arial" w:hAnsi="Arial"/>
                <w:sz w:val="16"/>
                <w:szCs w:val="16"/>
                <w:b w:val="1"/>
                <w:bCs w:val="1"/>
                <w:color w:val="auto"/>
              </w:rPr>
              <w:t>Net Carrying</w:t>
            </w:r>
          </w:p>
        </w:tc>
      </w:tr>
      <w:tr>
        <w:trPr>
          <w:trHeight w:val="212"/>
        </w:trPr>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Amortization</w:t>
            </w:r>
          </w:p>
        </w:tc>
        <w:tc>
          <w:tcPr>
            <w:tcW w:w="16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6"/>
                <w:szCs w:val="16"/>
                <w:b w:val="1"/>
                <w:bCs w:val="1"/>
                <w:color w:val="auto"/>
              </w:rPr>
              <w:t>Amount</w:t>
            </w:r>
          </w:p>
        </w:tc>
      </w:tr>
      <w:tr>
        <w:trPr>
          <w:trHeight w:val="219"/>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r>
      <w:tr>
        <w:trPr>
          <w:trHeight w:val="225"/>
        </w:trPr>
        <w:tc>
          <w:tcPr>
            <w:tcW w:w="23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3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440" w:firstLine="318"/>
        <w:spacing w:after="0" w:line="304" w:lineRule="auto"/>
        <w:rPr>
          <w:sz w:val="20"/>
          <w:szCs w:val="20"/>
          <w:color w:val="auto"/>
        </w:rPr>
      </w:pPr>
      <w:r>
        <w:rPr>
          <w:rFonts w:ascii="Arial" w:cs="Arial" w:eastAsia="Arial" w:hAnsi="Arial"/>
          <w:sz w:val="17"/>
          <w:szCs w:val="17"/>
          <w:color w:val="auto"/>
        </w:rPr>
        <w:t>Amortization of acquired intangible assets was $26.0 million, $19.5 million and $13.9 million in 2025, 2024 and 2023, respectively. At December 31, 2025, our acquired intangible assets are expected to be amortized over an estimated weighted average period of 4.9 years.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2025, estimated future amortization of intangible assets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7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2026</w:t>
            </w: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26,945</w:t>
            </w:r>
          </w:p>
        </w:tc>
      </w:tr>
      <w:tr>
        <w:trPr>
          <w:trHeight w:val="225"/>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2027</w:t>
            </w:r>
          </w:p>
        </w:tc>
        <w:tc>
          <w:tcPr>
            <w:tcW w:w="7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24,915</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2028</w:t>
            </w:r>
          </w:p>
        </w:tc>
        <w:tc>
          <w:tcPr>
            <w:tcW w:w="7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21,872</w:t>
            </w:r>
          </w:p>
        </w:tc>
      </w:tr>
      <w:tr>
        <w:trPr>
          <w:trHeight w:val="225"/>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2029</w:t>
            </w:r>
          </w:p>
        </w:tc>
        <w:tc>
          <w:tcPr>
            <w:tcW w:w="7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2030</w:t>
            </w:r>
          </w:p>
        </w:tc>
        <w:tc>
          <w:tcPr>
            <w:tcW w:w="7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14,522</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w:t>
            </w:r>
          </w:p>
        </w:tc>
      </w:tr>
      <w:tr>
        <w:trPr>
          <w:trHeight w:val="218"/>
        </w:trPr>
        <w:tc>
          <w:tcPr>
            <w:tcW w:w="9140" w:type="dxa"/>
            <w:vAlign w:val="bottom"/>
          </w:tcPr>
          <w:p>
            <w:pPr>
              <w:jc w:val="right"/>
              <w:ind w:right="8453"/>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115,296</w:t>
            </w:r>
          </w:p>
        </w:tc>
      </w:tr>
      <w:tr>
        <w:trPr>
          <w:trHeight w:val="20"/>
        </w:trPr>
        <w:tc>
          <w:tcPr>
            <w:tcW w:w="9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7. Leases</w:t>
      </w:r>
    </w:p>
    <w:p>
      <w:pPr>
        <w:spacing w:after="0" w:line="219" w:lineRule="exact"/>
        <w:rPr>
          <w:sz w:val="20"/>
          <w:szCs w:val="20"/>
          <w:color w:val="auto"/>
        </w:rPr>
      </w:pPr>
    </w:p>
    <w:p>
      <w:pPr>
        <w:ind w:right="120" w:firstLine="318"/>
        <w:spacing w:after="0" w:line="260" w:lineRule="auto"/>
        <w:rPr>
          <w:sz w:val="20"/>
          <w:szCs w:val="20"/>
          <w:color w:val="auto"/>
        </w:rPr>
      </w:pPr>
      <w:r>
        <w:rPr>
          <w:rFonts w:ascii="Arial" w:cs="Arial" w:eastAsia="Arial" w:hAnsi="Arial"/>
          <w:sz w:val="18"/>
          <w:szCs w:val="18"/>
          <w:color w:val="auto"/>
        </w:rPr>
        <w:t>We have operating leases for office facilities. Our leases have remaining terms of under one year to just over six years, some of which include one or more options to renew, with renewal terms up to five years and one of which includes an option to terminate the lease within the next five years.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expense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6"/>
                <w:szCs w:val="16"/>
                <w:b w:val="1"/>
                <w:bCs w:val="1"/>
                <w:color w:val="auto"/>
                <w:w w:val="98"/>
              </w:rPr>
              <w:t>Year Ended December 31,</w:t>
            </w:r>
          </w:p>
        </w:tc>
        <w:tc>
          <w:tcPr>
            <w:tcW w:w="1080" w:type="dxa"/>
            <w:vAlign w:val="bottom"/>
            <w:tcBorders>
              <w:bottom w:val="single" w:sz="8" w:color="auto"/>
            </w:tcBorders>
          </w:tcPr>
          <w:p>
            <w:pPr>
              <w:spacing w:after="0"/>
              <w:rPr>
                <w:sz w:val="18"/>
                <w:szCs w:val="18"/>
                <w:color w:val="auto"/>
              </w:rPr>
            </w:pPr>
          </w:p>
        </w:tc>
      </w:tr>
      <w:tr>
        <w:trPr>
          <w:trHeight w:val="20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2023</w:t>
            </w:r>
          </w:p>
        </w:tc>
      </w:tr>
      <w:tr>
        <w:trPr>
          <w:trHeight w:val="243"/>
        </w:trPr>
        <w:tc>
          <w:tcPr>
            <w:tcW w:w="6760" w:type="dxa"/>
            <w:vAlign w:val="bottom"/>
            <w:tcBorders>
              <w:bottom w:val="single" w:sz="8" w:color="CCEEFF"/>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2"/>
                <w:szCs w:val="22"/>
                <w:color w:val="auto"/>
                <w:vertAlign w:val="superscript"/>
              </w:rPr>
              <w:t>(1)</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9,865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66" w:lineRule="exact"/>
        <w:rPr>
          <w:sz w:val="20"/>
          <w:szCs w:val="20"/>
          <w:color w:val="auto"/>
        </w:rPr>
      </w:pPr>
    </w:p>
    <w:p>
      <w:pPr>
        <w:ind w:left="300" w:hanging="294"/>
        <w:spacing w:after="0"/>
        <w:tabs>
          <w:tab w:leader="none" w:pos="30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Excludes sublease income.</w:t>
      </w:r>
    </w:p>
    <w:p>
      <w:pPr>
        <w:spacing w:after="0" w:line="185"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In June 2024, we executed a sublease of a portion of our corporate headquarters through February 2032 and recognized $4.5 million of restructuring expense related to the associated impairment of leasehold improvements and furniture and fixtures.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Sublease income, which is recorded as a reduction of rent expense, was $1.6 million and $0.8 million in 2025 and 2024, respectively.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for short-term leases was not material in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833"/>
              <w:spacing w:after="0"/>
              <w:rPr>
                <w:sz w:val="20"/>
                <w:szCs w:val="20"/>
                <w:color w:val="auto"/>
              </w:rPr>
            </w:pPr>
            <w:r>
              <w:rPr>
                <w:rFonts w:ascii="Arial" w:cs="Arial" w:eastAsia="Arial" w:hAnsi="Arial"/>
                <w:sz w:val="16"/>
                <w:szCs w:val="16"/>
                <w:b w:val="1"/>
                <w:bCs w:val="1"/>
                <w:color w:val="auto"/>
              </w:rPr>
              <w:t>December 31,</w:t>
            </w:r>
          </w:p>
        </w:tc>
      </w:tr>
      <w:tr>
        <w:trPr>
          <w:trHeight w:val="205"/>
        </w:trPr>
        <w:tc>
          <w:tcPr>
            <w:tcW w:w="67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5"/>
        </w:trPr>
        <w:tc>
          <w:tcPr>
            <w:tcW w:w="676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5.7 years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6.5 years</w:t>
            </w:r>
          </w:p>
        </w:tc>
      </w:tr>
      <w:tr>
        <w:trPr>
          <w:trHeight w:val="225"/>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6.1%</w:t>
            </w:r>
          </w:p>
        </w:tc>
      </w:tr>
      <w:tr>
        <w:trPr>
          <w:trHeight w:val="530"/>
        </w:trPr>
        <w:tc>
          <w:tcPr>
            <w:tcW w:w="67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9"/>
          </w:tcPr>
          <w:p>
            <w:pPr>
              <w:jc w:val="center"/>
              <w:ind w:left="156"/>
              <w:spacing w:after="0"/>
              <w:rPr>
                <w:sz w:val="20"/>
                <w:szCs w:val="20"/>
                <w:color w:val="auto"/>
              </w:rPr>
            </w:pPr>
            <w:r>
              <w:rPr>
                <w:rFonts w:ascii="Arial" w:cs="Arial" w:eastAsia="Arial" w:hAnsi="Arial"/>
                <w:sz w:val="16"/>
                <w:szCs w:val="16"/>
                <w:b w:val="1"/>
                <w:bCs w:val="1"/>
                <w:color w:val="auto"/>
                <w:w w:val="98"/>
              </w:rPr>
              <w:t>Year Ended December 31,</w:t>
            </w:r>
          </w:p>
        </w:tc>
        <w:tc>
          <w:tcPr>
            <w:tcW w:w="1160" w:type="dxa"/>
            <w:vAlign w:val="bottom"/>
            <w:tcBorders>
              <w:bottom w:val="single" w:sz="8" w:color="auto"/>
            </w:tcBorders>
          </w:tcPr>
          <w:p>
            <w:pPr>
              <w:spacing w:after="0"/>
              <w:rPr>
                <w:sz w:val="24"/>
                <w:szCs w:val="24"/>
                <w:color w:val="auto"/>
              </w:rPr>
            </w:pPr>
          </w:p>
        </w:tc>
      </w:tr>
      <w:tr>
        <w:trPr>
          <w:trHeight w:val="205"/>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2023</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2"/>
        </w:trPr>
        <w:tc>
          <w:tcPr>
            <w:tcW w:w="67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1,832</w:t>
            </w:r>
          </w:p>
        </w:tc>
        <w:tc>
          <w:tcPr>
            <w:tcW w:w="10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10,143</w:t>
            </w:r>
          </w:p>
        </w:tc>
        <w:tc>
          <w:tcPr>
            <w:tcW w:w="40" w:type="dxa"/>
            <w:vAlign w:val="bottom"/>
          </w:tcPr>
          <w:p>
            <w:pPr>
              <w:spacing w:after="0"/>
              <w:rPr>
                <w:sz w:val="20"/>
                <w:szCs w:val="20"/>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513"/>
        </w:trPr>
        <w:tc>
          <w:tcPr>
            <w:tcW w:w="6760" w:type="dxa"/>
            <w:vAlign w:val="bottom"/>
          </w:tcPr>
          <w:p>
            <w:pPr>
              <w:ind w:left="320"/>
              <w:spacing w:after="0"/>
              <w:rPr>
                <w:sz w:val="20"/>
                <w:szCs w:val="20"/>
                <w:color w:val="auto"/>
              </w:rPr>
            </w:pPr>
            <w:r>
              <w:rPr>
                <w:rFonts w:ascii="Arial" w:cs="Arial" w:eastAsia="Arial" w:hAnsi="Arial"/>
                <w:sz w:val="18"/>
                <w:szCs w:val="18"/>
                <w:color w:val="auto"/>
              </w:rPr>
              <w:t>Maturities of operating lease liabilities at December 31, 2025 were as follows: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8"/>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760" w:type="dxa"/>
            <w:vAlign w:val="bottom"/>
          </w:tcPr>
          <w:p>
            <w:pPr>
              <w:ind w:left="180"/>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13,006</w:t>
            </w:r>
          </w:p>
        </w:tc>
      </w:tr>
      <w:tr>
        <w:trPr>
          <w:trHeight w:val="225"/>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2027</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w:t>
            </w:r>
          </w:p>
        </w:tc>
      </w:tr>
      <w:tr>
        <w:trPr>
          <w:trHeight w:val="225"/>
        </w:trPr>
        <w:tc>
          <w:tcPr>
            <w:tcW w:w="6760" w:type="dxa"/>
            <w:vAlign w:val="bottom"/>
          </w:tcPr>
          <w:p>
            <w:pPr>
              <w:ind w:left="180"/>
              <w:spacing w:after="0"/>
              <w:rPr>
                <w:sz w:val="20"/>
                <w:szCs w:val="20"/>
                <w:color w:val="auto"/>
              </w:rPr>
            </w:pPr>
            <w:r>
              <w:rPr>
                <w:rFonts w:ascii="Arial" w:cs="Arial" w:eastAsia="Arial" w:hAnsi="Arial"/>
                <w:sz w:val="18"/>
                <w:szCs w:val="18"/>
                <w:color w:val="auto"/>
              </w:rPr>
              <w:t>2028</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11,667</w:t>
            </w:r>
          </w:p>
        </w:tc>
      </w:tr>
      <w:tr>
        <w:trPr>
          <w:trHeight w:val="225"/>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2029</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r>
      <w:tr>
        <w:trPr>
          <w:trHeight w:val="225"/>
        </w:trPr>
        <w:tc>
          <w:tcPr>
            <w:tcW w:w="6760" w:type="dxa"/>
            <w:vAlign w:val="bottom"/>
          </w:tcPr>
          <w:p>
            <w:pPr>
              <w:ind w:left="180"/>
              <w:spacing w:after="0"/>
              <w:rPr>
                <w:sz w:val="20"/>
                <w:szCs w:val="20"/>
                <w:color w:val="auto"/>
              </w:rPr>
            </w:pPr>
            <w:r>
              <w:rPr>
                <w:rFonts w:ascii="Arial" w:cs="Arial" w:eastAsia="Arial" w:hAnsi="Arial"/>
                <w:sz w:val="18"/>
                <w:szCs w:val="18"/>
                <w:color w:val="auto"/>
              </w:rPr>
              <w:t>2030</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11,538</w:t>
            </w:r>
          </w:p>
        </w:tc>
      </w:tr>
      <w:tr>
        <w:trPr>
          <w:trHeight w:val="225"/>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r>
      <w:tr>
        <w:trPr>
          <w:trHeight w:val="218"/>
        </w:trPr>
        <w:tc>
          <w:tcPr>
            <w:tcW w:w="676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71,928</w:t>
            </w:r>
          </w:p>
        </w:tc>
      </w:tr>
      <w:tr>
        <w:trPr>
          <w:trHeight w:val="225"/>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w:t>
            </w:r>
          </w:p>
        </w:tc>
      </w:tr>
      <w:tr>
        <w:trPr>
          <w:trHeight w:val="219"/>
        </w:trPr>
        <w:tc>
          <w:tcPr>
            <w:tcW w:w="676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60,473</w:t>
            </w:r>
          </w:p>
        </w:tc>
      </w:tr>
      <w:tr>
        <w:trPr>
          <w:trHeight w:val="20"/>
        </w:trPr>
        <w:tc>
          <w:tcPr>
            <w:tcW w:w="6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Operating lease payments in the table above do not include $1.7 million, $1.8 million, $1.9 million, $1.9 million, $2.0 million and $2.5 million of sublease payments we expect to receive in 2026, 2027, 2028, 2029, 2030 and thereafter, respectively.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January 2026, we entered into a new lease in Ireland with a ten year term and expected future lease payments of $12.9 million.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8. Debt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we entered into a credit agreement ("Credit Agreement") which is comprised of:</w:t>
      </w:r>
    </w:p>
    <w:p>
      <w:pPr>
        <w:spacing w:after="0" w:line="58"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$375.0 million senior secured term loan facility ("Term Loan");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$50.0 million senior secured revolving credit facility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carrying value of the Term Loan: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9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Unamortized debt discount and issuance costs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356,707</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 xml:space="preserve">Less: Term loan, net, current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354,209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00" w:hanging="294"/>
        <w:spacing w:after="0" w:line="200" w:lineRule="auto"/>
        <w:tabs>
          <w:tab w:leader="none" w:pos="30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Term loan, net, current is included in other current liabilities on our consolidated balance sheets.</w:t>
      </w:r>
    </w:p>
    <w:p>
      <w:pPr>
        <w:spacing w:after="0" w:line="199"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The Term Loan bears interest at a rate of 2.75% per annum over the Secured Overnight Financing Rate ("SOFR"), subject to a 0.50% floor, plus a credit spread adjustment depending on the interest period. The Term Loan is being amortized at 1% per annum in equal quarterly installments until the final payment of $350.6 million on the July 7, 2028 maturity date.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Term Loan is recorded at its carrying value. At December 31, 2025, the fair value of our Term Loan was approximately $362.7 million.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In the fair value hierarchy, our Term Loan is classified as Level 2 as it is traded in less active markets.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maturities of our Term Loan at December 31, 2025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9820" w:type="dxa"/>
            <w:vAlign w:val="bottom"/>
          </w:tcPr>
          <w:p>
            <w:pPr>
              <w:ind w:left="240"/>
              <w:spacing w:after="0"/>
              <w:rPr>
                <w:sz w:val="20"/>
                <w:szCs w:val="20"/>
                <w:color w:val="auto"/>
              </w:rPr>
            </w:pPr>
            <w:r>
              <w:rPr>
                <w:rFonts w:ascii="Arial" w:cs="Arial" w:eastAsia="Arial" w:hAnsi="Arial"/>
                <w:sz w:val="18"/>
                <w:szCs w:val="18"/>
                <w:color w:val="auto"/>
              </w:rPr>
              <w:t>2026</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2028</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352,500</w:t>
            </w:r>
          </w:p>
        </w:tc>
      </w:tr>
      <w:tr>
        <w:trPr>
          <w:trHeight w:val="243"/>
        </w:trPr>
        <w:tc>
          <w:tcPr>
            <w:tcW w:w="9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00" w:firstLine="318"/>
        <w:spacing w:after="0" w:line="260" w:lineRule="auto"/>
        <w:rPr>
          <w:sz w:val="20"/>
          <w:szCs w:val="20"/>
          <w:color w:val="auto"/>
        </w:rPr>
      </w:pPr>
      <w:r>
        <w:rPr>
          <w:rFonts w:ascii="Arial" w:cs="Arial" w:eastAsia="Arial" w:hAnsi="Arial"/>
          <w:sz w:val="18"/>
          <w:szCs w:val="18"/>
          <w:color w:val="auto"/>
        </w:rPr>
        <w:t>We may be subject to mandatory Term Loan prepayments related to the excess cash flow provisions. These prepayments would only be required if our first lien net leverage ratio (as defined in our Credit Agreement) exceeds 3.5 at the end of each year. At December 31, 2025, our first lien net leverage ratio was 0.84.</w:t>
      </w:r>
    </w:p>
    <w:p>
      <w:pPr>
        <w:spacing w:after="0" w:line="175"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SOFR and matures on July 7, 2026. Additionally, we pay a commitment fee during the term ranging from 0.25% to 0.375% per annum of the average daily undrawn portion of the revolving commitments based on the first lien net leverage ratio. The Revolving Credit Facility contains a $15.0 million letter of credit sublimit.</w:t>
      </w:r>
    </w:p>
    <w:p>
      <w:pPr>
        <w:spacing w:after="0" w:line="180" w:lineRule="exact"/>
        <w:rPr>
          <w:sz w:val="20"/>
          <w:szCs w:val="20"/>
          <w:color w:val="auto"/>
        </w:rPr>
      </w:pPr>
    </w:p>
    <w:p>
      <w:pPr>
        <w:ind w:right="140" w:firstLine="318"/>
        <w:spacing w:after="0" w:line="253" w:lineRule="auto"/>
        <w:rPr>
          <w:sz w:val="20"/>
          <w:szCs w:val="20"/>
          <w:color w:val="auto"/>
        </w:rPr>
      </w:pPr>
      <w:r>
        <w:rPr>
          <w:rFonts w:ascii="Arial" w:cs="Arial" w:eastAsia="Arial" w:hAnsi="Arial"/>
          <w:sz w:val="18"/>
          <w:szCs w:val="18"/>
          <w:color w:val="auto"/>
        </w:rPr>
        <w:t>The Credit Agreement contains certain customary events of default, which include failure to make payments when due, the material inaccuracy of representations or warranties, failure to observe or perform certain covenants, cross-defaults, bankruptcy and insolvency-related events, certain judgments, certain ERISA-related events, failure of any lien created under the Security Documents (as defined in the Credit Agreement) to be valid and perfected (subject to certain exceptions), failure of any material guarantee of the Loan Document Obligations (as defined in the Credit Agreement) to be in full force and effect and a Change of Control (as defined in the Credit Agreement).</w:t>
      </w:r>
    </w:p>
    <w:p>
      <w:pPr>
        <w:spacing w:after="0" w:line="181" w:lineRule="exact"/>
        <w:rPr>
          <w:sz w:val="20"/>
          <w:szCs w:val="20"/>
          <w:color w:val="auto"/>
        </w:rPr>
      </w:pPr>
    </w:p>
    <w:p>
      <w:pPr>
        <w:ind w:right="580" w:firstLine="318"/>
        <w:spacing w:after="0" w:line="304" w:lineRule="auto"/>
        <w:rPr>
          <w:sz w:val="20"/>
          <w:szCs w:val="20"/>
          <w:color w:val="auto"/>
        </w:rPr>
      </w:pPr>
      <w:r>
        <w:rPr>
          <w:rFonts w:ascii="Arial" w:cs="Arial" w:eastAsia="Arial" w:hAnsi="Arial"/>
          <w:sz w:val="17"/>
          <w:szCs w:val="17"/>
          <w:color w:val="auto"/>
        </w:rPr>
        <w:t>The Credit Agreement is guaranteed by the Company, Tenable Public Sector LLC and Accurics, Inc., both indirect subsidiaries of the Company, as guarantors, and is supported by a security interest in substantially all of the assets of Tenable, Inc. and the guarantors.</w:t>
      </w:r>
    </w:p>
    <w:p>
      <w:pPr>
        <w:spacing w:after="0" w:line="141" w:lineRule="exact"/>
        <w:rPr>
          <w:sz w:val="20"/>
          <w:szCs w:val="20"/>
          <w:color w:val="auto"/>
        </w:rPr>
      </w:pPr>
    </w:p>
    <w:p>
      <w:pPr>
        <w:jc w:val="both"/>
        <w:ind w:right="60" w:firstLine="318"/>
        <w:spacing w:after="0" w:line="253" w:lineRule="auto"/>
        <w:rPr>
          <w:sz w:val="20"/>
          <w:szCs w:val="20"/>
          <w:color w:val="auto"/>
        </w:rPr>
      </w:pPr>
      <w:r>
        <w:rPr>
          <w:rFonts w:ascii="Arial" w:cs="Arial" w:eastAsia="Arial" w:hAnsi="Arial"/>
          <w:sz w:val="18"/>
          <w:szCs w:val="18"/>
          <w:color w:val="auto"/>
        </w:rPr>
        <w:t>The Credit Agreement contains certain customary representations and warranties and affirmative and negative covenants, including certain restrictions on incurring additional indebtedness or guaranteeing indebtedness of others, creating liens on properties or assets, making certain investments, loans, advances and guarantees, selling assets, making certain restricted payments and entering into certain sale and leaseback transactions, affiliate transactions, restrictive agreements and asset and stock-based transactions. Additionally, if at least 35%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
        <w:spacing w:after="0"/>
        <w:rPr>
          <w:sz w:val="20"/>
          <w:szCs w:val="20"/>
          <w:color w:val="auto"/>
        </w:rPr>
      </w:pPr>
      <w:r>
        <w:rPr>
          <w:rFonts w:ascii="Arial" w:cs="Arial" w:eastAsia="Arial" w:hAnsi="Arial"/>
          <w:sz w:val="18"/>
          <w:szCs w:val="18"/>
          <w:color w:val="auto"/>
        </w:rPr>
        <w:t>is drawn on the last day of the quarter, the total net leverage ratio cannot be greater than 5.50 to 1.00. At December 31, 2025, we had</w:t>
      </w:r>
    </w:p>
    <w:p>
      <w:pPr>
        <w:spacing w:after="0" w:line="21" w:lineRule="exact"/>
        <w:rPr>
          <w:sz w:val="20"/>
          <w:szCs w:val="20"/>
          <w:color w:val="auto"/>
        </w:rPr>
      </w:pPr>
    </w:p>
    <w:p>
      <w:pPr>
        <w:ind w:left="80" w:right="160"/>
        <w:spacing w:after="0" w:line="256" w:lineRule="auto"/>
        <w:rPr>
          <w:sz w:val="20"/>
          <w:szCs w:val="20"/>
          <w:color w:val="auto"/>
        </w:rPr>
      </w:pPr>
      <w:r>
        <w:rPr>
          <w:rFonts w:ascii="Arial" w:cs="Arial" w:eastAsia="Arial" w:hAnsi="Arial"/>
          <w:sz w:val="18"/>
          <w:szCs w:val="18"/>
          <w:color w:val="auto"/>
        </w:rPr>
        <w:t>$0.2 million of standby letters of credit outstanding under our Revolving Credit Facility related to one of our operating leases. At December 31, 2025, we were in compliance with the covenants under the Credit Agreement.</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9. Commitments and Contingencies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Commitments</w:t>
      </w:r>
    </w:p>
    <w:p>
      <w:pPr>
        <w:spacing w:after="0" w:line="217" w:lineRule="exact"/>
        <w:rPr>
          <w:sz w:val="20"/>
          <w:szCs w:val="20"/>
          <w:color w:val="auto"/>
        </w:rPr>
      </w:pPr>
    </w:p>
    <w:p>
      <w:pPr>
        <w:ind w:left="80" w:right="40" w:firstLine="318"/>
        <w:spacing w:after="0" w:line="260" w:lineRule="auto"/>
        <w:rPr>
          <w:sz w:val="20"/>
          <w:szCs w:val="20"/>
          <w:color w:val="auto"/>
        </w:rPr>
      </w:pPr>
      <w:r>
        <w:rPr>
          <w:rFonts w:ascii="Arial" w:cs="Arial" w:eastAsia="Arial" w:hAnsi="Arial"/>
          <w:sz w:val="18"/>
          <w:szCs w:val="18"/>
          <w:color w:val="auto"/>
        </w:rPr>
        <w:t>In December 2023, we entered into a contract with Microsoft for cloud services from February 2024 through January 2027. Under the terms of the contract we committed to spend €28.5 million. If we do not meet our commitment by the end of the term, we will be required to pay the difference. As of December 31, 2025, we have spent €14.9 million of our commitment.</w:t>
      </w:r>
    </w:p>
    <w:p>
      <w:pPr>
        <w:spacing w:after="0" w:line="175" w:lineRule="exact"/>
        <w:rPr>
          <w:sz w:val="20"/>
          <w:szCs w:val="20"/>
          <w:color w:val="auto"/>
        </w:rPr>
      </w:pPr>
    </w:p>
    <w:p>
      <w:pPr>
        <w:jc w:val="both"/>
        <w:ind w:left="80" w:right="160" w:firstLine="318"/>
        <w:spacing w:after="0" w:line="260" w:lineRule="auto"/>
        <w:rPr>
          <w:sz w:val="20"/>
          <w:szCs w:val="20"/>
          <w:color w:val="auto"/>
        </w:rPr>
      </w:pPr>
      <w:r>
        <w:rPr>
          <w:rFonts w:ascii="Arial" w:cs="Arial" w:eastAsia="Arial" w:hAnsi="Arial"/>
          <w:sz w:val="18"/>
          <w:szCs w:val="18"/>
          <w:color w:val="auto"/>
        </w:rPr>
        <w:t>In July 2024, we entered into a new contract with AWS for cloud services, in which we committed to spend $59.7 million, $77.6 million and $93.0 million in contract years one, two and three, respectively, for a total commitment of $230.3 million from August 2024 to July 2027. As of December 31, 2025, we have met our first year commitment and we have spent $31.3 million of our second year commitment.</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17" w:lineRule="exact"/>
        <w:rPr>
          <w:sz w:val="20"/>
          <w:szCs w:val="20"/>
          <w:color w:val="auto"/>
        </w:rPr>
      </w:pPr>
    </w:p>
    <w:p>
      <w:pPr>
        <w:ind w:left="80" w:right="200" w:firstLine="318"/>
        <w:spacing w:after="0" w:line="274" w:lineRule="auto"/>
        <w:rPr>
          <w:sz w:val="20"/>
          <w:szCs w:val="20"/>
          <w:color w:val="auto"/>
        </w:rPr>
      </w:pPr>
      <w:r>
        <w:rPr>
          <w:rFonts w:ascii="Arial" w:cs="Arial" w:eastAsia="Arial" w:hAnsi="Arial"/>
          <w:sz w:val="18"/>
          <w:szCs w:val="18"/>
          <w:color w:val="auto"/>
        </w:rPr>
        <w:t>At December 31, 2025, we had $5.7 million of standby letters of credit related to our grant agreements with the State of Maryland and our operating leases. Collateral for $5.5 million of our letters of credit was classified as restricted cash in cash and cash equivalents.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10. Stock-Based Compensation</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61,322</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37,225</w:t>
            </w:r>
          </w:p>
        </w:tc>
      </w:tr>
      <w:tr>
        <w:trPr>
          <w:trHeight w:val="225"/>
        </w:trPr>
        <w:tc>
          <w:tcPr>
            <w:tcW w:w="69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35,533</w:t>
            </w:r>
          </w:p>
        </w:tc>
      </w:tr>
      <w:tr>
        <w:trPr>
          <w:trHeight w:val="24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98" w:lineRule="exact"/>
        <w:rPr>
          <w:sz w:val="20"/>
          <w:szCs w:val="20"/>
          <w:color w:val="auto"/>
        </w:rPr>
      </w:pPr>
    </w:p>
    <w:p>
      <w:pPr>
        <w:ind w:left="80" w:firstLine="6"/>
        <w:spacing w:after="0" w:line="223" w:lineRule="auto"/>
        <w:tabs>
          <w:tab w:leader="none" w:pos="383"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Stock-based compensation in 2025 includes $14.6 million of expense related to the accelerated vesting of equity awards for our former Chairman and Chief Executive Officer.</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summary of the unrecognized stock-based compensation expense related to unvested awards at December 31, 2025 is presented below:</w:t>
      </w:r>
    </w:p>
    <w:p>
      <w:pPr>
        <w:spacing w:after="0" w:line="3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Unrecognized Stock-Based</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8"/>
              </w:rPr>
              <w:t>Estimated Weighted</w:t>
            </w:r>
          </w:p>
        </w:tc>
      </w:tr>
      <w:tr>
        <w:trPr>
          <w:trHeight w:val="159"/>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9"/>
              </w:rPr>
              <w:t>Compensation Expense</w:t>
            </w:r>
          </w:p>
        </w:tc>
        <w:tc>
          <w:tcPr>
            <w:tcW w:w="21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Average Period</w:t>
            </w:r>
          </w:p>
        </w:tc>
      </w:tr>
      <w:tr>
        <w:trPr>
          <w:trHeight w:val="212"/>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 thousands)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8"/>
              </w:rPr>
              <w:t>(in years)</w:t>
            </w:r>
          </w:p>
        </w:tc>
      </w:tr>
      <w:tr>
        <w:trPr>
          <w:trHeight w:val="218"/>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("RSUs")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291,736</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Performance stock units ("PSUs")</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2"/>
        </w:trPr>
        <w:tc>
          <w:tcPr>
            <w:tcW w:w="6920" w:type="dxa"/>
            <w:vAlign w:val="bottom"/>
          </w:tcPr>
          <w:p>
            <w:pPr>
              <w:ind w:left="20"/>
              <w:spacing w:after="0"/>
              <w:rPr>
                <w:sz w:val="20"/>
                <w:szCs w:val="20"/>
                <w:color w:val="auto"/>
              </w:rPr>
            </w:pPr>
            <w:r>
              <w:rPr>
                <w:rFonts w:ascii="Arial" w:cs="Arial" w:eastAsia="Arial" w:hAnsi="Arial"/>
                <w:sz w:val="18"/>
                <w:szCs w:val="18"/>
                <w:color w:val="auto"/>
              </w:rPr>
              <w:t>2018 Employee Stock Purchase Plan ("2018 ESPP")</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203200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90" w:name="page91"/>
    <w:bookmarkEnd w:id="90"/>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Restricted Stock, RSUs and PSUs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our restricted stock, RSU and PSU activity is presented below:</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660" w:type="dxa"/>
            <w:vAlign w:val="bottom"/>
            <w:gridSpan w:val="5"/>
          </w:tcPr>
          <w:p>
            <w:pPr>
              <w:ind w:left="620"/>
              <w:spacing w:after="0"/>
              <w:rPr>
                <w:sz w:val="20"/>
                <w:szCs w:val="20"/>
                <w:color w:val="auto"/>
              </w:rPr>
            </w:pPr>
            <w:r>
              <w:rPr>
                <w:rFonts w:ascii="Arial" w:cs="Arial" w:eastAsia="Arial" w:hAnsi="Arial"/>
                <w:sz w:val="16"/>
                <w:szCs w:val="16"/>
                <w:b w:val="1"/>
                <w:bCs w:val="1"/>
                <w:color w:val="auto"/>
              </w:rPr>
              <w:t>Restricted Stock</w:t>
            </w: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RSUs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PSUs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13"/>
              <w:spacing w:after="0" w:line="152" w:lineRule="exact"/>
              <w:rPr>
                <w:sz w:val="20"/>
                <w:szCs w:val="20"/>
                <w:color w:val="auto"/>
              </w:rPr>
            </w:pPr>
            <w:r>
              <w:rPr>
                <w:rFonts w:ascii="Arial" w:cs="Arial" w:eastAsia="Arial" w:hAnsi="Arial"/>
                <w:sz w:val="16"/>
                <w:szCs w:val="16"/>
                <w:b w:val="1"/>
                <w:bCs w:val="1"/>
                <w:color w:val="auto"/>
                <w:w w:val="97"/>
              </w:rPr>
              <w:t>Weighted</w:t>
            </w:r>
          </w:p>
        </w:tc>
        <w:tc>
          <w:tcPr>
            <w:tcW w:w="1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33"/>
              <w:spacing w:after="0" w:line="152" w:lineRule="exact"/>
              <w:rPr>
                <w:sz w:val="20"/>
                <w:szCs w:val="20"/>
                <w:color w:val="auto"/>
              </w:rPr>
            </w:pPr>
            <w:r>
              <w:rPr>
                <w:rFonts w:ascii="Arial" w:cs="Arial" w:eastAsia="Arial" w:hAnsi="Arial"/>
                <w:sz w:val="16"/>
                <w:szCs w:val="16"/>
                <w:b w:val="1"/>
                <w:bCs w:val="1"/>
                <w:color w:val="auto"/>
                <w:w w:val="97"/>
              </w:rPr>
              <w:t>Weighted</w:t>
            </w: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13"/>
              <w:spacing w:after="0" w:line="152"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1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98"/>
              </w:rPr>
              <w:t>Average</w:t>
            </w:r>
          </w:p>
        </w:tc>
        <w:tc>
          <w:tcPr>
            <w:tcW w:w="11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8"/>
              </w:rPr>
              <w:t>Average</w:t>
            </w:r>
          </w:p>
        </w:tc>
        <w:tc>
          <w:tcPr>
            <w:tcW w:w="120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3"/>
              <w:spacing w:after="0" w:line="159"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59"/>
        </w:trPr>
        <w:tc>
          <w:tcPr>
            <w:tcW w:w="32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for per share data)</w:t>
            </w:r>
          </w:p>
        </w:tc>
        <w:tc>
          <w:tcPr>
            <w:tcW w:w="1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160"/>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2"/>
        </w:trPr>
        <w:tc>
          <w:tcPr>
            <w:tcW w:w="3260" w:type="dxa"/>
            <w:vAlign w:val="bottom"/>
            <w:vMerge w:val="continue"/>
          </w:tcPr>
          <w:p>
            <w:pPr>
              <w:spacing w:after="0"/>
              <w:rPr>
                <w:sz w:val="18"/>
                <w:szCs w:val="18"/>
                <w:color w:val="auto"/>
              </w:rPr>
            </w:pPr>
          </w:p>
        </w:tc>
        <w:tc>
          <w:tcPr>
            <w:tcW w:w="1180" w:type="dxa"/>
            <w:vAlign w:val="bottom"/>
          </w:tcPr>
          <w:p>
            <w:pPr>
              <w:jc w:val="right"/>
              <w:ind w:right="133"/>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1180" w:type="dxa"/>
            <w:vAlign w:val="bottom"/>
          </w:tcPr>
          <w:p>
            <w:pPr>
              <w:jc w:val="right"/>
              <w:ind w:right="153"/>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8"/>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Unvested balance at December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line="225"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2"/>
                <w:szCs w:val="22"/>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152"/>
        </w:trPr>
        <w:tc>
          <w:tcPr>
            <w:tcW w:w="3260" w:type="dxa"/>
            <w:vAlign w:val="bottom"/>
          </w:tcPr>
          <w:p>
            <w:pPr>
              <w:ind w:left="60"/>
              <w:spacing w:after="0" w:line="152" w:lineRule="exact"/>
              <w:rPr>
                <w:sz w:val="20"/>
                <w:szCs w:val="20"/>
                <w:color w:val="auto"/>
              </w:rPr>
            </w:pPr>
            <w:r>
              <w:rPr>
                <w:rFonts w:ascii="Arial" w:cs="Arial" w:eastAsia="Arial" w:hAnsi="Arial"/>
                <w:sz w:val="17"/>
                <w:szCs w:val="17"/>
                <w:color w:val="auto"/>
              </w:rPr>
              <w:t>Unvested balance at December 31,</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260" w:type="dxa"/>
            <w:vAlign w:val="bottom"/>
          </w:tcPr>
          <w:p>
            <w:pPr>
              <w:ind w:left="60"/>
              <w:spacing w:after="0"/>
              <w:rPr>
                <w:sz w:val="20"/>
                <w:szCs w:val="20"/>
                <w:color w:val="auto"/>
              </w:rPr>
            </w:pPr>
            <w:r>
              <w:rPr>
                <w:rFonts w:ascii="Arial" w:cs="Arial" w:eastAsia="Arial" w:hAnsi="Arial"/>
                <w:sz w:val="18"/>
                <w:szCs w:val="18"/>
                <w:color w:val="auto"/>
              </w:rPr>
              <w:t>2023</w:t>
            </w: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line="225"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2"/>
                <w:szCs w:val="22"/>
                <w:color w:val="auto"/>
                <w:vertAlign w:val="superscript"/>
              </w:rPr>
              <w:t>(1)</w:t>
            </w:r>
          </w:p>
        </w:tc>
        <w:tc>
          <w:tcPr>
            <w:tcW w:w="1180" w:type="dxa"/>
            <w:vAlign w:val="bottom"/>
          </w:tcPr>
          <w:p>
            <w:pPr>
              <w:jc w:val="center"/>
              <w:ind w:left="75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25"/>
        </w:trPr>
        <w:tc>
          <w:tcPr>
            <w:tcW w:w="3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152"/>
        </w:trPr>
        <w:tc>
          <w:tcPr>
            <w:tcW w:w="3260" w:type="dxa"/>
            <w:vAlign w:val="bottom"/>
            <w:shd w:val="clear" w:color="auto" w:fill="CCEEFF"/>
          </w:tcPr>
          <w:p>
            <w:pPr>
              <w:ind w:left="60"/>
              <w:spacing w:after="0" w:line="152" w:lineRule="exact"/>
              <w:rPr>
                <w:sz w:val="20"/>
                <w:szCs w:val="20"/>
                <w:color w:val="auto"/>
              </w:rPr>
            </w:pPr>
            <w:r>
              <w:rPr>
                <w:rFonts w:ascii="Arial" w:cs="Arial" w:eastAsia="Arial" w:hAnsi="Arial"/>
                <w:sz w:val="17"/>
                <w:szCs w:val="17"/>
                <w:color w:val="auto"/>
              </w:rPr>
              <w:t>Unvested balance at December 31,</w:t>
            </w: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line="225"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2"/>
                <w:szCs w:val="22"/>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5"/>
        </w:trPr>
        <w:tc>
          <w:tcPr>
            <w:tcW w:w="3260" w:type="dxa"/>
            <w:vAlign w:val="bottom"/>
          </w:tcPr>
          <w:p>
            <w:pPr>
              <w:ind w:left="160"/>
              <w:spacing w:after="0" w:line="225" w:lineRule="exact"/>
              <w:rPr>
                <w:sz w:val="20"/>
                <w:szCs w:val="20"/>
                <w:color w:val="auto"/>
              </w:rPr>
            </w:pPr>
            <w:r>
              <w:rPr>
                <w:rFonts w:ascii="Arial" w:cs="Arial" w:eastAsia="Arial" w:hAnsi="Arial"/>
                <w:sz w:val="18"/>
                <w:szCs w:val="18"/>
                <w:color w:val="auto"/>
              </w:rPr>
              <w:t>Vested</w:t>
            </w:r>
            <w:r>
              <w:rPr>
                <w:rFonts w:ascii="Arial" w:cs="Arial" w:eastAsia="Arial" w:hAnsi="Arial"/>
                <w:sz w:val="22"/>
                <w:szCs w:val="22"/>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3260" w:type="dxa"/>
            <w:vAlign w:val="bottom"/>
          </w:tcPr>
          <w:p>
            <w:pPr>
              <w:ind w:left="60"/>
              <w:spacing w:after="0" w:line="152" w:lineRule="exact"/>
              <w:rPr>
                <w:sz w:val="20"/>
                <w:szCs w:val="20"/>
                <w:color w:val="auto"/>
              </w:rPr>
            </w:pPr>
            <w:r>
              <w:rPr>
                <w:rFonts w:ascii="Arial" w:cs="Arial" w:eastAsia="Arial" w:hAnsi="Arial"/>
                <w:sz w:val="17"/>
                <w:szCs w:val="17"/>
                <w:color w:val="auto"/>
              </w:rPr>
              <w:t>Unvested balance at December 31,</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8,994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260" w:type="dxa"/>
            <w:vAlign w:val="bottom"/>
          </w:tcPr>
          <w:p>
            <w:pPr>
              <w:ind w:left="60"/>
              <w:spacing w:after="0"/>
              <w:rPr>
                <w:sz w:val="20"/>
                <w:szCs w:val="20"/>
                <w:color w:val="auto"/>
              </w:rPr>
            </w:pPr>
            <w:r>
              <w:rPr>
                <w:rFonts w:ascii="Arial" w:cs="Arial" w:eastAsia="Arial" w:hAnsi="Arial"/>
                <w:sz w:val="18"/>
                <w:szCs w:val="18"/>
                <w:color w:val="auto"/>
              </w:rPr>
              <w:t>2025</w:t>
            </w:r>
          </w:p>
        </w:tc>
        <w:tc>
          <w:tcPr>
            <w:tcW w:w="11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34.83</w:t>
            </w:r>
          </w:p>
        </w:tc>
        <w:tc>
          <w:tcPr>
            <w:tcW w:w="140" w:type="dxa"/>
            <w:vAlign w:val="bottom"/>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8" w:lineRule="exact"/>
        <w:rPr>
          <w:sz w:val="20"/>
          <w:szCs w:val="20"/>
          <w:color w:val="auto"/>
        </w:rPr>
      </w:pPr>
    </w:p>
    <w:p>
      <w:pPr>
        <w:ind w:left="700" w:hanging="296"/>
        <w:spacing w:after="0"/>
        <w:tabs>
          <w:tab w:leader="none" w:pos="70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Represents adjustments due to the achievement of predefined financial performance targets.</w:t>
      </w:r>
    </w:p>
    <w:p>
      <w:pPr>
        <w:ind w:left="700" w:hanging="296"/>
        <w:spacing w:after="0" w:line="192" w:lineRule="auto"/>
        <w:tabs>
          <w:tab w:leader="none" w:pos="70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Includes 20 RSUs and 5 PSUs repurchased to cover taxes.</w:t>
      </w:r>
    </w:p>
    <w:p>
      <w:pPr>
        <w:spacing w:after="0" w:line="199" w:lineRule="exact"/>
        <w:rPr>
          <w:sz w:val="20"/>
          <w:szCs w:val="20"/>
          <w:color w:val="auto"/>
        </w:rPr>
      </w:pPr>
    </w:p>
    <w:p>
      <w:pPr>
        <w:ind w:left="80" w:right="480" w:firstLine="318"/>
        <w:spacing w:after="0" w:line="274" w:lineRule="auto"/>
        <w:rPr>
          <w:sz w:val="20"/>
          <w:szCs w:val="20"/>
          <w:color w:val="auto"/>
        </w:rPr>
      </w:pPr>
      <w:r>
        <w:rPr>
          <w:rFonts w:ascii="Arial" w:cs="Arial" w:eastAsia="Arial" w:hAnsi="Arial"/>
          <w:sz w:val="18"/>
          <w:szCs w:val="18"/>
          <w:color w:val="auto"/>
        </w:rPr>
        <w:t>In January 2025, under the evergreen provision in our 2018 Equity Incentive Plan we reserved an additional 6.0 million shares of our common stock. At December 31, 2025, there were 26.9 million shares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203200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Weighted-Average</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w:t>
            </w:r>
          </w:p>
        </w:tc>
        <w:tc>
          <w:tcPr>
            <w:tcW w:w="1740" w:type="dxa"/>
            <w:vAlign w:val="bottom"/>
            <w:vMerge w:val="restart"/>
          </w:tcPr>
          <w:p>
            <w:pPr>
              <w:jc w:val="right"/>
              <w:ind w:right="47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8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3"/>
                <w:szCs w:val="13"/>
                <w:color w:val="auto"/>
              </w:rPr>
            </w:pPr>
          </w:p>
        </w:tc>
        <w:tc>
          <w:tcPr>
            <w:tcW w:w="162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w w:val="98"/>
              </w:rPr>
              <w:t>Aggregate Intrinsic</w:t>
            </w:r>
          </w:p>
        </w:tc>
        <w:tc>
          <w:tcPr>
            <w:tcW w:w="0" w:type="dxa"/>
            <w:vAlign w:val="bottom"/>
          </w:tcPr>
          <w:p>
            <w:pPr>
              <w:spacing w:after="0"/>
              <w:rPr>
                <w:sz w:val="1"/>
                <w:szCs w:val="1"/>
                <w:color w:val="auto"/>
              </w:rPr>
            </w:pPr>
          </w:p>
        </w:tc>
      </w:tr>
      <w:tr>
        <w:trPr>
          <w:trHeight w:val="159"/>
        </w:trPr>
        <w:tc>
          <w:tcPr>
            <w:tcW w:w="384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98"/>
              </w:rPr>
              <w:t>Average</w:t>
            </w:r>
          </w:p>
        </w:tc>
        <w:tc>
          <w:tcPr>
            <w:tcW w:w="18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Contractual Term</w:t>
            </w:r>
          </w:p>
        </w:tc>
        <w:tc>
          <w:tcPr>
            <w:tcW w:w="14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years)</w:t>
            </w:r>
          </w:p>
        </w:tc>
        <w:tc>
          <w:tcPr>
            <w:tcW w:w="1740" w:type="dxa"/>
            <w:vAlign w:val="bottom"/>
          </w:tcPr>
          <w:p>
            <w:pPr>
              <w:jc w:val="right"/>
              <w:ind w:right="413"/>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Exercise Price</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(in years)</w:t>
            </w:r>
          </w:p>
        </w:tc>
        <w:tc>
          <w:tcPr>
            <w:tcW w:w="140" w:type="dxa"/>
            <w:vAlign w:val="bottom"/>
          </w:tcPr>
          <w:p>
            <w:pPr>
              <w:spacing w:after="0"/>
              <w:rPr>
                <w:sz w:val="18"/>
                <w:szCs w:val="18"/>
                <w:color w:val="auto"/>
              </w:rPr>
            </w:pPr>
          </w:p>
        </w:tc>
        <w:tc>
          <w:tcPr>
            <w:tcW w:w="1620" w:type="dxa"/>
            <w:vAlign w:val="bottom"/>
          </w:tcPr>
          <w:p>
            <w:pPr>
              <w:jc w:val="right"/>
              <w:ind w:right="59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8"/>
        </w:trPr>
        <w:tc>
          <w:tcPr>
            <w:tcW w:w="3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2022</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160,135</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180"/>
              <w:spacing w:after="0"/>
              <w:rPr>
                <w:sz w:val="20"/>
                <w:szCs w:val="20"/>
                <w:color w:val="auto"/>
              </w:rPr>
            </w:pPr>
            <w:r>
              <w:rPr>
                <w:rFonts w:ascii="Arial" w:cs="Arial" w:eastAsia="Arial" w:hAnsi="Arial"/>
                <w:sz w:val="18"/>
                <w:szCs w:val="18"/>
                <w:color w:val="auto"/>
              </w:rPr>
              <w:t>Outstanding at December 31, 2023</w:t>
            </w:r>
          </w:p>
        </w:tc>
        <w:tc>
          <w:tcPr>
            <w:tcW w:w="174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8.95</w:t>
            </w:r>
          </w:p>
        </w:tc>
        <w:tc>
          <w:tcPr>
            <w:tcW w:w="1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189,108</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38,831</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2024</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122,024</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line="225" w:lineRule="exact"/>
              <w:rPr>
                <w:sz w:val="20"/>
                <w:szCs w:val="20"/>
                <w:color w:val="auto"/>
              </w:rPr>
            </w:pPr>
            <w:r>
              <w:rPr>
                <w:rFonts w:ascii="Arial" w:cs="Arial" w:eastAsia="Arial" w:hAnsi="Arial"/>
                <w:sz w:val="18"/>
                <w:szCs w:val="18"/>
                <w:color w:val="auto"/>
              </w:rPr>
              <w:t>Exercised</w:t>
            </w:r>
            <w:r>
              <w:rPr>
                <w:rFonts w:ascii="Arial" w:cs="Arial" w:eastAsia="Arial" w:hAnsi="Arial"/>
                <w:sz w:val="22"/>
                <w:szCs w:val="22"/>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8"/>
                <w:szCs w:val="18"/>
                <w:color w:val="auto"/>
              </w:rPr>
              <w:t>(2,646)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67,124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840" w:type="dxa"/>
            <w:vAlign w:val="bottom"/>
          </w:tcPr>
          <w:p>
            <w:pPr>
              <w:ind w:left="180"/>
              <w:spacing w:after="0" w:line="152" w:lineRule="exact"/>
              <w:rPr>
                <w:sz w:val="20"/>
                <w:szCs w:val="20"/>
                <w:color w:val="auto"/>
              </w:rPr>
            </w:pPr>
            <w:r>
              <w:rPr>
                <w:rFonts w:ascii="Arial" w:cs="Arial" w:eastAsia="Arial" w:hAnsi="Arial"/>
                <w:sz w:val="17"/>
                <w:szCs w:val="17"/>
                <w:color w:val="auto"/>
              </w:rPr>
              <w:t>Outstanding and exercisable at December 31,</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180"/>
              <w:spacing w:after="0"/>
              <w:rPr>
                <w:sz w:val="20"/>
                <w:szCs w:val="20"/>
                <w:color w:val="auto"/>
              </w:rPr>
            </w:pPr>
            <w:r>
              <w:rPr>
                <w:rFonts w:ascii="Arial" w:cs="Arial" w:eastAsia="Arial" w:hAnsi="Arial"/>
                <w:sz w:val="18"/>
                <w:szCs w:val="18"/>
                <w:color w:val="auto"/>
              </w:rPr>
              <w:t>2025</w:t>
            </w:r>
          </w:p>
        </w:tc>
        <w:tc>
          <w:tcPr>
            <w:tcW w:w="17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15,210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620" w:hanging="296"/>
        <w:spacing w:after="0" w:line="213" w:lineRule="auto"/>
        <w:tabs>
          <w:tab w:leader="none" w:pos="620"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Includes 485 options netted for option costs and 40 shares repurchased to cover taxes.</w:t>
      </w:r>
    </w:p>
    <w:p>
      <w:pPr>
        <w:spacing w:after="0" w:line="186" w:lineRule="exact"/>
        <w:rPr>
          <w:sz w:val="20"/>
          <w:szCs w:val="20"/>
          <w:color w:val="auto"/>
        </w:rPr>
      </w:pPr>
    </w:p>
    <w:p>
      <w:pPr>
        <w:jc w:val="both"/>
        <w:ind w:right="700" w:firstLine="318"/>
        <w:spacing w:after="0" w:line="304" w:lineRule="auto"/>
        <w:rPr>
          <w:sz w:val="20"/>
          <w:szCs w:val="20"/>
          <w:color w:val="auto"/>
        </w:rPr>
      </w:pPr>
      <w:r>
        <w:rPr>
          <w:rFonts w:ascii="Arial" w:cs="Arial" w:eastAsia="Arial" w:hAnsi="Arial"/>
          <w:sz w:val="17"/>
          <w:szCs w:val="17"/>
          <w:color w:val="auto"/>
        </w:rPr>
        <w:t>Stock options were last granted in 2018. Stock options granted under our stock incentive plans have a maximum term of ten years, generally vest over a period of three to four years, and the exercise price cannot be less than the fair market value on the date of grant.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17" w:lineRule="exact"/>
        <w:rPr>
          <w:sz w:val="20"/>
          <w:szCs w:val="20"/>
          <w:color w:val="auto"/>
        </w:rPr>
      </w:pPr>
    </w:p>
    <w:p>
      <w:pPr>
        <w:jc w:val="both"/>
        <w:ind w:right="60" w:firstLine="318"/>
        <w:spacing w:after="0" w:line="266" w:lineRule="auto"/>
        <w:rPr>
          <w:sz w:val="20"/>
          <w:szCs w:val="20"/>
          <w:color w:val="auto"/>
        </w:rPr>
      </w:pPr>
      <w:r>
        <w:rPr>
          <w:rFonts w:ascii="Arial" w:cs="Arial" w:eastAsia="Arial" w:hAnsi="Arial"/>
          <w:sz w:val="17"/>
          <w:szCs w:val="17"/>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w:t>
      </w:r>
    </w:p>
    <w:p>
      <w:pPr>
        <w:spacing w:after="0" w:line="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and purchase periods every six months.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ESPP activity is presented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940" w:type="dxa"/>
            <w:vAlign w:val="bottom"/>
            <w:tcBorders>
              <w:bottom w:val="single" w:sz="8" w:color="auto"/>
            </w:tcBorders>
          </w:tcPr>
          <w:p>
            <w:pPr>
              <w:spacing w:after="0"/>
              <w:rPr>
                <w:sz w:val="18"/>
                <w:szCs w:val="18"/>
                <w:color w:val="auto"/>
              </w:rPr>
            </w:pPr>
          </w:p>
        </w:tc>
      </w:tr>
      <w:tr>
        <w:trPr>
          <w:trHeight w:val="205"/>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(dollars and shares in thousands)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5"/>
              </w:rPr>
              <w:t>2025</w:t>
            </w:r>
          </w:p>
        </w:tc>
        <w:tc>
          <w:tcPr>
            <w:tcW w:w="2040" w:type="dxa"/>
            <w:vAlign w:val="bottom"/>
            <w:gridSpan w:val="2"/>
          </w:tcPr>
          <w:p>
            <w:pPr>
              <w:jc w:val="center"/>
              <w:ind w:left="16"/>
              <w:spacing w:after="0"/>
              <w:rPr>
                <w:sz w:val="20"/>
                <w:szCs w:val="20"/>
                <w:color w:val="auto"/>
              </w:rPr>
            </w:pPr>
            <w:r>
              <w:rPr>
                <w:rFonts w:ascii="Arial" w:cs="Arial" w:eastAsia="Arial" w:hAnsi="Arial"/>
                <w:sz w:val="16"/>
                <w:szCs w:val="16"/>
                <w:b w:val="1"/>
                <w:bCs w:val="1"/>
                <w:color w:val="auto"/>
                <w:w w:val="95"/>
              </w:rPr>
              <w:t>2024</w:t>
            </w:r>
          </w:p>
        </w:tc>
        <w:tc>
          <w:tcPr>
            <w:tcW w:w="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r>
      <w:tr>
        <w:trPr>
          <w:trHeight w:val="218"/>
        </w:trPr>
        <w:tc>
          <w:tcPr>
            <w:tcW w:w="5240" w:type="dxa"/>
            <w:vAlign w:val="bottom"/>
          </w:tcPr>
          <w:p>
            <w:pPr>
              <w:ind w:left="20"/>
              <w:spacing w:after="0"/>
              <w:rPr>
                <w:sz w:val="20"/>
                <w:szCs w:val="20"/>
                <w:color w:val="auto"/>
              </w:rPr>
            </w:pPr>
            <w:r>
              <w:rPr>
                <w:rFonts w:ascii="Arial" w:cs="Arial" w:eastAsia="Arial" w:hAnsi="Arial"/>
                <w:sz w:val="18"/>
                <w:szCs w:val="18"/>
                <w:color w:val="auto"/>
              </w:rPr>
              <w:t>Shares of common stock purchased</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519.1</w:t>
            </w:r>
          </w:p>
        </w:tc>
        <w:tc>
          <w:tcPr>
            <w:tcW w:w="10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498.9</w:t>
            </w:r>
          </w:p>
        </w:tc>
        <w:tc>
          <w:tcPr>
            <w:tcW w:w="8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506.4</w:t>
            </w: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$29.82</w:t>
            </w:r>
          </w:p>
        </w:tc>
        <w:tc>
          <w:tcPr>
            <w:tcW w:w="204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8"/>
              </w:rPr>
              <w:t>$32.60</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$32.04</w:t>
            </w:r>
          </w:p>
        </w:tc>
      </w:tr>
      <w:tr>
        <w:trPr>
          <w:trHeight w:val="232"/>
        </w:trPr>
        <w:tc>
          <w:tcPr>
            <w:tcW w:w="5240" w:type="dxa"/>
            <w:vAlign w:val="bottom"/>
          </w:tcPr>
          <w:p>
            <w:pPr>
              <w:ind w:left="20"/>
              <w:spacing w:after="0"/>
              <w:rPr>
                <w:sz w:val="20"/>
                <w:szCs w:val="20"/>
                <w:color w:val="auto"/>
              </w:rPr>
            </w:pPr>
            <w:r>
              <w:rPr>
                <w:rFonts w:ascii="Arial" w:cs="Arial" w:eastAsia="Arial" w:hAnsi="Arial"/>
                <w:sz w:val="18"/>
                <w:szCs w:val="18"/>
                <w:color w:val="auto"/>
              </w:rPr>
              <w:t>Cash proceeds</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$15,482</w:t>
            </w: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98"/>
              </w:rPr>
              <w:t>$16,262</w:t>
            </w:r>
          </w:p>
        </w:tc>
        <w:tc>
          <w:tcPr>
            <w:tcW w:w="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$16,224</w:t>
            </w:r>
          </w:p>
        </w:tc>
      </w:tr>
    </w:tbl>
    <w:p>
      <w:pPr>
        <w:spacing w:after="0" w:line="281" w:lineRule="exact"/>
        <w:rPr>
          <w:sz w:val="20"/>
          <w:szCs w:val="20"/>
          <w:color w:val="auto"/>
        </w:rPr>
      </w:pPr>
    </w:p>
    <w:p>
      <w:pPr>
        <w:ind w:right="680" w:firstLine="318"/>
        <w:spacing w:after="0" w:line="274" w:lineRule="auto"/>
        <w:rPr>
          <w:sz w:val="20"/>
          <w:szCs w:val="20"/>
          <w:color w:val="auto"/>
        </w:rPr>
      </w:pPr>
      <w:r>
        <w:rPr>
          <w:rFonts w:ascii="Arial" w:cs="Arial" w:eastAsia="Arial" w:hAnsi="Arial"/>
          <w:sz w:val="18"/>
          <w:szCs w:val="18"/>
          <w:color w:val="auto"/>
        </w:rPr>
        <w:t>At December 31, 2025 and 2024 there were $7.1 million and $6.9 million, respectively, of employee contributions to the 2018 ESPP included in accrued compensation.</w:t>
      </w:r>
    </w:p>
    <w:p>
      <w:pPr>
        <w:spacing w:after="0" w:line="163" w:lineRule="exact"/>
        <w:rPr>
          <w:sz w:val="20"/>
          <w:szCs w:val="20"/>
          <w:color w:val="auto"/>
        </w:rPr>
      </w:pPr>
    </w:p>
    <w:p>
      <w:pPr>
        <w:ind w:right="60" w:firstLine="318"/>
        <w:spacing w:after="0" w:line="274" w:lineRule="auto"/>
        <w:rPr>
          <w:sz w:val="20"/>
          <w:szCs w:val="20"/>
          <w:color w:val="auto"/>
        </w:rPr>
      </w:pPr>
      <w:r>
        <w:rPr>
          <w:rFonts w:ascii="Arial" w:cs="Arial" w:eastAsia="Arial" w:hAnsi="Arial"/>
          <w:sz w:val="18"/>
          <w:szCs w:val="18"/>
          <w:color w:val="auto"/>
        </w:rPr>
        <w:t>Estimating the fair value of ESPP purchase rights using the Black-Scholes option-pricing model requires assumptions as to the fair value of common stock, expected term, expected volatility, the risk-free interest rate and the expected dividend yield.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We use the market price of our common stock at the date of grant.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 the actual purchase periods as the expected term in the 2018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40" w:firstLine="318"/>
        <w:spacing w:after="0" w:line="260"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Volatility is a measure of the amount by which a financial variable, such as a share price, has fluctuated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or is expected to fluctuate (expected volatility) during a period. We use the historical volatility of our common stock to estimate expected volatility.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dividends and have no plans to do so in the foreseeable future.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the 2018 ESPP purchase rights was estimated on the offering or modification dates using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Year Ended December 31,</w:t>
            </w:r>
          </w:p>
        </w:tc>
        <w:tc>
          <w:tcPr>
            <w:tcW w:w="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5"/>
        </w:trPr>
        <w:tc>
          <w:tcPr>
            <w:tcW w:w="5240" w:type="dxa"/>
            <w:vAlign w:val="bottom"/>
          </w:tcPr>
          <w:p>
            <w:pPr>
              <w:spacing w:after="0"/>
              <w:rPr>
                <w:sz w:val="17"/>
                <w:szCs w:val="17"/>
                <w:color w:val="auto"/>
              </w:rPr>
            </w:pPr>
          </w:p>
        </w:tc>
        <w:tc>
          <w:tcPr>
            <w:tcW w:w="1940" w:type="dxa"/>
            <w:vAlign w:val="bottom"/>
            <w:gridSpan w:val="2"/>
          </w:tcPr>
          <w:p>
            <w:pPr>
              <w:jc w:val="right"/>
              <w:ind w:right="712"/>
              <w:spacing w:after="0"/>
              <w:rPr>
                <w:sz w:val="20"/>
                <w:szCs w:val="20"/>
                <w:color w:val="auto"/>
              </w:rPr>
            </w:pPr>
            <w:r>
              <w:rPr>
                <w:rFonts w:ascii="Arial" w:cs="Arial" w:eastAsia="Arial" w:hAnsi="Arial"/>
                <w:sz w:val="16"/>
                <w:szCs w:val="16"/>
                <w:b w:val="1"/>
                <w:bCs w:val="1"/>
                <w:color w:val="auto"/>
              </w:rPr>
              <w:t>2025</w:t>
            </w:r>
          </w:p>
        </w:tc>
        <w:tc>
          <w:tcPr>
            <w:tcW w:w="204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1940" w:type="dxa"/>
            <w:vAlign w:val="bottom"/>
            <w:gridSpan w:val="2"/>
          </w:tcPr>
          <w:p>
            <w:pPr>
              <w:jc w:val="right"/>
              <w:ind w:right="692"/>
              <w:spacing w:after="0"/>
              <w:rPr>
                <w:sz w:val="20"/>
                <w:szCs w:val="20"/>
                <w:color w:val="auto"/>
              </w:rPr>
            </w:pPr>
            <w:r>
              <w:rPr>
                <w:rFonts w:ascii="Arial" w:cs="Arial" w:eastAsia="Arial" w:hAnsi="Arial"/>
                <w:sz w:val="16"/>
                <w:szCs w:val="16"/>
                <w:b w:val="1"/>
                <w:bCs w:val="1"/>
                <w:color w:val="auto"/>
              </w:rPr>
              <w:t>2023</w:t>
            </w:r>
          </w:p>
        </w:tc>
      </w:tr>
      <w:tr>
        <w:trPr>
          <w:trHeight w:val="218"/>
        </w:trPr>
        <w:tc>
          <w:tcPr>
            <w:tcW w:w="52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2.0</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2.0</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2.0</w:t>
            </w: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58.1%</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80" w:type="dxa"/>
            <w:vAlign w:val="bottom"/>
          </w:tcPr>
          <w:p>
            <w:pPr>
              <w:ind w:left="20"/>
              <w:spacing w:after="0"/>
              <w:rPr>
                <w:sz w:val="20"/>
                <w:szCs w:val="20"/>
                <w:color w:val="auto"/>
              </w:rPr>
            </w:pPr>
            <w:r>
              <w:rPr>
                <w:rFonts w:ascii="Arial" w:cs="Arial" w:eastAsia="Arial" w:hAnsi="Arial"/>
                <w:sz w:val="18"/>
                <w:szCs w:val="18"/>
                <w:color w:val="auto"/>
              </w:rPr>
              <w:t>— 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 5.1%</w:t>
            </w: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080" w:type="dxa"/>
            <w:vAlign w:val="bottom"/>
          </w:tcPr>
          <w:p>
            <w:pPr>
              <w:ind w:left="20"/>
              <w:spacing w:after="0"/>
              <w:rPr>
                <w:sz w:val="20"/>
                <w:szCs w:val="20"/>
                <w:color w:val="auto"/>
              </w:rPr>
            </w:pPr>
            <w:r>
              <w:rPr>
                <w:rFonts w:ascii="Arial" w:cs="Arial" w:eastAsia="Arial" w:hAnsi="Arial"/>
                <w:sz w:val="18"/>
                <w:szCs w:val="18"/>
                <w:color w:val="auto"/>
              </w:rPr>
              <w:t>— 5.4%</w:t>
            </w: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75" w:lineRule="exact"/>
        <w:rPr>
          <w:sz w:val="20"/>
          <w:szCs w:val="20"/>
          <w:color w:val="auto"/>
        </w:rPr>
      </w:pPr>
    </w:p>
    <w:p>
      <w:pPr>
        <w:jc w:val="both"/>
        <w:ind w:right="320" w:firstLine="318"/>
        <w:spacing w:after="0" w:line="274" w:lineRule="auto"/>
        <w:rPr>
          <w:sz w:val="20"/>
          <w:szCs w:val="20"/>
          <w:color w:val="auto"/>
        </w:rPr>
      </w:pPr>
      <w:r>
        <w:rPr>
          <w:rFonts w:ascii="Arial" w:cs="Arial" w:eastAsia="Arial" w:hAnsi="Arial"/>
          <w:sz w:val="18"/>
          <w:szCs w:val="18"/>
          <w:color w:val="auto"/>
        </w:rPr>
        <w:t>Under the evergreen provision in our 2018 ESPP, in January 2025 we reserved an additional 1.8 million shares of our common stock. At December 31, 2025, there were 11.2 million shares reserved for issuance under the 2018 ESPP.</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11. Income Taxes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 and foreign components of the loss before income taxes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4"/>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income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(41,152)</w:t>
            </w: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loss before income taxes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The components of the provision for income taxes were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34"/>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5"/>
        </w:trPr>
        <w:tc>
          <w:tcPr>
            <w:tcW w:w="6900" w:type="dxa"/>
            <w:vAlign w:val="bottom"/>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740" w:firstLine="318"/>
        <w:spacing w:after="0" w:line="274" w:lineRule="auto"/>
        <w:rPr>
          <w:sz w:val="20"/>
          <w:szCs w:val="20"/>
          <w:color w:val="auto"/>
        </w:rPr>
      </w:pPr>
      <w:r>
        <w:rPr>
          <w:rFonts w:ascii="Arial" w:cs="Arial" w:eastAsia="Arial" w:hAnsi="Arial"/>
          <w:sz w:val="18"/>
          <w:szCs w:val="18"/>
          <w:color w:val="auto"/>
        </w:rPr>
        <w:t>Our provision for income taxes in 2024 included expense of $3.3 million related to Base Erosion and Anti-Abuse Tax, or BEAT, and $1.2 million of expense related to restructuring of our operations in Israel through intercompany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transactions, neither of which were applicable in 2025 or 2023.</w:t>
      </w:r>
    </w:p>
    <w:p>
      <w:pPr>
        <w:spacing w:after="0" w:line="217" w:lineRule="exact"/>
        <w:rPr>
          <w:sz w:val="20"/>
          <w:szCs w:val="20"/>
          <w:color w:val="auto"/>
        </w:rPr>
      </w:pPr>
    </w:p>
    <w:p>
      <w:pPr>
        <w:ind w:right="380" w:firstLine="318"/>
        <w:spacing w:after="0" w:line="270"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after the adoption of ASU 2023-09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6"/>
                <w:szCs w:val="16"/>
                <w:b w:val="1"/>
                <w:bCs w:val="1"/>
                <w:color w:val="auto"/>
              </w:rPr>
              <w:t>Year Ended December 31, 2025</w:t>
            </w:r>
          </w:p>
        </w:tc>
      </w:tr>
      <w:tr>
        <w:trPr>
          <w:trHeight w:val="205"/>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1560" w:type="dxa"/>
            <w:vAlign w:val="bottom"/>
          </w:tcPr>
          <w:p>
            <w:pPr>
              <w:jc w:val="right"/>
              <w:ind w:right="392"/>
              <w:spacing w:after="0"/>
              <w:rPr>
                <w:sz w:val="20"/>
                <w:szCs w:val="20"/>
                <w:color w:val="auto"/>
              </w:rPr>
            </w:pPr>
            <w:r>
              <w:rPr>
                <w:rFonts w:ascii="Arial" w:cs="Arial" w:eastAsia="Arial" w:hAnsi="Arial"/>
                <w:sz w:val="16"/>
                <w:szCs w:val="16"/>
                <w:b w:val="1"/>
                <w:bCs w:val="1"/>
                <w:color w:val="auto"/>
              </w:rPr>
              <w:t>Percent</w:t>
            </w:r>
          </w:p>
        </w:tc>
      </w:tr>
      <w:tr>
        <w:trPr>
          <w:trHeight w:val="219"/>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8160" w:type="dxa"/>
            <w:vAlign w:val="bottom"/>
          </w:tcPr>
          <w:p>
            <w:pPr>
              <w:ind w:left="20"/>
              <w:spacing w:after="0" w:line="225" w:lineRule="exact"/>
              <w:rPr>
                <w:sz w:val="20"/>
                <w:szCs w:val="20"/>
                <w:color w:val="auto"/>
              </w:rPr>
            </w:pPr>
            <w:r>
              <w:rPr>
                <w:rFonts w:ascii="Arial" w:cs="Arial" w:eastAsia="Arial" w:hAnsi="Arial"/>
                <w:sz w:val="18"/>
                <w:szCs w:val="18"/>
                <w:color w:val="auto"/>
              </w:rPr>
              <w:t>State and local income tax, net of federal (national) income tax effect</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Brazil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withholding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Colombia</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withholding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Israel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statutory tax rate difference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w:t>
            </w:r>
          </w:p>
        </w:tc>
      </w:tr>
      <w:tr>
        <w:trPr>
          <w:trHeight w:val="225"/>
        </w:trPr>
        <w:tc>
          <w:tcPr>
            <w:tcW w:w="8160" w:type="dxa"/>
            <w:vAlign w:val="bottom"/>
          </w:tcPr>
          <w:p>
            <w:pPr>
              <w:ind w:left="440"/>
              <w:spacing w:after="0"/>
              <w:rPr>
                <w:sz w:val="20"/>
                <w:szCs w:val="20"/>
                <w:color w:val="auto"/>
              </w:rPr>
            </w:pPr>
            <w:r>
              <w:rPr>
                <w:rFonts w:ascii="Arial" w:cs="Arial" w:eastAsia="Arial" w:hAnsi="Arial"/>
                <w:sz w:val="18"/>
                <w:szCs w:val="18"/>
                <w:color w:val="auto"/>
              </w:rPr>
              <w:t>Currency remeasurement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20.6</w:t>
            </w: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valuation allowances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(70.7)</w:t>
            </w:r>
          </w:p>
        </w:tc>
      </w:tr>
      <w:tr>
        <w:trPr>
          <w:trHeight w:val="225"/>
        </w:trPr>
        <w:tc>
          <w:tcPr>
            <w:tcW w:w="8160" w:type="dxa"/>
            <w:vAlign w:val="bottom"/>
          </w:tcPr>
          <w:p>
            <w:pPr>
              <w:ind w:left="440"/>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(6.1)</w:t>
            </w: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Ireland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remeasurement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24.4</w:t>
            </w:r>
          </w:p>
        </w:tc>
      </w:tr>
      <w:tr>
        <w:trPr>
          <w:trHeight w:val="225"/>
        </w:trPr>
        <w:tc>
          <w:tcPr>
            <w:tcW w:w="8160" w:type="dxa"/>
            <w:vAlign w:val="bottom"/>
          </w:tcPr>
          <w:p>
            <w:pPr>
              <w:ind w:left="440"/>
              <w:spacing w:after="0"/>
              <w:rPr>
                <w:sz w:val="20"/>
                <w:szCs w:val="20"/>
                <w:color w:val="auto"/>
              </w:rPr>
            </w:pPr>
            <w:r>
              <w:rPr>
                <w:rFonts w:ascii="Arial" w:cs="Arial" w:eastAsia="Arial" w:hAnsi="Arial"/>
                <w:sz w:val="18"/>
                <w:szCs w:val="18"/>
                <w:color w:val="auto"/>
              </w:rPr>
              <w:t>Changes in valuation allowances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(18.8)</w:t>
            </w:r>
          </w:p>
        </w:tc>
      </w:tr>
      <w:tr>
        <w:trPr>
          <w:trHeight w:val="225"/>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France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(9.6)</w:t>
            </w: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foreign jurisdictions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(13.6)</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Effect of cross border tax laws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branch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34.2</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Legal entity reorganization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13.2</w:t>
            </w: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Nontaxable or nondeductible items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5"/>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(6.5)</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5"/>
        </w:trPr>
        <w:tc>
          <w:tcPr>
            <w:tcW w:w="8160" w:type="dxa"/>
            <w:vAlign w:val="bottom"/>
          </w:tcPr>
          <w:p>
            <w:pPr>
              <w:ind w:left="240"/>
              <w:spacing w:after="0"/>
              <w:rPr>
                <w:sz w:val="20"/>
                <w:szCs w:val="20"/>
                <w:color w:val="auto"/>
              </w:rPr>
            </w:pPr>
            <w:r>
              <w:rPr>
                <w:rFonts w:ascii="Arial" w:cs="Arial" w:eastAsia="Arial" w:hAnsi="Arial"/>
                <w:sz w:val="18"/>
                <w:szCs w:val="18"/>
                <w:color w:val="auto"/>
              </w:rPr>
              <w:t>Research credits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14.3</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unrecognized tax benefits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w:t>
            </w:r>
          </w:p>
        </w:tc>
      </w:tr>
      <w:tr>
        <w:trPr>
          <w:trHeight w:val="22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valuation allowances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(32.2)</w:t>
            </w:r>
          </w:p>
        </w:tc>
      </w:tr>
      <w:tr>
        <w:trPr>
          <w:trHeight w:val="24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expense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3" w:lineRule="exact"/>
        <w:rPr>
          <w:sz w:val="20"/>
          <w:szCs w:val="20"/>
          <w:color w:val="auto"/>
        </w:rPr>
      </w:pPr>
    </w:p>
    <w:p>
      <w:pPr>
        <w:ind w:left="300" w:hanging="294"/>
        <w:spacing w:after="0"/>
        <w:tabs>
          <w:tab w:leader="none" w:pos="300"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State and local taxes in California, Texas, Illinois, and New York make up the majority of the tax effect.</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20" w:lineRule="exact"/>
        <w:rPr>
          <w:rFonts w:ascii="Arial" w:cs="Arial" w:eastAsia="Arial" w:hAnsi="Arial"/>
          <w:sz w:val="21"/>
          <w:szCs w:val="21"/>
          <w:color w:val="auto"/>
          <w:vertAlign w:val="superscript"/>
        </w:rPr>
      </w:pPr>
    </w:p>
    <w:p>
      <w:pPr>
        <w:ind w:left="5680"/>
        <w:spacing w:after="0"/>
        <w:rPr>
          <w:rFonts w:ascii="Arial" w:cs="Arial" w:eastAsia="Arial" w:hAnsi="Arial"/>
          <w:sz w:val="21"/>
          <w:szCs w:val="21"/>
          <w:color w:val="auto"/>
          <w:vertAlign w:val="superscript"/>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40" w:firstLine="318"/>
        <w:spacing w:after="0" w:line="274"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were as follows for years prior to our adoption of ASU 2023-09:</w:t>
      </w:r>
    </w:p>
    <w:p>
      <w:pPr>
        <w:spacing w:after="0" w:line="87"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310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77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r>
      <w:tr>
        <w:trPr>
          <w:trHeight w:val="218"/>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5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9"/>
              </w:rPr>
              <w:t>21.0 %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State and local taxes</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1.9</w:t>
            </w:r>
          </w:p>
        </w:tc>
      </w:tr>
      <w:tr>
        <w:trPr>
          <w:trHeight w:val="225"/>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15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8.4</w:t>
            </w: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(11.3)</w:t>
            </w:r>
          </w:p>
        </w:tc>
      </w:tr>
      <w:tr>
        <w:trPr>
          <w:trHeight w:val="225"/>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5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(34.0)</w:t>
            </w:r>
          </w:p>
        </w:tc>
      </w:tr>
      <w:tr>
        <w:trPr>
          <w:trHeight w:val="225"/>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Gain on intercompany sale, net of losses</w:t>
            </w:r>
          </w:p>
        </w:tc>
        <w:tc>
          <w:tcPr>
            <w:tcW w:w="1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Foreign withholding tax</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(5.4)</w:t>
            </w:r>
          </w:p>
        </w:tc>
      </w:tr>
      <w:tr>
        <w:trPr>
          <w:trHeight w:val="225"/>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deferred FX remeasurement</w:t>
            </w:r>
          </w:p>
        </w:tc>
        <w:tc>
          <w:tcPr>
            <w:tcW w:w="1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9.0</w:t>
            </w: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GILTI</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BEAT</w:t>
            </w:r>
          </w:p>
        </w:tc>
        <w:tc>
          <w:tcPr>
            <w:tcW w:w="1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Transaction costs</w:t>
            </w: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25"/>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r>
      <w:tr>
        <w:trPr>
          <w:trHeight w:val="225"/>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r>
      <w:tr>
        <w:trPr>
          <w:trHeight w:val="243"/>
        </w:trPr>
        <w:tc>
          <w:tcPr>
            <w:tcW w:w="7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Effective tax rate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We maintain a valuation allowance on certain U.S. federal, state and foreign deferred tax assets as the realization of our deferred tax assets is dependent upon future earnings, if any, the timing and amount of which are uncertain. In 2025, our valuation allowance increased by $35.1 million, primarily related to our 2025 loss before income taxes and U.S. R&amp;D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5"/>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5"/>
              </w:rPr>
              <w:t>2024</w:t>
            </w:r>
          </w:p>
        </w:tc>
      </w:tr>
      <w:tr>
        <w:trPr>
          <w:trHeight w:val="19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187,353</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153,781</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21,949</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21,802</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28,420</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14,936</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32,441</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r>
      <w:tr>
        <w:trPr>
          <w:trHeight w:val="21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282,083</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(219,773)</w:t>
            </w:r>
          </w:p>
        </w:tc>
      </w:tr>
      <w:tr>
        <w:trPr>
          <w:trHeight w:val="21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r>
      <w:tr>
        <w:trPr>
          <w:trHeight w:val="212"/>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(12,821)</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1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(64,519)</w:t>
            </w:r>
          </w:p>
        </w:tc>
      </w:tr>
      <w:tr>
        <w:trPr>
          <w:trHeight w:val="219"/>
        </w:trPr>
        <w:tc>
          <w:tcPr>
            <w:tcW w:w="838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2025, we had net operating loss (“NOL”) carryforwards for federal, state and foreign tax purposes of $378.4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$218.9 million, and $618.7 million, respectively, which will begin to expire in 2030, as well as $31.7 million of federal, state and foreign research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tax credits, foreign tax credits, minimum tax credits and miscellaneous state tax credits. The federal research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foreign tax credits will begin to expire in 2032 if unutilized.</w:t>
      </w:r>
    </w:p>
    <w:p>
      <w:pPr>
        <w:spacing w:after="0" w:line="201" w:lineRule="exact"/>
        <w:rPr>
          <w:sz w:val="20"/>
          <w:szCs w:val="20"/>
          <w:color w:val="auto"/>
        </w:rPr>
      </w:pPr>
    </w:p>
    <w:p>
      <w:pPr>
        <w:ind w:right="60" w:firstLine="318"/>
        <w:spacing w:after="0" w:line="275" w:lineRule="auto"/>
        <w:rPr>
          <w:sz w:val="20"/>
          <w:szCs w:val="20"/>
          <w:color w:val="auto"/>
        </w:rPr>
      </w:pPr>
      <w:r>
        <w:rPr>
          <w:rFonts w:ascii="Arial" w:cs="Arial" w:eastAsia="Arial" w:hAnsi="Arial"/>
          <w:sz w:val="17"/>
          <w:szCs w:val="17"/>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164" w:lineRule="exact"/>
        <w:rPr>
          <w:sz w:val="20"/>
          <w:szCs w:val="20"/>
          <w:color w:val="auto"/>
        </w:rPr>
      </w:pPr>
    </w:p>
    <w:p>
      <w:pPr>
        <w:ind w:right="60" w:firstLine="318"/>
        <w:spacing w:after="0" w:line="282" w:lineRule="auto"/>
        <w:rPr>
          <w:sz w:val="20"/>
          <w:szCs w:val="20"/>
          <w:color w:val="auto"/>
        </w:rPr>
      </w:pPr>
      <w:r>
        <w:rPr>
          <w:rFonts w:ascii="Arial" w:cs="Arial" w:eastAsia="Arial" w:hAnsi="Arial"/>
          <w:sz w:val="17"/>
          <w:szCs w:val="17"/>
          <w:color w:val="auto"/>
        </w:rPr>
        <w:t>At December 31, 2025 and 2024, the total amount of gross unrecognized tax benefits was $9.1 million and $8.5 million, respectively, which, if recognized, would impact our effective tax rate by approximately $0.4 million and $0.2 million in 2025 and 2024, respectively. Interest and penalties associated with uncertain tax positions recognized as a component of income tax expense were immaterial in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gross unrecognized tax benefits, excluding accrued interest,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beginning of the period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Additions for tax positions in the current year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prior year positions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Decrease in prior year positions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900" w:type="dxa"/>
            <w:vAlign w:val="bottom"/>
          </w:tcPr>
          <w:p>
            <w:pPr>
              <w:ind w:left="120"/>
              <w:spacing w:after="0"/>
              <w:rPr>
                <w:sz w:val="20"/>
                <w:szCs w:val="20"/>
                <w:color w:val="auto"/>
              </w:rPr>
            </w:pPr>
            <w:r>
              <w:rPr>
                <w:rFonts w:ascii="Arial" w:cs="Arial" w:eastAsia="Arial" w:hAnsi="Arial"/>
                <w:sz w:val="18"/>
                <w:szCs w:val="18"/>
                <w:color w:val="auto"/>
              </w:rPr>
              <w:t>Unrecognized tax benefits at the end of the period</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8,297</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520" w:firstLine="318"/>
        <w:spacing w:after="0" w:line="255" w:lineRule="auto"/>
        <w:rPr>
          <w:sz w:val="20"/>
          <w:szCs w:val="20"/>
          <w:color w:val="auto"/>
        </w:rPr>
      </w:pPr>
      <w:r>
        <w:rPr>
          <w:rFonts w:ascii="Arial" w:cs="Arial" w:eastAsia="Arial" w:hAnsi="Arial"/>
          <w:sz w:val="18"/>
          <w:szCs w:val="18"/>
          <w:color w:val="auto"/>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2025, we were not under examination for income tax audits by the Internal Revenue Service. We are currently under tax examination in France for tax years 2019 through 2022.</w:t>
      </w:r>
    </w:p>
    <w:p>
      <w:pPr>
        <w:spacing w:after="0" w:line="180" w:lineRule="exact"/>
        <w:rPr>
          <w:sz w:val="20"/>
          <w:szCs w:val="20"/>
          <w:color w:val="auto"/>
        </w:rPr>
      </w:pPr>
    </w:p>
    <w:p>
      <w:pPr>
        <w:ind w:right="380" w:firstLine="318"/>
        <w:spacing w:after="0" w:line="255"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foreign earnings.</w:t>
      </w:r>
    </w:p>
    <w:p>
      <w:pPr>
        <w:spacing w:after="0" w:line="180"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On July 4, 2025, U.S. legislation commonly known as the One Big Beautiful Bill Act ("OBBBA") was enacted, which includes permanent extensions of expiring and expired federal income tax provisions, including immediate expensing of domestic research and development expenses, as well as certain prospective international tax changes. The application of the OBBBA did not have a material impact on our financial statements for the year ended December 31, 2025.</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amount of cash income taxes paid, net of refunds received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4"/>
              <w:spacing w:after="0"/>
              <w:rPr>
                <w:sz w:val="20"/>
                <w:szCs w:val="20"/>
                <w:color w:val="auto"/>
              </w:rPr>
            </w:pPr>
            <w:r>
              <w:rPr>
                <w:rFonts w:ascii="Arial" w:cs="Arial" w:eastAsia="Arial" w:hAnsi="Arial"/>
                <w:sz w:val="16"/>
                <w:szCs w:val="16"/>
                <w:b w:val="1"/>
                <w:bCs w:val="1"/>
                <w:color w:val="auto"/>
                <w:w w:val="97"/>
              </w:rPr>
              <w:t>Year Ended</w:t>
            </w:r>
          </w:p>
        </w:tc>
        <w:tc>
          <w:tcPr>
            <w:tcW w:w="0" w:type="dxa"/>
            <w:vAlign w:val="bottom"/>
          </w:tcPr>
          <w:p>
            <w:pPr>
              <w:spacing w:after="0"/>
              <w:rPr>
                <w:sz w:val="1"/>
                <w:szCs w:val="1"/>
                <w:color w:val="auto"/>
              </w:rPr>
            </w:pPr>
          </w:p>
        </w:tc>
      </w:tr>
      <w:tr>
        <w:trPr>
          <w:trHeight w:val="159"/>
        </w:trPr>
        <w:tc>
          <w:tcPr>
            <w:tcW w:w="9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3"/>
                <w:szCs w:val="13"/>
                <w:color w:val="auto"/>
              </w:rPr>
            </w:pPr>
          </w:p>
        </w:tc>
        <w:tc>
          <w:tcPr>
            <w:tcW w:w="128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2"/>
        </w:trPr>
        <w:tc>
          <w:tcPr>
            <w:tcW w:w="9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U.S. state and local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20" w:type="dxa"/>
            <w:vAlign w:val="bottom"/>
          </w:tcPr>
          <w:p>
            <w:pPr>
              <w:ind w:left="240"/>
              <w:spacing w:after="0"/>
              <w:rPr>
                <w:sz w:val="20"/>
                <w:szCs w:val="20"/>
                <w:color w:val="auto"/>
              </w:rPr>
            </w:pPr>
            <w:r>
              <w:rPr>
                <w:rFonts w:ascii="Arial" w:cs="Arial" w:eastAsia="Arial" w:hAnsi="Arial"/>
                <w:sz w:val="18"/>
                <w:szCs w:val="18"/>
                <w:color w:val="auto"/>
              </w:rPr>
              <w:t>Brazil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Colombia</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5"/>
        </w:trPr>
        <w:tc>
          <w:tcPr>
            <w:tcW w:w="9820" w:type="dxa"/>
            <w:vAlign w:val="bottom"/>
          </w:tcPr>
          <w:p>
            <w:pPr>
              <w:ind w:left="240"/>
              <w:spacing w:after="0"/>
              <w:rPr>
                <w:sz w:val="20"/>
                <w:szCs w:val="20"/>
                <w:color w:val="auto"/>
              </w:rPr>
            </w:pPr>
            <w:r>
              <w:rPr>
                <w:rFonts w:ascii="Arial" w:cs="Arial" w:eastAsia="Arial" w:hAnsi="Arial"/>
                <w:sz w:val="18"/>
                <w:szCs w:val="18"/>
                <w:color w:val="auto"/>
              </w:rPr>
              <w:t>Israel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Singapore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12. Net Loss Per Share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2023</w:t>
            </w: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90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(0.68)</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500" w:firstLine="318"/>
        <w:spacing w:after="0" w:line="274"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28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r>
      <w:tr>
        <w:trPr>
          <w:trHeight w:val="21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5,095</w:t>
            </w:r>
          </w:p>
        </w:tc>
      </w:tr>
      <w:tr>
        <w:trPr>
          <w:trHeight w:val="22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PSUs</w:t>
            </w: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9"/>
        </w:trPr>
        <w:tc>
          <w:tcPr>
            <w:tcW w:w="6940" w:type="dxa"/>
            <w:vAlign w:val="bottom"/>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w:t>
            </w:r>
          </w:p>
        </w:tc>
      </w:tr>
      <w:tr>
        <w:trPr>
          <w:trHeight w:val="20"/>
        </w:trPr>
        <w:tc>
          <w:tcPr>
            <w:tcW w:w="6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Segment Information</w:t>
      </w:r>
    </w:p>
    <w:p>
      <w:pPr>
        <w:spacing w:after="0" w:line="217"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We operate as one operating segment. Our Co-Chief Executive Officers, our CODMs, review financial information on a consolidated basis for purposes of making operating decisions, allocating resources and evaluating financial performance. Our CODMs review cost of sales expense, sales and marketing expense, research and development expense and general and administrative expense to assess our significant segment expenses, and review income (loss) from operations and net income (loss) to assess our operating performance. Our CODMs also review total assets, as reported on our consolidated balance sheets. See our consolidated statement of operations for our significant segment expenses, loss from operations and net loss in the periods presented.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Geographic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500,512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239,741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205,851</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92,347</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798,710</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560" w:firstLine="318"/>
        <w:spacing w:after="0" w:line="274" w:lineRule="auto"/>
        <w:rPr>
          <w:sz w:val="20"/>
          <w:szCs w:val="20"/>
          <w:color w:val="auto"/>
        </w:rPr>
      </w:pPr>
      <w:r>
        <w:rPr>
          <w:rFonts w:ascii="Arial" w:cs="Arial" w:eastAsia="Arial" w:hAnsi="Arial"/>
          <w:sz w:val="18"/>
          <w:szCs w:val="18"/>
          <w:color w:val="auto"/>
        </w:rPr>
        <w:t>Customers located in the United States accounted for 53%, 54% and 55% of revenue in 2025, 2024 and 2023, respectively. No other country accounted for 10% or more of revenue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0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r>
      <w:tr>
        <w:trPr>
          <w:trHeight w:val="218"/>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33,101</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r>
      <w:tr>
        <w:trPr>
          <w:trHeight w:val="243"/>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14. Benefit Plans</w:t>
      </w:r>
    </w:p>
    <w:p>
      <w:pPr>
        <w:spacing w:after="0" w:line="219" w:lineRule="exact"/>
        <w:rPr>
          <w:sz w:val="20"/>
          <w:szCs w:val="20"/>
          <w:color w:val="auto"/>
        </w:rPr>
      </w:pPr>
    </w:p>
    <w:p>
      <w:pPr>
        <w:jc w:val="both"/>
        <w:ind w:right="180" w:firstLine="318"/>
        <w:spacing w:after="0" w:line="260" w:lineRule="auto"/>
        <w:rPr>
          <w:sz w:val="20"/>
          <w:szCs w:val="20"/>
          <w:color w:val="auto"/>
        </w:rPr>
      </w:pPr>
      <w:r>
        <w:rPr>
          <w:rFonts w:ascii="Arial" w:cs="Arial" w:eastAsia="Arial" w:hAnsi="Arial"/>
          <w:sz w:val="18"/>
          <w:szCs w:val="18"/>
          <w:color w:val="auto"/>
        </w:rPr>
        <w:t>We maintain a defined contribution 401(k) plan for our U.S. employees, where company-matched contributions are fully vested. Additional contributory plans are in effect internationally, including in France, Ireland and the U.K. Contribution expense for such plans was $10.1 million, $9.8 million and $10.3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right="2700" w:hanging="317"/>
        <w:spacing w:after="0" w:line="491"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7"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Our management, with the participation of our Co-Chief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our Co-Chief Executive Officer and Chief Financial Officer have concluded that at December 31, 2025, our disclosure controls and procedures were effective to provide reasonable assurance that the information required to be disclosed by us in this Annual Report on Form 10-K was (a) reported within the time periods specified by SEC rules and regulations and (b) communicated to our management, including our Co-Chief Executive Officer and Chief Financial Officer, to allow timely decisions regarding any required disclosure.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17"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concluded that our internal control over financial reporting was effective at December 31, 2025.</w:t>
      </w:r>
    </w:p>
    <w:p>
      <w:pPr>
        <w:spacing w:after="0" w:line="180" w:lineRule="exact"/>
        <w:rPr>
          <w:sz w:val="20"/>
          <w:szCs w:val="20"/>
          <w:color w:val="auto"/>
        </w:rPr>
      </w:pPr>
    </w:p>
    <w:p>
      <w:pPr>
        <w:ind w:right="480" w:firstLine="318"/>
        <w:spacing w:after="0" w:line="304" w:lineRule="auto"/>
        <w:rPr>
          <w:sz w:val="20"/>
          <w:szCs w:val="20"/>
          <w:color w:val="auto"/>
        </w:rPr>
      </w:pPr>
      <w:r>
        <w:rPr>
          <w:rFonts w:ascii="Arial" w:cs="Arial" w:eastAsia="Arial" w:hAnsi="Arial"/>
          <w:sz w:val="17"/>
          <w:szCs w:val="17"/>
          <w:color w:val="auto"/>
        </w:rPr>
        <w:t>Our independent registered public accounting firm, Ernst &amp; Young LLP (PCAOB ID: 42), has issued an audit report with respect to our internal control over financial reporting as of December 31, 2025, which is included in Part II, Item 8 of this Annual Report on Form 10-K.</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7"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2025 that materially affected, or are reasonably likely to materially affect, our internal control over financial reporting.</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17"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Co-Chief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III</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Executive Officers and Directors</w:t>
      </w:r>
    </w:p>
    <w:p>
      <w:pPr>
        <w:spacing w:after="0" w:line="219"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2026 annual meeting of stockholders, or the Proxy Statement, which is expected to be filed not later than 120 days after the end of our fiscal year ended December 31, 2025, under the captions "Information Regarding the Board of Directors and Corporate Governance," "Election of Directors" and "Executive Officers" and is incorporated in this Annual Report on Form 10-K by reference.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Code of Ethics</w:t>
      </w:r>
    </w:p>
    <w:p>
      <w:pPr>
        <w:spacing w:after="0" w:line="219" w:lineRule="exact"/>
        <w:rPr>
          <w:sz w:val="20"/>
          <w:szCs w:val="20"/>
          <w:color w:val="auto"/>
        </w:rPr>
      </w:pPr>
    </w:p>
    <w:p>
      <w:pPr>
        <w:ind w:right="20" w:firstLine="318"/>
        <w:spacing w:after="0" w:line="282" w:lineRule="auto"/>
        <w:rPr>
          <w:sz w:val="20"/>
          <w:szCs w:val="20"/>
          <w:color w:val="auto"/>
        </w:rPr>
      </w:pPr>
      <w:r>
        <w:rPr>
          <w:rFonts w:ascii="Arial" w:cs="Arial" w:eastAsia="Arial" w:hAnsi="Arial"/>
          <w:sz w:val="17"/>
          <w:szCs w:val="17"/>
          <w:color w:val="auto"/>
        </w:rPr>
        <w:t>Our Code of Business Conduct and Ethics applies to all officers, directors and employees, and is available on our website at https://investors.tenable.com. If we make any substantive amendments to the Code of Business Conduct and Ethics or grant any waiver from a provision of the Code to any executive officer or director, we will promptly disclose the nature of the amendment or waiver on our website.</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Insider Trading Policy</w:t>
      </w:r>
    </w:p>
    <w:p>
      <w:pPr>
        <w:spacing w:after="0" w:line="219" w:lineRule="exact"/>
        <w:rPr>
          <w:sz w:val="20"/>
          <w:szCs w:val="20"/>
          <w:color w:val="auto"/>
        </w:rPr>
      </w:pPr>
    </w:p>
    <w:p>
      <w:pPr>
        <w:jc w:val="both"/>
        <w:ind w:right="80" w:firstLine="318"/>
        <w:spacing w:after="0" w:line="282" w:lineRule="auto"/>
        <w:rPr>
          <w:sz w:val="20"/>
          <w:szCs w:val="20"/>
          <w:color w:val="auto"/>
        </w:rPr>
      </w:pPr>
      <w:r>
        <w:rPr>
          <w:rFonts w:ascii="Arial" w:cs="Arial" w:eastAsia="Arial" w:hAnsi="Arial"/>
          <w:sz w:val="17"/>
          <w:szCs w:val="17"/>
          <w:color w:val="auto"/>
        </w:rPr>
        <w:t>The information required by this item will be set forth in the Proxy Statement under the caption "Insider Trading Policy" and is incorporated herein by reference. A copy of our Insider Trading Policy was filed as Exhibit 19.1 to our Annual Report on Form 10-K for the fiscal year ended December 31, 2024, filed on February 21, 2025 and is incorporated by reference in Exhibit 19.1 to this Annual Report on Form 10-K.</w:t>
      </w:r>
    </w:p>
    <w:p>
      <w:pPr>
        <w:spacing w:after="0" w:line="15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ind w:right="220"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the Proxy Statement under the captions "Executive Compensation" and "Director Compensation" and is incorporated herein by reference.</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19" w:lineRule="exact"/>
        <w:rPr>
          <w:sz w:val="20"/>
          <w:szCs w:val="20"/>
          <w:color w:val="auto"/>
        </w:rPr>
      </w:pPr>
    </w:p>
    <w:p>
      <w:pPr>
        <w:ind w:firstLine="318"/>
        <w:spacing w:after="0" w:line="304" w:lineRule="auto"/>
        <w:rPr>
          <w:sz w:val="20"/>
          <w:szCs w:val="20"/>
          <w:color w:val="auto"/>
        </w:rPr>
      </w:pPr>
      <w:r>
        <w:rPr>
          <w:rFonts w:ascii="Arial" w:cs="Arial" w:eastAsia="Arial" w:hAnsi="Arial"/>
          <w:sz w:val="17"/>
          <w:szCs w:val="17"/>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1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19" w:lineRule="exact"/>
        <w:rPr>
          <w:sz w:val="20"/>
          <w:szCs w:val="20"/>
          <w:color w:val="auto"/>
        </w:rPr>
      </w:pPr>
    </w:p>
    <w:p>
      <w:pPr>
        <w:ind w:right="240"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the Proxy Statement under the captions "Transactions with Related Persons and Indemnification" and "Independence of the Board of Directors" and is incorporated herein by reference.</w:t>
      </w:r>
    </w:p>
    <w:p>
      <w:pPr>
        <w:spacing w:after="0" w:line="1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19" w:lineRule="exact"/>
        <w:rPr>
          <w:sz w:val="20"/>
          <w:szCs w:val="20"/>
          <w:color w:val="auto"/>
        </w:rPr>
      </w:pPr>
    </w:p>
    <w:p>
      <w:pPr>
        <w:ind w:right="320" w:firstLine="318"/>
        <w:spacing w:after="0" w:line="274" w:lineRule="auto"/>
        <w:rPr>
          <w:sz w:val="20"/>
          <w:szCs w:val="20"/>
          <w:color w:val="auto"/>
        </w:rPr>
      </w:pPr>
      <w:r>
        <w:rPr>
          <w:rFonts w:ascii="Arial" w:cs="Arial" w:eastAsia="Arial" w:hAnsi="Arial"/>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(a)(1) Financial Statements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the Index to our consolidated financial statements in </w:t>
      </w:r>
      <w:r>
        <w:rPr>
          <w:rFonts w:ascii="Arial" w:cs="Arial" w:eastAsia="Arial" w:hAnsi="Arial"/>
          <w:sz w:val="18"/>
          <w:szCs w:val="18"/>
          <w:u w:val="single" w:color="auto"/>
          <w:color w:val="0000FF"/>
        </w:rPr>
        <w:t>Item 8</w:t>
      </w:r>
      <w:r>
        <w:rPr>
          <w:rFonts w:ascii="Arial" w:cs="Arial" w:eastAsia="Arial" w:hAnsi="Arial"/>
          <w:sz w:val="18"/>
          <w:szCs w:val="18"/>
          <w:color w:val="auto"/>
        </w:rPr>
        <w:t xml:space="preserve"> of this Annual Report on Form 10-K.</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(a)(2) Financial Statement Schedules</w:t>
      </w: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SCHEDULE II</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SUPPLEMENTARY CONSOLIDATED FINANCIAL STATEMENT SCHEDULE</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VALUATION AND QUALIFYING ACCOUNTS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at Beginning of</w:t>
            </w:r>
          </w:p>
        </w:tc>
        <w:tc>
          <w:tcPr>
            <w:tcW w:w="12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Additions Charged to</w:t>
            </w:r>
          </w:p>
        </w:tc>
        <w:tc>
          <w:tcPr>
            <w:tcW w:w="280" w:type="dxa"/>
            <w:vAlign w:val="bottom"/>
          </w:tcPr>
          <w:p>
            <w:pPr>
              <w:spacing w:after="0"/>
              <w:rPr>
                <w:sz w:val="16"/>
                <w:szCs w:val="16"/>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0"/>
                <w:szCs w:val="20"/>
                <w:b w:val="1"/>
                <w:bCs w:val="1"/>
                <w:color w:val="auto"/>
                <w:vertAlign w:val="superscript"/>
              </w:rPr>
              <w:t>(1)</w:t>
            </w:r>
          </w:p>
        </w:tc>
        <w:tc>
          <w:tcPr>
            <w:tcW w:w="300" w:type="dxa"/>
            <w:vAlign w:val="bottom"/>
          </w:tcPr>
          <w:p>
            <w:pPr>
              <w:spacing w:after="0"/>
              <w:rPr>
                <w:sz w:val="16"/>
                <w:szCs w:val="16"/>
                <w:color w:val="auto"/>
              </w:rPr>
            </w:pPr>
          </w:p>
        </w:tc>
        <w:tc>
          <w:tcPr>
            <w:tcW w:w="1560" w:type="dxa"/>
            <w:vAlign w:val="bottom"/>
          </w:tcPr>
          <w:p>
            <w:pPr>
              <w:jc w:val="right"/>
              <w:ind w:right="435"/>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Costs and Expenses</w:t>
            </w:r>
          </w:p>
        </w:tc>
        <w:tc>
          <w:tcPr>
            <w:tcW w:w="2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ind w:right="395"/>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Allowance for Doubtful Accounts</w:t>
            </w: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00" w:hanging="294"/>
        <w:spacing w:after="0" w:line="213" w:lineRule="auto"/>
        <w:tabs>
          <w:tab w:leader="none" w:pos="30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Consists of recoveries and write-offs of uncollectible accounts.</w:t>
      </w:r>
    </w:p>
    <w:p>
      <w:pPr>
        <w:spacing w:after="0" w:line="212"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included in the financial statements or the notes to the financial statements.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(a)(3) Exhibits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list of Exhibits filed as part of this Annual Report on Form 10-K:</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1960" w:type="dxa"/>
            <w:vAlign w:val="bottom"/>
          </w:tcPr>
          <w:p>
            <w:pPr>
              <w:jc w:val="center"/>
              <w:ind w:right="1261"/>
              <w:spacing w:after="0"/>
              <w:rPr>
                <w:sz w:val="20"/>
                <w:szCs w:val="20"/>
                <w:color w:val="auto"/>
              </w:rPr>
            </w:pPr>
            <w:r>
              <w:rPr>
                <w:rFonts w:ascii="Arial" w:cs="Arial" w:eastAsia="Arial" w:hAnsi="Arial"/>
                <w:sz w:val="16"/>
                <w:szCs w:val="16"/>
                <w:b w:val="1"/>
                <w:bCs w:val="1"/>
                <w:color w:val="auto"/>
              </w:rPr>
              <w:t>Exhibit</w:t>
            </w:r>
          </w:p>
        </w:tc>
        <w:tc>
          <w:tcPr>
            <w:tcW w:w="2200" w:type="dxa"/>
            <w:vAlign w:val="bottom"/>
            <w:vMerge w:val="restart"/>
          </w:tcPr>
          <w:p>
            <w:pPr>
              <w:ind w:left="1340"/>
              <w:spacing w:after="0"/>
              <w:rPr>
                <w:sz w:val="20"/>
                <w:szCs w:val="20"/>
                <w:color w:val="auto"/>
              </w:rPr>
            </w:pPr>
            <w:r>
              <w:rPr>
                <w:rFonts w:ascii="Arial" w:cs="Arial" w:eastAsia="Arial" w:hAnsi="Arial"/>
                <w:sz w:val="16"/>
                <w:szCs w:val="16"/>
                <w:b w:val="1"/>
                <w:bCs w:val="1"/>
                <w:color w:val="auto"/>
                <w:w w:val="95"/>
              </w:rPr>
              <w:t>Description</w:t>
            </w:r>
          </w:p>
        </w:tc>
        <w:tc>
          <w:tcPr>
            <w:tcW w:w="0" w:type="dxa"/>
            <w:vAlign w:val="bottom"/>
          </w:tcPr>
          <w:p>
            <w:pPr>
              <w:spacing w:after="0"/>
              <w:rPr>
                <w:sz w:val="1"/>
                <w:szCs w:val="1"/>
                <w:color w:val="auto"/>
              </w:rPr>
            </w:pPr>
          </w:p>
        </w:tc>
      </w:tr>
      <w:tr>
        <w:trPr>
          <w:trHeight w:val="218"/>
        </w:trPr>
        <w:tc>
          <w:tcPr>
            <w:tcW w:w="1960" w:type="dxa"/>
            <w:vAlign w:val="bottom"/>
          </w:tcPr>
          <w:p>
            <w:pPr>
              <w:jc w:val="center"/>
              <w:ind w:right="1261"/>
              <w:spacing w:after="0"/>
              <w:rPr>
                <w:sz w:val="20"/>
                <w:szCs w:val="20"/>
                <w:color w:val="auto"/>
              </w:rPr>
            </w:pPr>
            <w:r>
              <w:rPr>
                <w:rFonts w:ascii="Arial" w:cs="Arial" w:eastAsia="Arial" w:hAnsi="Arial"/>
                <w:sz w:val="16"/>
                <w:szCs w:val="16"/>
                <w:b w:val="1"/>
                <w:bCs w:val="1"/>
                <w:color w:val="auto"/>
              </w:rPr>
              <w:t>Number</w:t>
            </w: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42741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74185" cy="8255"/>
                    </a:xfrm>
                    <a:prstGeom prst="rect">
                      <a:avLst/>
                    </a:prstGeom>
                    <a:noFill/>
                  </pic:spPr>
                </pic:pic>
              </a:graphicData>
            </a:graphic>
          </wp:anchor>
        </w:drawing>
      </w:r>
    </w:p>
    <w:p>
      <w:pPr>
        <w:spacing w:after="0" w:line="2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3.1</w:t>
      </w:r>
      <w:r>
        <w:rPr>
          <w:sz w:val="20"/>
          <w:szCs w:val="20"/>
          <w:color w:val="auto"/>
        </w:rPr>
        <w:tab/>
      </w:r>
      <w:hyperlink r:id="rId111">
        <w:r>
          <w:rPr>
            <w:rFonts w:ascii="Arial" w:cs="Arial" w:eastAsia="Arial" w:hAnsi="Arial"/>
            <w:sz w:val="15"/>
            <w:szCs w:val="15"/>
            <w:u w:val="single" w:color="auto"/>
            <w:color w:val="0000FF"/>
          </w:rPr>
          <w:t>Amended and Restated Certificate of Incorporation of Tenable Holdings, Inc.</w:t>
        </w:r>
      </w:hyperlink>
    </w:p>
    <w:p>
      <w:pPr>
        <w:spacing w:after="0" w:line="34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3.2</w:t>
      </w:r>
      <w:r>
        <w:rPr>
          <w:sz w:val="20"/>
          <w:szCs w:val="20"/>
          <w:color w:val="auto"/>
        </w:rPr>
        <w:tab/>
      </w:r>
      <w:hyperlink r:id="rId112">
        <w:r>
          <w:rPr>
            <w:rFonts w:ascii="Arial" w:cs="Arial" w:eastAsia="Arial" w:hAnsi="Arial"/>
            <w:sz w:val="15"/>
            <w:szCs w:val="15"/>
            <w:u w:val="single" w:color="auto"/>
            <w:color w:val="0000FF"/>
          </w:rPr>
          <w:t>Second Amended and Restated Bylaws of Tenable Holdings, Inc.</w:t>
        </w:r>
      </w:hyperlink>
    </w:p>
    <w:p>
      <w:pPr>
        <w:spacing w:after="0" w:line="34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4.1</w:t>
      </w:r>
      <w:r>
        <w:rPr>
          <w:sz w:val="20"/>
          <w:szCs w:val="20"/>
          <w:color w:val="auto"/>
        </w:rPr>
        <w:tab/>
      </w:r>
      <w:hyperlink r:id="rId113">
        <w:r>
          <w:rPr>
            <w:rFonts w:ascii="Arial" w:cs="Arial" w:eastAsia="Arial" w:hAnsi="Arial"/>
            <w:sz w:val="15"/>
            <w:szCs w:val="15"/>
            <w:u w:val="single" w:color="auto"/>
            <w:color w:val="0000FF"/>
          </w:rPr>
          <w:t>Common Stock Certificate of Tenable Holdings, Inc.</w:t>
        </w:r>
      </w:hyperlink>
    </w:p>
    <w:p>
      <w:pPr>
        <w:spacing w:after="0" w:line="346" w:lineRule="exact"/>
        <w:rPr>
          <w:sz w:val="20"/>
          <w:szCs w:val="20"/>
          <w:color w:val="auto"/>
        </w:rPr>
      </w:pPr>
    </w:p>
    <w:p>
      <w:pPr>
        <w:ind w:left="6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4.2</w:t>
      </w:r>
      <w:r>
        <w:rPr>
          <w:sz w:val="20"/>
          <w:szCs w:val="20"/>
          <w:color w:val="auto"/>
        </w:rPr>
        <w:tab/>
      </w:r>
      <w:hyperlink r:id="rId114">
        <w:r>
          <w:rPr>
            <w:rFonts w:ascii="Arial" w:cs="Arial" w:eastAsia="Arial" w:hAnsi="Arial"/>
            <w:sz w:val="15"/>
            <w:szCs w:val="15"/>
            <w:u w:val="single" w:color="auto"/>
            <w:color w:val="0000FF"/>
          </w:rPr>
          <w:t>Description of Common Stock of Tenable Holdings, Inc.</w:t>
        </w:r>
      </w:hyperlink>
    </w:p>
    <w:p>
      <w:pPr>
        <w:spacing w:after="0" w:line="346" w:lineRule="exact"/>
        <w:rPr>
          <w:sz w:val="20"/>
          <w:szCs w:val="20"/>
          <w:color w:val="auto"/>
        </w:rPr>
      </w:pPr>
    </w:p>
    <w:p>
      <w:pPr>
        <w:ind w:left="1020" w:right="120" w:hanging="543"/>
        <w:spacing w:after="0" w:line="22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15">
        <w:r>
          <w:rPr>
            <w:rFonts w:ascii="Arial" w:cs="Arial" w:eastAsia="Arial" w:hAnsi="Arial"/>
            <w:sz w:val="16"/>
            <w:szCs w:val="16"/>
            <w:u w:val="single" w:color="auto"/>
            <w:color w:val="0000FF"/>
          </w:rPr>
          <w:t>2016 Stock Incentive Plan and Irish Supplement and Forms of Option Grant</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Notice and Agreement and Exercise Notice and Form of Restricted Stock Grant</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Notice and Agreement thereunder, as amended to date</w:t>
        </w:r>
      </w:hyperlink>
    </w:p>
    <w:p>
      <w:pPr>
        <w:spacing w:after="0" w:line="3" w:lineRule="exact"/>
        <w:rPr>
          <w:rFonts w:ascii="Arial" w:cs="Arial" w:eastAsia="Arial" w:hAnsi="Arial"/>
          <w:sz w:val="16"/>
          <w:szCs w:val="16"/>
          <w:u w:val="single" w:color="auto"/>
          <w:color w:val="0000FF"/>
        </w:rPr>
      </w:pPr>
    </w:p>
    <w:p>
      <w:pPr>
        <w:ind w:left="1020" w:hanging="543"/>
        <w:spacing w:after="0" w:line="22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16">
        <w:r>
          <w:rPr>
            <w:rFonts w:ascii="Arial" w:cs="Arial" w:eastAsia="Arial" w:hAnsi="Arial"/>
            <w:sz w:val="16"/>
            <w:szCs w:val="16"/>
            <w:u w:val="single" w:color="auto"/>
            <w:color w:val="0000FF"/>
          </w:rPr>
          <w:t>2012 Stock Incentive Plan and Form of Notice of Stock Option Grant and Form</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of Stock Option Agreement and Notice of Exercise and Common Stock Purchase</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Agreement thereunder, as amended to date</w:t>
        </w:r>
      </w:hyperlink>
    </w:p>
    <w:p>
      <w:pPr>
        <w:spacing w:after="0" w:line="3" w:lineRule="exact"/>
        <w:rPr>
          <w:rFonts w:ascii="Arial" w:cs="Arial" w:eastAsia="Arial" w:hAnsi="Arial"/>
          <w:sz w:val="16"/>
          <w:szCs w:val="16"/>
          <w:u w:val="single" w:color="auto"/>
          <w:color w:val="0000FF"/>
        </w:rPr>
      </w:pPr>
    </w:p>
    <w:p>
      <w:pPr>
        <w:ind w:left="1020" w:right="200" w:hanging="543"/>
        <w:spacing w:after="0" w:line="273" w:lineRule="auto"/>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10.3+</w:t>
      </w:r>
      <w:r>
        <w:rPr>
          <w:sz w:val="20"/>
          <w:szCs w:val="20"/>
          <w:color w:val="auto"/>
        </w:rPr>
        <w:tab/>
      </w:r>
      <w:hyperlink r:id="rId117">
        <w:r>
          <w:rPr>
            <w:rFonts w:ascii="Arial" w:cs="Arial" w:eastAsia="Arial" w:hAnsi="Arial"/>
            <w:sz w:val="15"/>
            <w:szCs w:val="15"/>
            <w:u w:val="single" w:color="auto"/>
            <w:color w:val="0000FF"/>
          </w:rPr>
          <w:t>2018 Equity Incentive Plan and Forms of Stock Option Grant Notice and</w:t>
        </w:r>
      </w:hyperlink>
      <w:r>
        <w:rPr>
          <w:rFonts w:ascii="Arial" w:cs="Arial" w:eastAsia="Arial" w:hAnsi="Arial"/>
          <w:sz w:val="15"/>
          <w:szCs w:val="15"/>
          <w:u w:val="single" w:color="auto"/>
          <w:color w:val="0000FF"/>
        </w:rPr>
        <w:t xml:space="preserve"> </w:t>
      </w:r>
      <w:hyperlink r:id="rId117">
        <w:r>
          <w:rPr>
            <w:rFonts w:ascii="Arial" w:cs="Arial" w:eastAsia="Arial" w:hAnsi="Arial"/>
            <w:sz w:val="15"/>
            <w:szCs w:val="15"/>
            <w:u w:val="single" w:color="auto"/>
            <w:color w:val="0000FF"/>
          </w:rPr>
          <w:t>Agreement and Restricted Stock Unit Grant Notice and Agreement thereunder</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549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61" w:lineRule="exact"/>
        <w:rPr>
          <w:sz w:val="20"/>
          <w:szCs w:val="20"/>
          <w:color w:val="auto"/>
        </w:rPr>
      </w:pPr>
    </w:p>
    <w:p>
      <w:pPr>
        <w:ind w:right="460"/>
        <w:spacing w:after="0" w:line="229"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 w:lineRule="exact"/>
        <w:rPr>
          <w:sz w:val="20"/>
          <w:szCs w:val="20"/>
          <w:color w:val="auto"/>
        </w:rPr>
      </w:pPr>
    </w:p>
    <w:p>
      <w:pPr>
        <w:jc w:val="both"/>
        <w:ind w:right="460"/>
        <w:spacing w:after="0" w:line="229" w:lineRule="auto"/>
        <w:rPr>
          <w:sz w:val="20"/>
          <w:szCs w:val="20"/>
          <w:color w:val="auto"/>
        </w:rPr>
      </w:pPr>
      <w:r>
        <w:rPr>
          <w:rFonts w:ascii="Arial" w:cs="Arial" w:eastAsia="Arial" w:hAnsi="Arial"/>
          <w:sz w:val="16"/>
          <w:szCs w:val="16"/>
          <w:color w:val="auto"/>
        </w:rPr>
        <w:t>Previously filed as Exhibit 3.1 to the Company's Current Report on Form 8-K (File No. 001-38600) on November 15, 2023</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 w:lineRule="exact"/>
        <w:rPr>
          <w:sz w:val="20"/>
          <w:szCs w:val="20"/>
          <w:color w:val="auto"/>
        </w:rPr>
      </w:pPr>
    </w:p>
    <w:p>
      <w:pPr>
        <w:jc w:val="both"/>
        <w:ind w:right="480"/>
        <w:spacing w:after="0" w:line="229" w:lineRule="auto"/>
        <w:rPr>
          <w:sz w:val="20"/>
          <w:szCs w:val="20"/>
          <w:color w:val="auto"/>
        </w:rPr>
      </w:pPr>
      <w:r>
        <w:rPr>
          <w:rFonts w:ascii="Arial" w:cs="Arial" w:eastAsia="Arial" w:hAnsi="Arial"/>
          <w:sz w:val="16"/>
          <w:szCs w:val="16"/>
          <w:color w:val="auto"/>
        </w:rPr>
        <w:t>Previously filed as Exhibit 4.3 to the Company's Annual Report on Form 10-K (File No. 001-38600) on February 28, 2020</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3" w:lineRule="exact"/>
        <w:rPr>
          <w:sz w:val="20"/>
          <w:szCs w:val="20"/>
          <w:color w:val="auto"/>
        </w:rPr>
      </w:pPr>
    </w:p>
    <w:p>
      <w:pPr>
        <w:ind w:right="820"/>
        <w:spacing w:after="0" w:line="229"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200" w:lineRule="exact"/>
        <w:rPr>
          <w:sz w:val="20"/>
          <w:szCs w:val="20"/>
          <w:color w:val="auto"/>
        </w:rPr>
      </w:pPr>
    </w:p>
    <w:p>
      <w:pPr>
        <w:sectPr>
          <w:pgSz w:w="11900" w:h="16838" w:orient="portrait"/>
          <w:cols w:equalWidth="0" w:num="2">
            <w:col w:w="6720" w:space="140"/>
            <w:col w:w="43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10.4</w:t>
      </w:r>
      <w:r>
        <w:rPr>
          <w:sz w:val="20"/>
          <w:szCs w:val="20"/>
          <w:color w:val="auto"/>
        </w:rPr>
        <w:tab/>
      </w:r>
      <w:hyperlink r:id="rId120">
        <w:r>
          <w:rPr>
            <w:rFonts w:ascii="Arial" w:cs="Arial" w:eastAsia="Arial" w:hAnsi="Arial"/>
            <w:sz w:val="15"/>
            <w:szCs w:val="15"/>
            <w:u w:val="single" w:color="auto"/>
            <w:color w:val="0000FF"/>
          </w:rPr>
          <w:t>Form of Performance Restricted Stock Unit Grant Notice and Agreement</w:t>
        </w:r>
      </w:hyperlink>
    </w:p>
    <w:p>
      <w:pPr>
        <w:spacing w:after="0" w:line="346" w:lineRule="exact"/>
        <w:rPr>
          <w:sz w:val="20"/>
          <w:szCs w:val="20"/>
          <w:color w:val="auto"/>
        </w:rPr>
      </w:pPr>
    </w:p>
    <w:p>
      <w:pPr>
        <w:ind w:left="48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10.5+</w:t>
      </w:r>
      <w:r>
        <w:rPr>
          <w:sz w:val="20"/>
          <w:szCs w:val="20"/>
          <w:color w:val="auto"/>
        </w:rPr>
        <w:tab/>
      </w:r>
      <w:hyperlink r:id="rId121">
        <w:r>
          <w:rPr>
            <w:rFonts w:ascii="Arial" w:cs="Arial" w:eastAsia="Arial" w:hAnsi="Arial"/>
            <w:sz w:val="15"/>
            <w:szCs w:val="15"/>
            <w:u w:val="single" w:color="auto"/>
            <w:color w:val="0000FF"/>
          </w:rPr>
          <w:t>2018 Employee Stock Purchase Plan</w:t>
        </w:r>
      </w:hyperlink>
    </w:p>
    <w:p>
      <w:pPr>
        <w:spacing w:after="0" w:line="346" w:lineRule="exact"/>
        <w:rPr>
          <w:sz w:val="20"/>
          <w:szCs w:val="20"/>
          <w:color w:val="auto"/>
        </w:rPr>
      </w:pPr>
    </w:p>
    <w:p>
      <w:pPr>
        <w:ind w:left="1020" w:right="120" w:hanging="543"/>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22">
        <w:r>
          <w:rPr>
            <w:rFonts w:ascii="Arial" w:cs="Arial" w:eastAsia="Arial" w:hAnsi="Arial"/>
            <w:sz w:val="16"/>
            <w:szCs w:val="16"/>
            <w:u w:val="single" w:color="auto"/>
            <w:color w:val="0000FF"/>
          </w:rPr>
          <w:t>Form of Indemnification Agreement by and between Tenable Holdings, Inc. and</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each of its directors and executive officers</w:t>
        </w:r>
      </w:hyperlink>
    </w:p>
    <w:p>
      <w:pPr>
        <w:spacing w:after="0" w:line="160" w:lineRule="exact"/>
        <w:rPr>
          <w:sz w:val="20"/>
          <w:szCs w:val="20"/>
          <w:color w:val="auto"/>
        </w:rPr>
      </w:pPr>
    </w:p>
    <w:p>
      <w:pPr>
        <w:ind w:left="1020" w:hanging="543"/>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10.7+</w:t>
      </w:r>
      <w:r>
        <w:rPr>
          <w:sz w:val="20"/>
          <w:szCs w:val="20"/>
          <w:color w:val="auto"/>
        </w:rPr>
        <w:tab/>
      </w:r>
      <w:hyperlink r:id="rId123">
        <w:r>
          <w:rPr>
            <w:rFonts w:ascii="Arial" w:cs="Arial" w:eastAsia="Arial" w:hAnsi="Arial"/>
            <w:sz w:val="16"/>
            <w:szCs w:val="16"/>
            <w:u w:val="single" w:color="auto"/>
            <w:color w:val="0000FF"/>
          </w:rPr>
          <w:t>Amended and Restated Employment Agreement, dated as of February 20, 2019,</w:t>
        </w:r>
      </w:hyperlink>
      <w:r>
        <w:rPr>
          <w:rFonts w:ascii="Arial" w:cs="Arial" w:eastAsia="Arial" w:hAnsi="Arial"/>
          <w:sz w:val="16"/>
          <w:szCs w:val="16"/>
          <w:u w:val="single" w:color="auto"/>
          <w:color w:val="0000FF"/>
        </w:rPr>
        <w:t xml:space="preserve"> </w:t>
      </w:r>
      <w:hyperlink r:id="rId123">
        <w:r>
          <w:rPr>
            <w:rFonts w:ascii="Arial" w:cs="Arial" w:eastAsia="Arial" w:hAnsi="Arial"/>
            <w:sz w:val="16"/>
            <w:szCs w:val="16"/>
            <w:u w:val="single" w:color="auto"/>
            <w:color w:val="0000FF"/>
          </w:rPr>
          <w:t>by and between Tenable, Inc. and Amit Yoran</w:t>
        </w:r>
      </w:hyperlink>
    </w:p>
    <w:p>
      <w:pPr>
        <w:spacing w:after="0" w:line="160" w:lineRule="exact"/>
        <w:rPr>
          <w:sz w:val="20"/>
          <w:szCs w:val="20"/>
          <w:color w:val="auto"/>
        </w:rPr>
      </w:pPr>
    </w:p>
    <w:p>
      <w:pPr>
        <w:ind w:left="1020" w:right="280" w:hanging="543"/>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10.8+</w:t>
      </w:r>
      <w:r>
        <w:rPr>
          <w:sz w:val="20"/>
          <w:szCs w:val="20"/>
          <w:color w:val="auto"/>
        </w:rPr>
        <w:tab/>
      </w:r>
      <w:hyperlink r:id="rId124">
        <w:r>
          <w:rPr>
            <w:rFonts w:ascii="Arial" w:cs="Arial" w:eastAsia="Arial" w:hAnsi="Arial"/>
            <w:sz w:val="16"/>
            <w:szCs w:val="16"/>
            <w:u w:val="single" w:color="auto"/>
            <w:color w:val="0000FF"/>
          </w:rPr>
          <w:t>Amendment No. 1 to Amended and Restated Employment Agreement, dated</w:t>
        </w:r>
      </w:hyperlink>
      <w:r>
        <w:rPr>
          <w:rFonts w:ascii="Arial" w:cs="Arial" w:eastAsia="Arial" w:hAnsi="Arial"/>
          <w:sz w:val="16"/>
          <w:szCs w:val="16"/>
          <w:u w:val="single" w:color="auto"/>
          <w:color w:val="0000FF"/>
        </w:rPr>
        <w:t xml:space="preserve"> </w:t>
      </w:r>
      <w:hyperlink r:id="rId124">
        <w:r>
          <w:rPr>
            <w:rFonts w:ascii="Arial" w:cs="Arial" w:eastAsia="Arial" w:hAnsi="Arial"/>
            <w:sz w:val="16"/>
            <w:szCs w:val="16"/>
            <w:u w:val="single" w:color="auto"/>
            <w:color w:val="0000FF"/>
          </w:rPr>
          <w:t>August 5, 2025, by and between Tenable, Inc. and Stephen A. Vintz</w:t>
        </w:r>
      </w:hyperlink>
    </w:p>
    <w:p>
      <w:pPr>
        <w:spacing w:after="0" w:line="160" w:lineRule="exact"/>
        <w:rPr>
          <w:sz w:val="20"/>
          <w:szCs w:val="20"/>
          <w:color w:val="auto"/>
        </w:rPr>
      </w:pPr>
    </w:p>
    <w:p>
      <w:pPr>
        <w:ind w:left="1020" w:right="300" w:hanging="543"/>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10.9+</w:t>
      </w:r>
      <w:r>
        <w:rPr>
          <w:sz w:val="20"/>
          <w:szCs w:val="20"/>
          <w:color w:val="auto"/>
        </w:rPr>
        <w:tab/>
      </w:r>
      <w:hyperlink r:id="rId125">
        <w:r>
          <w:rPr>
            <w:rFonts w:ascii="Arial" w:cs="Arial" w:eastAsia="Arial" w:hAnsi="Arial"/>
            <w:sz w:val="16"/>
            <w:szCs w:val="16"/>
            <w:u w:val="single" w:color="auto"/>
            <w:color w:val="0000FF"/>
          </w:rPr>
          <w:t>Amendment No. 1 to Employment Agreement, dated August 5, 2025, by and</w:t>
        </w:r>
      </w:hyperlink>
      <w:r>
        <w:rPr>
          <w:rFonts w:ascii="Arial" w:cs="Arial" w:eastAsia="Arial" w:hAnsi="Arial"/>
          <w:sz w:val="16"/>
          <w:szCs w:val="16"/>
          <w:u w:val="single" w:color="auto"/>
          <w:color w:val="0000FF"/>
        </w:rPr>
        <w:t xml:space="preserve"> </w:t>
      </w:r>
      <w:hyperlink r:id="rId125">
        <w:r>
          <w:rPr>
            <w:rFonts w:ascii="Arial" w:cs="Arial" w:eastAsia="Arial" w:hAnsi="Arial"/>
            <w:sz w:val="16"/>
            <w:szCs w:val="16"/>
            <w:u w:val="single" w:color="auto"/>
            <w:color w:val="0000FF"/>
          </w:rPr>
          <w:t>between Tenable, Inc. and Mark Thurmond</w:t>
        </w:r>
      </w:hyperlink>
    </w:p>
    <w:p>
      <w:pPr>
        <w:spacing w:after="0" w:line="160" w:lineRule="exact"/>
        <w:rPr>
          <w:sz w:val="20"/>
          <w:szCs w:val="20"/>
          <w:color w:val="auto"/>
        </w:rPr>
      </w:pPr>
    </w:p>
    <w:p>
      <w:pPr>
        <w:ind w:left="1020" w:right="140" w:hanging="631"/>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126">
        <w:r>
          <w:rPr>
            <w:rFonts w:ascii="Arial" w:cs="Arial" w:eastAsia="Arial" w:hAnsi="Arial"/>
            <w:sz w:val="16"/>
            <w:szCs w:val="16"/>
            <w:u w:val="single" w:color="auto"/>
            <w:color w:val="0000FF"/>
          </w:rPr>
          <w:t>Employment Agreement, dated August 19, 2025, by and between Tenable, Inc.</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and Matthew Brown</w:t>
        </w:r>
      </w:hyperlink>
    </w:p>
    <w:p>
      <w:pPr>
        <w:spacing w:after="0" w:line="160" w:lineRule="exact"/>
        <w:rPr>
          <w:sz w:val="20"/>
          <w:szCs w:val="20"/>
          <w:color w:val="auto"/>
        </w:rPr>
      </w:pPr>
    </w:p>
    <w:p>
      <w:pPr>
        <w:ind w:left="1020" w:right="500" w:hanging="615"/>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127">
        <w:r>
          <w:rPr>
            <w:rFonts w:ascii="Arial" w:cs="Arial" w:eastAsia="Arial" w:hAnsi="Arial"/>
            <w:sz w:val="16"/>
            <w:szCs w:val="16"/>
            <w:u w:val="single" w:color="auto"/>
            <w:color w:val="0000FF"/>
          </w:rPr>
          <w:t>Distribution Agreement, dated as of September 10, 2012, by and between</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Tenable Network Security, Inc. and Ingram Micro, Inc.</w:t>
        </w:r>
      </w:hyperlink>
    </w:p>
    <w:p>
      <w:pPr>
        <w:spacing w:after="0" w:line="160" w:lineRule="exact"/>
        <w:rPr>
          <w:sz w:val="20"/>
          <w:szCs w:val="20"/>
          <w:color w:val="auto"/>
        </w:rPr>
      </w:pPr>
    </w:p>
    <w:p>
      <w:pPr>
        <w:ind w:left="1020" w:right="120" w:hanging="538"/>
        <w:spacing w:after="0" w:line="250"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128">
        <w:r>
          <w:rPr>
            <w:rFonts w:ascii="Arial" w:cs="Arial" w:eastAsia="Arial" w:hAnsi="Arial"/>
            <w:sz w:val="16"/>
            <w:szCs w:val="16"/>
            <w:u w:val="single" w:color="auto"/>
            <w:color w:val="0000FF"/>
          </w:rPr>
          <w:t>Credit Agreement, dated as of July 7, 2021, by and among Tenable, Inc., the</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lenders party thereto and JPMorgan Chase Bank, N.A., as administrative agent</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and collateral agent.</w:t>
        </w:r>
      </w:hyperlink>
    </w:p>
    <w:p>
      <w:pPr>
        <w:spacing w:after="0" w:line="8" w:lineRule="exact"/>
        <w:rPr>
          <w:rFonts w:ascii="Arial" w:cs="Arial" w:eastAsia="Arial" w:hAnsi="Arial"/>
          <w:sz w:val="16"/>
          <w:szCs w:val="16"/>
          <w:u w:val="single" w:color="auto"/>
          <w:color w:val="0000FF"/>
        </w:rPr>
      </w:pPr>
    </w:p>
    <w:p>
      <w:pPr>
        <w:ind w:left="1020" w:right="420" w:hanging="631"/>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29">
        <w:r>
          <w:rPr>
            <w:rFonts w:ascii="Arial" w:cs="Arial" w:eastAsia="Arial" w:hAnsi="Arial"/>
            <w:sz w:val="16"/>
            <w:szCs w:val="16"/>
            <w:u w:val="single" w:color="auto"/>
            <w:color w:val="0000FF"/>
          </w:rPr>
          <w:t>Form of Restricted Stock Unit Grant Notice and Agreement under the 2018</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Equity Incentive Plan</w:t>
        </w:r>
      </w:hyperlink>
    </w:p>
    <w:p>
      <w:pPr>
        <w:spacing w:after="0" w:line="1" w:lineRule="exact"/>
        <w:rPr>
          <w:sz w:val="20"/>
          <w:szCs w:val="20"/>
          <w:color w:val="auto"/>
        </w:rPr>
      </w:pPr>
    </w:p>
    <w:p>
      <w:pPr>
        <w:ind w:left="1020" w:right="420" w:hanging="631"/>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30">
        <w:r>
          <w:rPr>
            <w:rFonts w:ascii="Arial" w:cs="Arial" w:eastAsia="Arial" w:hAnsi="Arial"/>
            <w:sz w:val="16"/>
            <w:szCs w:val="16"/>
            <w:u w:val="single" w:color="auto"/>
            <w:color w:val="0000FF"/>
          </w:rPr>
          <w:t>Form of Restricted Stock Unit Grant Notice and Agreement under the 2018</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Equity Incentive Plan</w:t>
        </w:r>
      </w:hyperlink>
    </w:p>
    <w:p>
      <w:pPr>
        <w:spacing w:after="0" w:line="1" w:lineRule="exact"/>
        <w:rPr>
          <w:sz w:val="20"/>
          <w:szCs w:val="20"/>
          <w:color w:val="auto"/>
        </w:rPr>
      </w:pPr>
    </w:p>
    <w:p>
      <w:pPr>
        <w:ind w:left="1020" w:hanging="538"/>
        <w:spacing w:after="0" w:line="22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131">
        <w:r>
          <w:rPr>
            <w:rFonts w:ascii="Arial" w:cs="Arial" w:eastAsia="Arial" w:hAnsi="Arial"/>
            <w:sz w:val="16"/>
            <w:szCs w:val="16"/>
            <w:u w:val="single" w:color="auto"/>
            <w:color w:val="0000FF"/>
          </w:rPr>
          <w:t>Amendment No. 1 to Credit Agreement, dated as of June 1, 2023, by and among</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Tenable, Inc., the lenders party thereto and JPMorgan Chase Bank, N.A., as</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administrative agent and collateral agent.</w:t>
        </w:r>
      </w:hyperlink>
    </w:p>
    <w:p>
      <w:pPr>
        <w:spacing w:after="0" w:line="3" w:lineRule="exact"/>
        <w:rPr>
          <w:rFonts w:ascii="Arial" w:cs="Arial" w:eastAsia="Arial" w:hAnsi="Arial"/>
          <w:sz w:val="16"/>
          <w:szCs w:val="16"/>
          <w:u w:val="single" w:color="auto"/>
          <w:color w:val="0000FF"/>
        </w:rPr>
      </w:pPr>
    </w:p>
    <w:p>
      <w:pPr>
        <w:ind w:left="38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10.16+</w:t>
      </w:r>
      <w:r>
        <w:rPr>
          <w:sz w:val="20"/>
          <w:szCs w:val="20"/>
          <w:color w:val="auto"/>
        </w:rPr>
        <w:tab/>
      </w:r>
      <w:hyperlink r:id="rId132">
        <w:r>
          <w:rPr>
            <w:rFonts w:ascii="Arial" w:cs="Arial" w:eastAsia="Arial" w:hAnsi="Arial"/>
            <w:sz w:val="15"/>
            <w:szCs w:val="15"/>
            <w:u w:val="single" w:color="auto"/>
            <w:color w:val="0000FF"/>
          </w:rPr>
          <w:t>Non-Employee Director Compensation Policy</w:t>
        </w:r>
      </w:hyperlink>
    </w:p>
    <w:p>
      <w:pPr>
        <w:spacing w:after="0" w:line="187" w:lineRule="exact"/>
        <w:rPr>
          <w:rFonts w:ascii="Arial" w:cs="Arial" w:eastAsia="Arial" w:hAnsi="Arial"/>
          <w:sz w:val="16"/>
          <w:szCs w:val="16"/>
          <w:u w:val="single" w:color="auto"/>
          <w:color w:val="0000FF"/>
        </w:rPr>
      </w:pPr>
    </w:p>
    <w:p>
      <w:pPr>
        <w:ind w:left="1020" w:hanging="631"/>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133">
        <w:r>
          <w:rPr>
            <w:rFonts w:ascii="Arial" w:cs="Arial" w:eastAsia="Arial" w:hAnsi="Arial"/>
            <w:sz w:val="16"/>
            <w:szCs w:val="16"/>
            <w:u w:val="single" w:color="auto"/>
            <w:color w:val="0000FF"/>
          </w:rPr>
          <w:t>Amended and Restated Employment Agreement, dated as of February 20, 2019,</w:t>
        </w:r>
      </w:hyperlink>
      <w:r>
        <w:rPr>
          <w:rFonts w:ascii="Arial" w:cs="Arial" w:eastAsia="Arial" w:hAnsi="Arial"/>
          <w:sz w:val="16"/>
          <w:szCs w:val="16"/>
          <w:u w:val="single" w:color="auto"/>
          <w:color w:val="0000FF"/>
        </w:rPr>
        <w:t xml:space="preserve"> </w:t>
      </w:r>
      <w:hyperlink r:id="rId133">
        <w:r>
          <w:rPr>
            <w:rFonts w:ascii="Arial" w:cs="Arial" w:eastAsia="Arial" w:hAnsi="Arial"/>
            <w:sz w:val="16"/>
            <w:szCs w:val="16"/>
            <w:u w:val="single" w:color="auto"/>
            <w:color w:val="0000FF"/>
          </w:rPr>
          <w:t>by and between Tenable, Inc. and Stephen A. Vintz</w:t>
        </w:r>
      </w:hyperlink>
    </w:p>
    <w:p>
      <w:pPr>
        <w:spacing w:after="0" w:line="160" w:lineRule="exact"/>
        <w:rPr>
          <w:sz w:val="20"/>
          <w:szCs w:val="20"/>
          <w:color w:val="auto"/>
        </w:rPr>
      </w:pPr>
    </w:p>
    <w:p>
      <w:pPr>
        <w:ind w:left="1020" w:right="60" w:hanging="631"/>
        <w:spacing w:after="0" w:line="241"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134">
        <w:r>
          <w:rPr>
            <w:rFonts w:ascii="Arial" w:cs="Arial" w:eastAsia="Arial" w:hAnsi="Arial"/>
            <w:sz w:val="16"/>
            <w:szCs w:val="16"/>
            <w:u w:val="single" w:color="auto"/>
            <w:color w:val="0000FF"/>
          </w:rPr>
          <w:t>Employment Agreement, dated as of January 1, 2020, by and between Tenable,</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Inc. and Mark Thurmond</w:t>
        </w:r>
      </w:hyperlink>
    </w:p>
    <w:p>
      <w:pPr>
        <w:spacing w:after="0" w:line="160" w:lineRule="exact"/>
        <w:rPr>
          <w:sz w:val="20"/>
          <w:szCs w:val="20"/>
          <w:color w:val="auto"/>
        </w:rPr>
      </w:pPr>
    </w:p>
    <w:p>
      <w:pPr>
        <w:ind w:left="560"/>
        <w:spacing w:after="0"/>
        <w:tabs>
          <w:tab w:leader="none" w:pos="1000" w:val="left"/>
        </w:tabs>
        <w:rPr>
          <w:rFonts w:ascii="Arial" w:cs="Arial" w:eastAsia="Arial" w:hAnsi="Arial"/>
          <w:sz w:val="15"/>
          <w:szCs w:val="15"/>
          <w:u w:val="single" w:color="auto"/>
          <w:color w:val="0000FF"/>
        </w:rPr>
      </w:pPr>
      <w:r>
        <w:rPr>
          <w:rFonts w:ascii="Arial" w:cs="Arial" w:eastAsia="Arial" w:hAnsi="Arial"/>
          <w:sz w:val="16"/>
          <w:szCs w:val="16"/>
          <w:color w:val="auto"/>
        </w:rPr>
        <w:t>19.1</w:t>
      </w:r>
      <w:r>
        <w:rPr>
          <w:sz w:val="20"/>
          <w:szCs w:val="20"/>
          <w:color w:val="auto"/>
        </w:rPr>
        <w:tab/>
      </w:r>
      <w:hyperlink r:id="rId135">
        <w:r>
          <w:rPr>
            <w:rFonts w:ascii="Arial" w:cs="Arial" w:eastAsia="Arial" w:hAnsi="Arial"/>
            <w:sz w:val="15"/>
            <w:szCs w:val="15"/>
            <w:u w:val="single" w:color="auto"/>
            <w:color w:val="0000FF"/>
          </w:rPr>
          <w:t>Tenable Holdings, Inc. Insider Trading Policy</w:t>
        </w:r>
      </w:hyperlink>
    </w:p>
    <w:p>
      <w:pPr>
        <w:spacing w:after="0" w:line="346"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5"/>
          <w:szCs w:val="15"/>
          <w:u w:val="single" w:color="auto"/>
          <w:color w:val="0000FF"/>
        </w:rPr>
        <w:t>Subsidiaries of Tenable Holdings, Inc.</w:t>
      </w:r>
    </w:p>
    <w:p>
      <w:pPr>
        <w:spacing w:after="0" w:line="28"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5"/>
          <w:szCs w:val="15"/>
          <w:u w:val="single" w:color="auto"/>
          <w:color w:val="0000FF"/>
        </w:rPr>
        <w:t>Consent of Ernst &amp; Young LLP, independent registered public accounting firm</w:t>
      </w:r>
    </w:p>
    <w:p>
      <w:pPr>
        <w:spacing w:after="0" w:line="28"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5"/>
          <w:szCs w:val="15"/>
          <w:u w:val="single" w:color="auto"/>
          <w:color w:val="0000FF"/>
        </w:rPr>
        <w:t>Power of Attorney</w:t>
      </w:r>
    </w:p>
    <w:p>
      <w:pPr>
        <w:spacing w:after="0" w:line="28" w:lineRule="exact"/>
        <w:rPr>
          <w:sz w:val="20"/>
          <w:szCs w:val="20"/>
          <w:color w:val="auto"/>
        </w:rPr>
      </w:pPr>
    </w:p>
    <w:p>
      <w:pPr>
        <w:jc w:val="both"/>
        <w:ind w:left="1020" w:right="180" w:hanging="450"/>
        <w:spacing w:after="0" w:line="229" w:lineRule="auto"/>
        <w:tabs>
          <w:tab w:leader="none" w:pos="100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of the Principal Executive Officer pursuant to Rules 13a-14(a) and 15d-14(a) under the Exchange Act,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60"/>
        <w:spacing w:after="0" w:line="229" w:lineRule="auto"/>
        <w:rPr>
          <w:sz w:val="20"/>
          <w:szCs w:val="20"/>
          <w:color w:val="auto"/>
        </w:rPr>
      </w:pPr>
      <w:r>
        <w:rPr>
          <w:rFonts w:ascii="Arial" w:cs="Arial" w:eastAsia="Arial" w:hAnsi="Arial"/>
          <w:sz w:val="16"/>
          <w:szCs w:val="16"/>
          <w:color w:val="auto"/>
        </w:rPr>
        <w:t>Previously filed as Exhibit 10.1 to the Company's Current Report on Form 8-K (File No. 001-38600) filed on February 28, 2022</w:t>
      </w:r>
    </w:p>
    <w:p>
      <w:pPr>
        <w:spacing w:after="0" w:line="3" w:lineRule="exact"/>
        <w:rPr>
          <w:sz w:val="20"/>
          <w:szCs w:val="20"/>
          <w:color w:val="auto"/>
        </w:rPr>
      </w:pPr>
    </w:p>
    <w:p>
      <w:pPr>
        <w:ind w:right="420"/>
        <w:spacing w:after="0" w:line="229"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3" w:lineRule="exact"/>
        <w:rPr>
          <w:sz w:val="20"/>
          <w:szCs w:val="20"/>
          <w:color w:val="auto"/>
        </w:rPr>
      </w:pPr>
    </w:p>
    <w:p>
      <w:pPr>
        <w:ind w:right="420"/>
        <w:spacing w:after="0" w:line="229" w:lineRule="auto"/>
        <w:rPr>
          <w:sz w:val="20"/>
          <w:szCs w:val="20"/>
          <w:color w:val="auto"/>
        </w:rPr>
      </w:pPr>
      <w:r>
        <w:rPr>
          <w:rFonts w:ascii="Arial" w:cs="Arial" w:eastAsia="Arial" w:hAnsi="Arial"/>
          <w:sz w:val="16"/>
          <w:szCs w:val="16"/>
          <w:color w:val="auto"/>
        </w:rPr>
        <w:t>Previously filed as Exhibit 10.6 to the Company's Registration Statement on Form S-1 (File No. 333-226002) on July 16, 2018</w:t>
      </w:r>
    </w:p>
    <w:p>
      <w:pPr>
        <w:spacing w:after="0" w:line="3" w:lineRule="exact"/>
        <w:rPr>
          <w:sz w:val="20"/>
          <w:szCs w:val="20"/>
          <w:color w:val="auto"/>
        </w:rPr>
      </w:pPr>
    </w:p>
    <w:p>
      <w:pPr>
        <w:ind w:right="280"/>
        <w:spacing w:after="0" w:line="229" w:lineRule="auto"/>
        <w:rPr>
          <w:sz w:val="20"/>
          <w:szCs w:val="20"/>
          <w:color w:val="auto"/>
        </w:rPr>
      </w:pPr>
      <w:r>
        <w:rPr>
          <w:rFonts w:ascii="Arial" w:cs="Arial" w:eastAsia="Arial" w:hAnsi="Arial"/>
          <w:sz w:val="16"/>
          <w:szCs w:val="16"/>
          <w:color w:val="auto"/>
        </w:rPr>
        <w:t>Previously filed as Exhibit 10.1 to the Company's Current Report on Form 8-K (File No. 001-38600) on February 22, 2019</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6"/>
          <w:szCs w:val="16"/>
          <w:color w:val="auto"/>
        </w:rPr>
        <w:t>Previously filed as Exhibit 10.2 to the Company's Quarterly Report on Form 10-Q (File No. 001-38600) on August 8, 2025</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6"/>
          <w:szCs w:val="16"/>
          <w:color w:val="auto"/>
        </w:rPr>
        <w:t>Previously filed as Exhibit 10.3 to the Company's Quarterly Report on Form 10-Q (File No. 001-38600) on August 8, 2025</w:t>
      </w:r>
    </w:p>
    <w:p>
      <w:pPr>
        <w:spacing w:after="0" w:line="3" w:lineRule="exact"/>
        <w:rPr>
          <w:sz w:val="20"/>
          <w:szCs w:val="20"/>
          <w:color w:val="auto"/>
        </w:rPr>
      </w:pPr>
    </w:p>
    <w:p>
      <w:pPr>
        <w:ind w:right="280"/>
        <w:spacing w:after="0" w:line="229" w:lineRule="auto"/>
        <w:rPr>
          <w:sz w:val="20"/>
          <w:szCs w:val="20"/>
          <w:color w:val="auto"/>
        </w:rPr>
      </w:pPr>
      <w:r>
        <w:rPr>
          <w:rFonts w:ascii="Arial" w:cs="Arial" w:eastAsia="Arial" w:hAnsi="Arial"/>
          <w:sz w:val="16"/>
          <w:szCs w:val="16"/>
          <w:color w:val="auto"/>
        </w:rPr>
        <w:t>Previously filed as Exhibit 10.1 to the Company's Current Report on Form 8-K (File No. 001-38600) on August 21, 2025</w:t>
      </w:r>
    </w:p>
    <w:p>
      <w:pPr>
        <w:spacing w:after="0" w:line="3" w:lineRule="exact"/>
        <w:rPr>
          <w:sz w:val="20"/>
          <w:szCs w:val="20"/>
          <w:color w:val="auto"/>
        </w:rPr>
      </w:pPr>
    </w:p>
    <w:p>
      <w:pPr>
        <w:jc w:val="both"/>
        <w:ind w:right="420"/>
        <w:spacing w:after="0" w:line="229" w:lineRule="auto"/>
        <w:rPr>
          <w:sz w:val="20"/>
          <w:szCs w:val="20"/>
          <w:color w:val="auto"/>
        </w:rPr>
      </w:pPr>
      <w:r>
        <w:rPr>
          <w:rFonts w:ascii="Arial" w:cs="Arial" w:eastAsia="Arial" w:hAnsi="Arial"/>
          <w:sz w:val="16"/>
          <w:szCs w:val="16"/>
          <w:color w:val="auto"/>
        </w:rPr>
        <w:t>Previously filed as Exhibit 10.12 to the Company's Registration Statement on Form S-1 (File No. 333-226002) on July 16, 2018</w:t>
      </w:r>
    </w:p>
    <w:p>
      <w:pPr>
        <w:spacing w:after="0" w:line="3"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Previously filed as Exhibit 10.2 to the Company's Form 10-Q (File No. 001-38600) on August 2, 2021</w:t>
      </w:r>
    </w:p>
    <w:p>
      <w:pPr>
        <w:spacing w:after="0" w:line="213"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Previously filed as Exhibit 10.2 to the Company's Form 10-Q (File No. 001-38600) on August 2, 2023</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Previously filed as Exhibit 10.1 to the Company's Form 10-Q (File No. 001-38600) on November 9, 2023</w:t>
      </w:r>
    </w:p>
    <w:p>
      <w:pPr>
        <w:ind w:right="140"/>
        <w:spacing w:after="0" w:line="241" w:lineRule="auto"/>
        <w:rPr>
          <w:sz w:val="20"/>
          <w:szCs w:val="20"/>
          <w:color w:val="auto"/>
        </w:rPr>
      </w:pPr>
      <w:r>
        <w:rPr>
          <w:rFonts w:ascii="Arial" w:cs="Arial" w:eastAsia="Arial" w:hAnsi="Arial"/>
          <w:sz w:val="16"/>
          <w:szCs w:val="16"/>
          <w:color w:val="auto"/>
        </w:rPr>
        <w:t>Previously filed as Exhibit 10.1 to the Company's Form 10-Q (File No. 001-38600) on August 2, 2023</w:t>
      </w:r>
    </w:p>
    <w:p>
      <w:pPr>
        <w:spacing w:after="0" w:line="160"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Previously filed as Exhibit 10.1 to the Company's Form 10-Q (File No. 001-38600) on August 8, 2025</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6"/>
          <w:szCs w:val="16"/>
          <w:color w:val="auto"/>
        </w:rPr>
        <w:t>Previously filed as Exhibit 10.2 to the Company's Current Report on Form 8-K (File No. 001-38600) on February 22, 2019</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6"/>
          <w:szCs w:val="16"/>
          <w:color w:val="auto"/>
        </w:rPr>
        <w:t>Previously filed as Exhibit 10.11 to the Company's Annual Report on Form 10-K (File No. 001-38600) on February 24, 2023</w:t>
      </w:r>
    </w:p>
    <w:p>
      <w:pPr>
        <w:spacing w:after="0" w:line="3"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Previously filed as Exhibit 19.1 to the Company's Annual Report on Form 10-K (File No. 001-38600) on February 21, 2025</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42" w:lineRule="exact"/>
        <w:rPr>
          <w:sz w:val="20"/>
          <w:szCs w:val="20"/>
          <w:color w:val="auto"/>
        </w:rPr>
      </w:pPr>
    </w:p>
    <w:p>
      <w:pPr>
        <w:sectPr>
          <w:pgSz w:w="11900" w:h="16838" w:orient="portrait"/>
          <w:cols w:equalWidth="0" w:num="2">
            <w:col w:w="6700" w:space="160"/>
            <w:col w:w="3980"/>
          </w:cols>
          <w:pgMar w:left="320" w:top="12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31.2</w:t>
            </w:r>
          </w:p>
        </w:tc>
        <w:tc>
          <w:tcPr>
            <w:tcW w:w="5620" w:type="dxa"/>
            <w:vAlign w:val="bottom"/>
            <w:gridSpan w:val="7"/>
          </w:tcPr>
          <w:p>
            <w:pPr>
              <w:spacing w:after="0"/>
              <w:rPr>
                <w:sz w:val="20"/>
                <w:szCs w:val="20"/>
                <w:color w:val="auto"/>
              </w:rPr>
            </w:pPr>
            <w:r>
              <w:rPr>
                <w:rFonts w:ascii="Arial" w:cs="Arial" w:eastAsia="Arial" w:hAnsi="Arial"/>
                <w:sz w:val="16"/>
                <w:szCs w:val="16"/>
                <w:color w:val="0000FF"/>
              </w:rPr>
              <w:t>Certification of the Principal Financial Officer pursuant to Rules 13a-14(a) and</w:t>
            </w:r>
          </w:p>
        </w:tc>
      </w:tr>
      <w:tr>
        <w:trPr>
          <w:trHeight w:val="139"/>
        </w:trPr>
        <w:tc>
          <w:tcPr>
            <w:tcW w:w="780" w:type="dxa"/>
            <w:vAlign w:val="bottom"/>
          </w:tcPr>
          <w:p>
            <w:pPr>
              <w:spacing w:after="0"/>
              <w:rPr>
                <w:sz w:val="12"/>
                <w:szCs w:val="12"/>
                <w:color w:val="auto"/>
              </w:rPr>
            </w:pPr>
          </w:p>
        </w:tc>
        <w:tc>
          <w:tcPr>
            <w:tcW w:w="5460" w:type="dxa"/>
            <w:vAlign w:val="bottom"/>
            <w:tcBorders>
              <w:top w:val="single" w:sz="8" w:color="0000FF"/>
              <w:bottom w:val="single" w:sz="8" w:color="0000FF"/>
            </w:tcBorders>
            <w:gridSpan w:val="3"/>
          </w:tcPr>
          <w:p>
            <w:pPr>
              <w:spacing w:after="0" w:line="139" w:lineRule="exact"/>
              <w:rPr>
                <w:sz w:val="20"/>
                <w:szCs w:val="20"/>
                <w:color w:val="auto"/>
              </w:rPr>
            </w:pPr>
            <w:r>
              <w:rPr>
                <w:rFonts w:ascii="Arial" w:cs="Arial" w:eastAsia="Arial" w:hAnsi="Arial"/>
                <w:sz w:val="16"/>
                <w:szCs w:val="16"/>
                <w:color w:val="0000FF"/>
                <w:w w:val="98"/>
              </w:rPr>
              <w:t>15d-14(a) under the Exchange Act, as adopted pursuant to Section 302 of the</w:t>
            </w:r>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5480" w:type="dxa"/>
            <w:vAlign w:val="bottom"/>
            <w:gridSpan w:val="4"/>
          </w:tcPr>
          <w:p>
            <w:pPr>
              <w:spacing w:after="0" w:line="139" w:lineRule="exact"/>
              <w:rPr>
                <w:sz w:val="20"/>
                <w:szCs w:val="20"/>
                <w:color w:val="auto"/>
              </w:rPr>
            </w:pPr>
            <w:r>
              <w:rPr>
                <w:rFonts w:ascii="Arial" w:cs="Arial" w:eastAsia="Arial" w:hAnsi="Arial"/>
                <w:sz w:val="16"/>
                <w:szCs w:val="16"/>
                <w:color w:val="0000FF"/>
              </w:rPr>
              <w:t>Sarbanes-Oxley Act of 2002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32.1*</w:t>
            </w:r>
          </w:p>
        </w:tc>
        <w:tc>
          <w:tcPr>
            <w:tcW w:w="5620" w:type="dxa"/>
            <w:vAlign w:val="bottom"/>
            <w:gridSpan w:val="7"/>
          </w:tcPr>
          <w:p>
            <w:pPr>
              <w:spacing w:after="0"/>
              <w:rPr>
                <w:sz w:val="20"/>
                <w:szCs w:val="20"/>
                <w:color w:val="auto"/>
              </w:rPr>
            </w:pPr>
            <w:r>
              <w:rPr>
                <w:rFonts w:ascii="Arial" w:cs="Arial" w:eastAsia="Arial" w:hAnsi="Arial"/>
                <w:sz w:val="16"/>
                <w:szCs w:val="16"/>
                <w:color w:val="0000FF"/>
                <w:w w:val="99"/>
              </w:rPr>
              <w:t>Certification of the Principal Executive Officer and the Principal Financial Officer</w:t>
            </w:r>
          </w:p>
        </w:tc>
      </w:tr>
      <w:tr>
        <w:trPr>
          <w:trHeight w:val="139"/>
        </w:trPr>
        <w:tc>
          <w:tcPr>
            <w:tcW w:w="780" w:type="dxa"/>
            <w:vAlign w:val="bottom"/>
          </w:tcPr>
          <w:p>
            <w:pPr>
              <w:spacing w:after="0"/>
              <w:rPr>
                <w:sz w:val="12"/>
                <w:szCs w:val="12"/>
                <w:color w:val="auto"/>
              </w:rPr>
            </w:pPr>
          </w:p>
        </w:tc>
        <w:tc>
          <w:tcPr>
            <w:tcW w:w="5600" w:type="dxa"/>
            <w:vAlign w:val="bottom"/>
            <w:tcBorders>
              <w:top w:val="single" w:sz="8" w:color="0000FF"/>
            </w:tcBorders>
            <w:gridSpan w:val="6"/>
          </w:tcPr>
          <w:p>
            <w:pPr>
              <w:spacing w:after="0" w:line="139" w:lineRule="exact"/>
              <w:rPr>
                <w:sz w:val="20"/>
                <w:szCs w:val="20"/>
                <w:color w:val="auto"/>
              </w:rPr>
            </w:pPr>
            <w:r>
              <w:rPr>
                <w:rFonts w:ascii="Arial" w:cs="Arial" w:eastAsia="Arial" w:hAnsi="Arial"/>
                <w:sz w:val="16"/>
                <w:szCs w:val="16"/>
                <w:color w:val="0000FF"/>
              </w:rPr>
              <w:t>pursuant to 18 U.S.C. Section 1350, as adopted pursuant to Section 906 of the</w:t>
            </w:r>
          </w:p>
        </w:tc>
        <w:tc>
          <w:tcPr>
            <w:tcW w:w="20" w:type="dxa"/>
            <w:vAlign w:val="bottom"/>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5540" w:type="dxa"/>
            <w:vAlign w:val="bottom"/>
            <w:tcBorders>
              <w:top w:val="single" w:sz="8" w:color="0000FF"/>
            </w:tcBorders>
            <w:gridSpan w:val="5"/>
          </w:tcPr>
          <w:p>
            <w:pPr>
              <w:spacing w:after="0" w:line="139" w:lineRule="exact"/>
              <w:rPr>
                <w:sz w:val="20"/>
                <w:szCs w:val="20"/>
                <w:color w:val="auto"/>
              </w:rPr>
            </w:pPr>
            <w:r>
              <w:rPr>
                <w:rFonts w:ascii="Arial" w:cs="Arial" w:eastAsia="Arial" w:hAnsi="Arial"/>
                <w:sz w:val="16"/>
                <w:szCs w:val="16"/>
                <w:color w:val="0000FF"/>
              </w:rPr>
              <w:t>Sarbanes-Oxley Act of 2002</w:t>
            </w:r>
          </w:p>
        </w:tc>
        <w:tc>
          <w:tcPr>
            <w:tcW w:w="80" w:type="dxa"/>
            <w:vAlign w:val="bottom"/>
            <w:gridSpan w:val="2"/>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97.1</w:t>
            </w:r>
          </w:p>
        </w:tc>
        <w:tc>
          <w:tcPr>
            <w:tcW w:w="3120" w:type="dxa"/>
            <w:vAlign w:val="bottom"/>
            <w:tcBorders>
              <w:bottom w:val="single" w:sz="8" w:color="0000FF"/>
            </w:tcBorders>
            <w:gridSpan w:val="2"/>
          </w:tcPr>
          <w:p>
            <w:pPr>
              <w:spacing w:after="0"/>
              <w:rPr>
                <w:rFonts w:ascii="Arial" w:cs="Arial" w:eastAsia="Arial" w:hAnsi="Arial"/>
                <w:sz w:val="16"/>
                <w:szCs w:val="16"/>
                <w:color w:val="0000FF"/>
                <w:w w:val="98"/>
              </w:rPr>
            </w:pPr>
            <w:hyperlink r:id="rId137">
              <w:r>
                <w:rPr>
                  <w:rFonts w:ascii="Arial" w:cs="Arial" w:eastAsia="Arial" w:hAnsi="Arial"/>
                  <w:sz w:val="16"/>
                  <w:szCs w:val="16"/>
                  <w:color w:val="0000FF"/>
                  <w:w w:val="98"/>
                </w:rPr>
                <w:t>Incentive Compensation Recoupment Policy</w:t>
              </w:r>
            </w:hyperlink>
          </w:p>
        </w:tc>
        <w:tc>
          <w:tcPr>
            <w:tcW w:w="2500" w:type="dxa"/>
            <w:vAlign w:val="bottom"/>
            <w:gridSpan w:val="5"/>
          </w:tcPr>
          <w:p>
            <w:pPr>
              <w:spacing w:after="0"/>
              <w:rPr>
                <w:sz w:val="16"/>
                <w:szCs w:val="16"/>
                <w:color w:val="auto"/>
              </w:rPr>
            </w:pPr>
          </w:p>
        </w:tc>
      </w:tr>
      <w:tr>
        <w:trPr>
          <w:trHeight w:val="547"/>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5"/>
              </w:rPr>
              <w:t>101.SCH</w:t>
            </w:r>
          </w:p>
        </w:tc>
        <w:tc>
          <w:tcPr>
            <w:tcW w:w="562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9"/>
              </w:rPr>
              <w:t>101.CAL</w:t>
            </w:r>
          </w:p>
        </w:tc>
        <w:tc>
          <w:tcPr>
            <w:tcW w:w="562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8"/>
              </w:rPr>
              <w:t>101.DEF</w:t>
            </w:r>
          </w:p>
        </w:tc>
        <w:tc>
          <w:tcPr>
            <w:tcW w:w="562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101.LAB</w:t>
            </w:r>
          </w:p>
        </w:tc>
        <w:tc>
          <w:tcPr>
            <w:tcW w:w="562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6"/>
              </w:rPr>
              <w:t>101.PRE</w:t>
            </w:r>
          </w:p>
        </w:tc>
        <w:tc>
          <w:tcPr>
            <w:tcW w:w="562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 w:lineRule="exact"/>
        <w:rPr>
          <w:sz w:val="20"/>
          <w:szCs w:val="20"/>
          <w:color w:val="auto"/>
        </w:rPr>
      </w:pPr>
    </w:p>
    <w:p>
      <w:pPr>
        <w:ind w:left="1020" w:right="360" w:hanging="409"/>
        <w:spacing w:after="0" w:line="229"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46" w:lineRule="exact"/>
        <w:rPr>
          <w:sz w:val="20"/>
          <w:szCs w:val="20"/>
          <w:color w:val="auto"/>
        </w:rPr>
      </w:pPr>
    </w:p>
    <w:p>
      <w:pPr>
        <w:jc w:val="both"/>
        <w:ind w:right="320"/>
        <w:spacing w:after="0" w:line="229" w:lineRule="auto"/>
        <w:rPr>
          <w:sz w:val="20"/>
          <w:szCs w:val="20"/>
          <w:color w:val="auto"/>
        </w:rPr>
      </w:pPr>
      <w:r>
        <w:rPr>
          <w:rFonts w:ascii="Arial" w:cs="Arial" w:eastAsia="Arial" w:hAnsi="Arial"/>
          <w:sz w:val="16"/>
          <w:szCs w:val="16"/>
          <w:color w:val="auto"/>
        </w:rPr>
        <w:t>Previously filed as Exhibit 97.1 to the Company's Annual Report on Form 10-K (File No. 001-38600) on February 28, 2024</w:t>
      </w:r>
    </w:p>
    <w:p>
      <w:pPr>
        <w:spacing w:after="0" w:line="1674" w:lineRule="exact"/>
        <w:rPr>
          <w:sz w:val="20"/>
          <w:szCs w:val="20"/>
          <w:color w:val="auto"/>
        </w:rPr>
      </w:pPr>
    </w:p>
    <w:p>
      <w:pPr>
        <w:sectPr>
          <w:pgSz w:w="11900" w:h="16838" w:orient="portrait"/>
          <w:cols w:equalWidth="0" w:num="2">
            <w:col w:w="6620" w:space="240"/>
            <w:col w:w="4300"/>
          </w:cols>
          <w:pgMar w:left="320" w:top="121" w:right="419" w:bottom="1440" w:gutter="0" w:footer="0" w:header="0"/>
        </w:sectPr>
      </w:pPr>
    </w:p>
    <w:p>
      <w:pPr>
        <w:spacing w:after="0"/>
        <w:rPr>
          <w:sz w:val="20"/>
          <w:szCs w:val="20"/>
          <w:color w:val="auto"/>
        </w:rPr>
      </w:pPr>
      <w:r>
        <w:rPr>
          <w:rFonts w:ascii="Arial" w:cs="Arial" w:eastAsia="Arial" w:hAnsi="Arial"/>
          <w:sz w:val="11"/>
          <w:szCs w:val="11"/>
          <w:color w:val="auto"/>
        </w:rPr>
        <w:t>________________</w:t>
      </w:r>
    </w:p>
    <w:p>
      <w:pPr>
        <w:spacing w:after="0" w:line="45" w:lineRule="exact"/>
        <w:rPr>
          <w:sz w:val="20"/>
          <w:szCs w:val="20"/>
          <w:color w:val="auto"/>
        </w:rPr>
      </w:pPr>
    </w:p>
    <w:p>
      <w:pPr>
        <w:ind w:firstLine="6"/>
        <w:spacing w:after="0" w:line="267" w:lineRule="auto"/>
        <w:tabs>
          <w:tab w:leader="none" w:pos="3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62" w:lineRule="exact"/>
        <w:rPr>
          <w:sz w:val="20"/>
          <w:szCs w:val="20"/>
          <w:color w:val="auto"/>
        </w:rPr>
      </w:pPr>
    </w:p>
    <w:p>
      <w:pPr>
        <w:ind w:left="380" w:hanging="374"/>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21" w:lineRule="exact"/>
        <w:rPr>
          <w:sz w:val="20"/>
          <w:szCs w:val="20"/>
          <w:color w:val="auto"/>
        </w:rPr>
      </w:pPr>
    </w:p>
    <w:p>
      <w:pPr>
        <w:ind w:right="340" w:firstLine="6"/>
        <w:spacing w:after="0" w:line="275" w:lineRule="auto"/>
        <w:tabs>
          <w:tab w:leader="none" w:pos="371"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indicated by asterisks, which portions have been omitted and filed separately with the Securities and Exchange Commission.</w:t>
      </w:r>
    </w:p>
    <w:p>
      <w:pPr>
        <w:spacing w:after="0" w:line="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80" w:type="dxa"/>
            <w:vAlign w:val="bottom"/>
          </w:tcPr>
          <w:p>
            <w:pPr>
              <w:spacing w:after="0"/>
              <w:rPr>
                <w:sz w:val="21"/>
                <w:szCs w:val="21"/>
                <w:color w:val="auto"/>
              </w:rPr>
            </w:pPr>
          </w:p>
        </w:tc>
        <w:tc>
          <w:tcPr>
            <w:tcW w:w="77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TENABLE HOLDINGS, INC.</w:t>
            </w:r>
          </w:p>
        </w:tc>
      </w:tr>
      <w:tr>
        <w:trPr>
          <w:trHeight w:val="477"/>
        </w:trPr>
        <w:tc>
          <w:tcPr>
            <w:tcW w:w="3480" w:type="dxa"/>
            <w:vAlign w:val="bottom"/>
          </w:tcPr>
          <w:p>
            <w:pPr>
              <w:spacing w:after="0"/>
              <w:rPr>
                <w:sz w:val="20"/>
                <w:szCs w:val="20"/>
                <w:color w:val="auto"/>
              </w:rPr>
            </w:pPr>
            <w:r>
              <w:rPr>
                <w:rFonts w:ascii="Arial" w:cs="Arial" w:eastAsia="Arial" w:hAnsi="Arial"/>
                <w:sz w:val="18"/>
                <w:szCs w:val="18"/>
                <w:color w:val="auto"/>
              </w:rPr>
              <w:t>Date:   February 27, 2026</w:t>
            </w:r>
          </w:p>
        </w:tc>
        <w:tc>
          <w:tcPr>
            <w:tcW w:w="7740" w:type="dxa"/>
            <w:vAlign w:val="bottom"/>
            <w:gridSpan w:val="2"/>
          </w:tcPr>
          <w:p>
            <w:pPr>
              <w:ind w:left="1380"/>
              <w:spacing w:after="0"/>
              <w:rPr>
                <w:sz w:val="20"/>
                <w:szCs w:val="20"/>
                <w:color w:val="auto"/>
              </w:rPr>
            </w:pPr>
            <w:r>
              <w:rPr>
                <w:rFonts w:ascii="Arial" w:cs="Arial" w:eastAsia="Arial" w:hAnsi="Arial"/>
                <w:sz w:val="18"/>
                <w:szCs w:val="18"/>
                <w:color w:val="auto"/>
              </w:rPr>
              <w:t>By:  /s/ Matthew Brown</w:t>
            </w:r>
          </w:p>
        </w:tc>
      </w:tr>
      <w:tr>
        <w:trPr>
          <w:trHeight w:val="215"/>
        </w:trPr>
        <w:tc>
          <w:tcPr>
            <w:tcW w:w="3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Brown</w:t>
            </w:r>
          </w:p>
        </w:tc>
      </w:tr>
      <w:tr>
        <w:trPr>
          <w:trHeight w:val="225"/>
        </w:trPr>
        <w:tc>
          <w:tcPr>
            <w:tcW w:w="3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2"/>
        </w:trPr>
        <w:tc>
          <w:tcPr>
            <w:tcW w:w="3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19"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A. Vintz, Matthew Brown and J. Barron Anschutz,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06"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34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58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5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 and 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C. Thurmond</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 and 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Mark C. Thurmond</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Brown</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Matthew Brown</w:t>
            </w:r>
          </w:p>
        </w:tc>
        <w:tc>
          <w:tcPr>
            <w:tcW w:w="1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/s/ J. Barron Anschutz</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14"/>
        </w:trPr>
        <w:tc>
          <w:tcPr>
            <w:tcW w:w="3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J. Barron Anschutz</w:t>
            </w:r>
          </w:p>
        </w:tc>
        <w:tc>
          <w:tcPr>
            <w:tcW w:w="1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Zecher Higgins</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Linda Zecher Higgins</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Niloofar Razi Howe</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Niloofar Razi Howe</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Margaret Keane</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Margaret Keane</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Alexander Tosheff</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George Alexander Tosheff</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Vicks,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27, 2026</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8"/>
                <w:szCs w:val="18"/>
                <w:color w:val="auto"/>
              </w:rPr>
              <w:t>Raymond Vicks, Jr.</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40"/>
          </w:cols>
          <w:pgMar w:left="32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TENABLE HOLDINGS, INC.</w:t>
      </w:r>
    </w:p>
    <w:p>
      <w:pPr>
        <w:sectPr>
          <w:pgSz w:w="11900" w:h="16838" w:orient="portrait"/>
          <w:cols w:equalWidth="0" w:num="1">
            <w:col w:w="11220"/>
          </w:cols>
          <w:pgMar w:left="340" w:top="121"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Tenable, Inc.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Accurics, Inc.</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Ermetic Ltd.</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Apex Security Ltd</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Vulcan Cyber Ltd</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Tenable Israel Ltd.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Bit Discovery, Inc.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Tenable Network Security Ireland Limited</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Alsid, SAS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Tenable Public Sector LLC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Vulcan Cyber, Inc.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of Incorporation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00" w:space="720"/>
            <w:col w:w="5600"/>
          </w:cols>
          <w:pgMar w:left="340" w:top="121" w:right="3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1" w:lineRule="exact"/>
        <w:rPr>
          <w:sz w:val="20"/>
          <w:szCs w:val="20"/>
          <w:color w:val="auto"/>
        </w:rPr>
      </w:pPr>
    </w:p>
    <w:p>
      <w:pPr>
        <w:ind w:left="760" w:hanging="373"/>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S-3ASR No. 333-240164) of Tenable Holdings, Inc.,</w:t>
      </w:r>
    </w:p>
    <w:p>
      <w:pPr>
        <w:spacing w:after="0" w:line="58" w:lineRule="exact"/>
        <w:rPr>
          <w:rFonts w:ascii="Arial" w:cs="Arial" w:eastAsia="Arial" w:hAnsi="Arial"/>
          <w:sz w:val="18"/>
          <w:szCs w:val="18"/>
          <w:color w:val="auto"/>
        </w:rPr>
      </w:pPr>
    </w:p>
    <w:p>
      <w:pPr>
        <w:ind w:left="760" w:right="540" w:hanging="373"/>
        <w:spacing w:after="0" w:line="26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333-236759)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540" w:hanging="373"/>
        <w:spacing w:after="0" w:line="26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333-253376)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100" w:hanging="373"/>
        <w:spacing w:after="0" w:line="255"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 2018 Employee Stock Purchase Plan,</w:t>
      </w:r>
    </w:p>
    <w:p>
      <w:pPr>
        <w:spacing w:after="0" w:line="21" w:lineRule="exact"/>
        <w:rPr>
          <w:rFonts w:ascii="Arial" w:cs="Arial" w:eastAsia="Arial" w:hAnsi="Arial"/>
          <w:sz w:val="18"/>
          <w:szCs w:val="18"/>
          <w:color w:val="auto"/>
        </w:rPr>
      </w:pPr>
    </w:p>
    <w:p>
      <w:pPr>
        <w:ind w:left="760" w:right="600" w:hanging="373"/>
        <w:spacing w:after="0" w:line="26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333-230040)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600" w:hanging="373"/>
        <w:spacing w:after="0" w:line="26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333-263050)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600" w:hanging="373"/>
        <w:spacing w:after="0" w:line="26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333-270021) pertaining to the Tenable Holdings, Inc. 2018 Equity Incentive Plan and the Tenable Holdings, Inc. 2018 Employee Stock Purchase Plan,</w:t>
      </w:r>
    </w:p>
    <w:p>
      <w:pPr>
        <w:spacing w:after="0" w:line="14" w:lineRule="exact"/>
        <w:rPr>
          <w:rFonts w:ascii="Arial" w:cs="Arial" w:eastAsia="Arial" w:hAnsi="Arial"/>
          <w:sz w:val="18"/>
          <w:szCs w:val="18"/>
          <w:color w:val="auto"/>
        </w:rPr>
      </w:pPr>
    </w:p>
    <w:p>
      <w:pPr>
        <w:ind w:left="760" w:right="600" w:hanging="373"/>
        <w:spacing w:after="0" w:line="268"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333-277466) pertaining to the Tenable Holdings, Inc. 2018 Equity Incentive Plan and the Tenable Holdings, Inc. 2018 Employee Stock Purchase Plan, and</w:t>
      </w:r>
    </w:p>
    <w:p>
      <w:pPr>
        <w:spacing w:after="0" w:line="14" w:lineRule="exact"/>
        <w:rPr>
          <w:rFonts w:ascii="Arial" w:cs="Arial" w:eastAsia="Arial" w:hAnsi="Arial"/>
          <w:sz w:val="18"/>
          <w:szCs w:val="18"/>
          <w:color w:val="auto"/>
        </w:rPr>
      </w:pPr>
    </w:p>
    <w:p>
      <w:pPr>
        <w:ind w:left="760" w:right="600" w:hanging="373"/>
        <w:spacing w:after="0" w:line="274"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Registration Statement (Form S-8 No. 333-285153) pertaining to the Tenable Holdings, Inc. 2018 Equity Incentive Plan and the Tenable Holdings, Inc. 2018 Employee Stock Purchase Plan;</w:t>
      </w:r>
    </w:p>
    <w:p>
      <w:pPr>
        <w:spacing w:after="0" w:line="190"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of our reports dated February 27, 2026, with respect to the consolidated financial statements and schedule of Tenable Holdings, Inc. and the effectiveness of internal control over financial reporting of Tenable Holdings, Inc. included in this Annual Report (Form 10-K) of Tenable Holdings, Inc. for the year ended December 31, 2025.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p>
      <w:pPr>
        <w:sectPr>
          <w:pgSz w:w="11900" w:h="16838" w:orient="portrait"/>
          <w:cols w:equalWidth="0" w:num="1">
            <w:col w:w="11240"/>
          </w:cols>
          <w:pgMar w:left="320" w:top="121" w:right="339" w:bottom="1440" w:gutter="0" w:footer="0" w:header="0"/>
        </w:sectPr>
      </w:pPr>
    </w:p>
    <w:bookmarkStart w:id="109" w:name="page110"/>
    <w:bookmarkEnd w:id="109"/>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11"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1" w:lineRule="exact"/>
        <w:rPr>
          <w:rFonts w:ascii="Arial" w:cs="Arial" w:eastAsia="Arial" w:hAnsi="Arial"/>
          <w:sz w:val="18"/>
          <w:szCs w:val="18"/>
          <w:color w:val="auto"/>
        </w:rPr>
      </w:pPr>
    </w:p>
    <w:p>
      <w:pPr>
        <w:ind w:left="640" w:right="120" w:hanging="316"/>
        <w:spacing w:after="0" w:line="26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160" w:hanging="316"/>
        <w:spacing w:after="0" w:line="304" w:lineRule="auto"/>
        <w:tabs>
          <w:tab w:leader="none" w:pos="6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7"/>
          <w:szCs w:val="17"/>
          <w:color w:val="auto"/>
        </w:rPr>
      </w:pPr>
    </w:p>
    <w:p>
      <w:pPr>
        <w:ind w:left="640" w:right="120" w:hanging="316"/>
        <w:spacing w:after="0" w:line="270" w:lineRule="auto"/>
        <w:tabs>
          <w:tab w:leader="none" w:pos="6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5" w:lineRule="exact"/>
        <w:rPr>
          <w:rFonts w:ascii="Arial" w:cs="Arial" w:eastAsia="Arial" w:hAnsi="Arial"/>
          <w:sz w:val="17"/>
          <w:szCs w:val="17"/>
          <w:color w:val="auto"/>
        </w:rPr>
      </w:pPr>
    </w:p>
    <w:p>
      <w:pPr>
        <w:ind w:left="1280" w:right="320" w:hanging="320"/>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320" w:hanging="320"/>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260" w:hanging="320"/>
        <w:spacing w:after="0" w:line="260" w:lineRule="auto"/>
        <w:tabs>
          <w:tab w:leader="none" w:pos="12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380" w:hanging="320"/>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640" w:right="140" w:hanging="316"/>
        <w:spacing w:after="0" w:line="26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240" w:hanging="320"/>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180" w:hanging="320"/>
        <w:spacing w:after="0" w:line="274"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Date:   February 27, 2026</w:t>
            </w:r>
          </w:p>
        </w:tc>
        <w:tc>
          <w:tcPr>
            <w:tcW w:w="7080" w:type="dxa"/>
            <w:vAlign w:val="bottom"/>
            <w:gridSpan w:val="2"/>
          </w:tcPr>
          <w:p>
            <w:pPr>
              <w:ind w:left="1820"/>
              <w:spacing w:after="0"/>
              <w:rPr>
                <w:sz w:val="20"/>
                <w:szCs w:val="20"/>
                <w:color w:val="auto"/>
              </w:rPr>
            </w:pPr>
            <w:r>
              <w:rPr>
                <w:rFonts w:ascii="Arial" w:cs="Arial" w:eastAsia="Arial" w:hAnsi="Arial"/>
                <w:sz w:val="18"/>
                <w:szCs w:val="18"/>
                <w:color w:val="auto"/>
              </w:rPr>
              <w:t>By:  /s/ Stephen A. Vintz</w:t>
            </w:r>
          </w:p>
        </w:tc>
      </w:tr>
      <w:tr>
        <w:trPr>
          <w:trHeight w:val="215"/>
        </w:trPr>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25"/>
        </w:trPr>
        <w:tc>
          <w:tcPr>
            <w:tcW w:w="3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Co-Chief Executive Officer and Director</w:t>
            </w:r>
          </w:p>
        </w:tc>
      </w:tr>
      <w:tr>
        <w:trPr>
          <w:trHeight w:val="232"/>
        </w:trPr>
        <w:tc>
          <w:tcPr>
            <w:tcW w:w="3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340"/>
          </w:cols>
          <w:pgMar w:left="32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Matthew Brown, certify that:</w:t>
      </w:r>
    </w:p>
    <w:p>
      <w:pPr>
        <w:spacing w:after="0" w:line="111"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1" w:lineRule="exact"/>
        <w:rPr>
          <w:rFonts w:ascii="Arial" w:cs="Arial" w:eastAsia="Arial" w:hAnsi="Arial"/>
          <w:sz w:val="18"/>
          <w:szCs w:val="18"/>
          <w:color w:val="auto"/>
        </w:rPr>
      </w:pPr>
    </w:p>
    <w:p>
      <w:pPr>
        <w:ind w:left="640" w:right="20" w:hanging="316"/>
        <w:spacing w:after="0" w:line="260" w:lineRule="auto"/>
        <w:tabs>
          <w:tab w:leader="none" w:pos="6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60" w:hanging="316"/>
        <w:spacing w:after="0" w:line="304" w:lineRule="auto"/>
        <w:tabs>
          <w:tab w:leader="none" w:pos="6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7"/>
          <w:szCs w:val="17"/>
          <w:color w:val="auto"/>
        </w:rPr>
      </w:pPr>
    </w:p>
    <w:p>
      <w:pPr>
        <w:ind w:left="640" w:right="20" w:hanging="316"/>
        <w:spacing w:after="0" w:line="270" w:lineRule="auto"/>
        <w:tabs>
          <w:tab w:leader="none" w:pos="6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5" w:lineRule="exact"/>
        <w:rPr>
          <w:rFonts w:ascii="Arial" w:cs="Arial" w:eastAsia="Arial" w:hAnsi="Arial"/>
          <w:sz w:val="17"/>
          <w:szCs w:val="17"/>
          <w:color w:val="auto"/>
        </w:rPr>
      </w:pPr>
    </w:p>
    <w:p>
      <w:pPr>
        <w:ind w:left="1280" w:right="220" w:hanging="320"/>
        <w:spacing w:after="0" w:line="260"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220" w:hanging="320"/>
        <w:spacing w:after="0" w:line="260"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160" w:hanging="320"/>
        <w:spacing w:after="0" w:line="260" w:lineRule="auto"/>
        <w:tabs>
          <w:tab w:leader="none" w:pos="12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280" w:hanging="320"/>
        <w:spacing w:after="0" w:line="260"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640" w:right="40" w:hanging="316"/>
        <w:spacing w:after="0" w:line="260" w:lineRule="auto"/>
        <w:tabs>
          <w:tab w:leader="none" w:pos="6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140" w:hanging="320"/>
        <w:spacing w:after="0" w:line="260"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80" w:hanging="320"/>
        <w:spacing w:after="0" w:line="27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Date:   February 27, 2026</w:t>
            </w:r>
          </w:p>
        </w:tc>
        <w:tc>
          <w:tcPr>
            <w:tcW w:w="7280" w:type="dxa"/>
            <w:vAlign w:val="bottom"/>
            <w:gridSpan w:val="2"/>
          </w:tcPr>
          <w:p>
            <w:pPr>
              <w:ind w:left="1800"/>
              <w:spacing w:after="0"/>
              <w:rPr>
                <w:sz w:val="20"/>
                <w:szCs w:val="20"/>
                <w:color w:val="auto"/>
              </w:rPr>
            </w:pPr>
            <w:r>
              <w:rPr>
                <w:rFonts w:ascii="Arial" w:cs="Arial" w:eastAsia="Arial" w:hAnsi="Arial"/>
                <w:sz w:val="18"/>
                <w:szCs w:val="18"/>
                <w:color w:val="auto"/>
              </w:rPr>
              <w:t>By:  /s/ Matthew Brown</w:t>
            </w:r>
          </w:p>
        </w:tc>
      </w:tr>
      <w:tr>
        <w:trPr>
          <w:trHeight w:val="215"/>
        </w:trPr>
        <w:tc>
          <w:tcPr>
            <w:tcW w:w="3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Brown</w:t>
            </w:r>
          </w:p>
        </w:tc>
      </w:tr>
      <w:tr>
        <w:trPr>
          <w:trHeight w:val="225"/>
        </w:trPr>
        <w:tc>
          <w:tcPr>
            <w:tcW w:w="39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2"/>
        </w:trPr>
        <w:tc>
          <w:tcPr>
            <w:tcW w:w="3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1" w:right="339" w:bottom="1440" w:gutter="0" w:footer="0" w:header="0"/>
        </w:sectPr>
      </w:pPr>
    </w:p>
    <w:bookmarkStart w:id="111" w:name="page112"/>
    <w:bookmarkEnd w:id="111"/>
    <w:p>
      <w:pPr>
        <w:ind w:left="102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Annual Report on Form 10-K of Tenable Holdings, Inc. for the fiscal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20"/>
              <w:spacing w:after="0"/>
              <w:rPr>
                <w:sz w:val="20"/>
                <w:szCs w:val="20"/>
                <w:color w:val="auto"/>
              </w:rPr>
            </w:pPr>
            <w:r>
              <w:rPr>
                <w:rFonts w:ascii="Arial" w:cs="Arial" w:eastAsia="Arial" w:hAnsi="Arial"/>
                <w:sz w:val="18"/>
                <w:szCs w:val="18"/>
                <w:color w:val="auto"/>
              </w:rPr>
              <w:t>February 27, 2026</w:t>
            </w:r>
          </w:p>
        </w:tc>
        <w:tc>
          <w:tcPr>
            <w:tcW w:w="2240" w:type="dxa"/>
            <w:vAlign w:val="bottom"/>
          </w:tcPr>
          <w:p>
            <w:pPr>
              <w:ind w:left="18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15"/>
        </w:trPr>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25"/>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Co-Chief Executive Officer and Director</w:t>
            </w:r>
          </w:p>
        </w:tc>
      </w:tr>
      <w:tr>
        <w:trPr>
          <w:trHeight w:val="232"/>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20"/>
              <w:spacing w:after="0"/>
              <w:rPr>
                <w:sz w:val="20"/>
                <w:szCs w:val="20"/>
                <w:color w:val="auto"/>
              </w:rPr>
            </w:pPr>
            <w:r>
              <w:rPr>
                <w:rFonts w:ascii="Arial" w:cs="Arial" w:eastAsia="Arial" w:hAnsi="Arial"/>
                <w:sz w:val="18"/>
                <w:szCs w:val="18"/>
                <w:color w:val="auto"/>
              </w:rPr>
              <w:t>February 27, 2026</w:t>
            </w:r>
          </w:p>
        </w:tc>
        <w:tc>
          <w:tcPr>
            <w:tcW w:w="2240" w:type="dxa"/>
            <w:vAlign w:val="bottom"/>
          </w:tcPr>
          <w:p>
            <w:pPr>
              <w:ind w:left="18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Brown</w:t>
            </w:r>
          </w:p>
        </w:tc>
      </w:tr>
      <w:tr>
        <w:trPr>
          <w:trHeight w:val="215"/>
        </w:trPr>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Matthew Brown</w:t>
            </w:r>
          </w:p>
        </w:tc>
      </w:tr>
      <w:tr>
        <w:trPr>
          <w:trHeight w:val="225"/>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2"/>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340"/>
      </w:cols>
      <w:pgMar w:left="32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2"/>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104"/>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36"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11" Type="http://schemas.openxmlformats.org/officeDocument/2006/relationships/hyperlink" Target="https://www.sec.gov/Archives/edgar/data/1660280/000119312518231446/d562353dex31.htm" TargetMode="External"/><Relationship Id="rId112" Type="http://schemas.openxmlformats.org/officeDocument/2006/relationships/hyperlink" Target="https://www.sec.gov/Archives/edgar/data/1660280/000166028023000147/ex31.htm" TargetMode="External"/><Relationship Id="rId113" Type="http://schemas.openxmlformats.org/officeDocument/2006/relationships/hyperlink" Target="https://www.sec.gov/Archives/edgar/data/1660280/000119312518218215/d548092dex41.htm" TargetMode="External"/><Relationship Id="rId114" Type="http://schemas.openxmlformats.org/officeDocument/2006/relationships/hyperlink" Target="https://www.sec.gov/Archives/edgar/data/1660280/000166028020000012/ex41descriptionoftenab.htm" TargetMode="External"/><Relationship Id="rId115" Type="http://schemas.openxmlformats.org/officeDocument/2006/relationships/hyperlink" Target="https://www.sec.gov/Archives/edgar/data/1660280/000119312518226924/d494510dex101.htm" TargetMode="External"/><Relationship Id="rId116" Type="http://schemas.openxmlformats.org/officeDocument/2006/relationships/hyperlink" Target="https://www.sec.gov/Archives/edgar/data/1660280/000119312518226924/d494510dex102.htm" TargetMode="External"/><Relationship Id="rId117" Type="http://schemas.openxmlformats.org/officeDocument/2006/relationships/hyperlink" Target="https://www.sec.gov/Archives/edgar/data/1660280/000119312518226924/d494510dex104.htm" TargetMode="External"/><Relationship Id="rId120" Type="http://schemas.openxmlformats.org/officeDocument/2006/relationships/hyperlink" Target="https://www.sec.gov/Archives/edgar/data/1660280/000166028022000039/ex101performancevestrsuagr.htm" TargetMode="External"/><Relationship Id="rId121" Type="http://schemas.openxmlformats.org/officeDocument/2006/relationships/hyperlink" Target="https://www.sec.gov/Archives/edgar/data/1660280/000119312518226924/d494510dex105.htm" TargetMode="External"/><Relationship Id="rId122" Type="http://schemas.openxmlformats.org/officeDocument/2006/relationships/hyperlink" Target="https://www.sec.gov/Archives/edgar/data/0001660280/000119312518209705/d548092dex106.htm" TargetMode="External"/><Relationship Id="rId123" Type="http://schemas.openxmlformats.org/officeDocument/2006/relationships/hyperlink" Target="https://www.sec.gov/Archives/edgar/data/1660280/000166028019000005/yoranamendedandrestatedemp.htm" TargetMode="External"/><Relationship Id="rId124" Type="http://schemas.openxmlformats.org/officeDocument/2006/relationships/hyperlink" Target="https://www.sec.gov/Archives/edgar/data/0001660280/000166028025000090/q22025exhibit102.htm" TargetMode="External"/><Relationship Id="rId125" Type="http://schemas.openxmlformats.org/officeDocument/2006/relationships/hyperlink" Target="https://www.sec.gov/Archives/edgar/data/0001660280/000166028025000090/q22025exhibit103.htm" TargetMode="External"/><Relationship Id="rId126" Type="http://schemas.openxmlformats.org/officeDocument/2006/relationships/hyperlink" Target="https://www.sec.gov/Archives/edgar/data/0001660280/000166028025000095/a8212025ex101.htm" TargetMode="External"/><Relationship Id="rId127" Type="http://schemas.openxmlformats.org/officeDocument/2006/relationships/hyperlink" Target="https://www.sec.gov/Archives/edgar/data/0001660280/000119312518209705/d548092dex1012.htm" TargetMode="External"/><Relationship Id="rId128" Type="http://schemas.openxmlformats.org/officeDocument/2006/relationships/hyperlink" Target="https://www.sec.gov/Archives/edgar/data/1660280/000166028021000127/tenable-creditagreement.htm" TargetMode="External"/><Relationship Id="rId129" Type="http://schemas.openxmlformats.org/officeDocument/2006/relationships/hyperlink" Target="https://www.sec.gov/Archives/edgar/data/1660280/000166028023000107/q22023exhibit102.htm" TargetMode="External"/><Relationship Id="rId130" Type="http://schemas.openxmlformats.org/officeDocument/2006/relationships/hyperlink" Target="https://www.sec.gov/Archives/edgar/data/1660280/000166028023000144/q32023exhibit101.htm" TargetMode="External"/><Relationship Id="rId131" Type="http://schemas.openxmlformats.org/officeDocument/2006/relationships/hyperlink" Target="https://www.sec.gov/Archives/edgar/data/1660280/000166028023000107/libortransitionamendment.htm" TargetMode="External"/><Relationship Id="rId132" Type="http://schemas.openxmlformats.org/officeDocument/2006/relationships/hyperlink" Target="https://www.sec.gov/Archives/edgar/data/0001660280/000166028025000090/q22025exhibit101.htm" TargetMode="External"/><Relationship Id="rId133" Type="http://schemas.openxmlformats.org/officeDocument/2006/relationships/hyperlink" Target="https://www.sec.gov/Archives/edgar/data/1660280/000166028019000005/vintz-amendedandrestatedem.htm" TargetMode="External"/><Relationship Id="rId134" Type="http://schemas.openxmlformats.org/officeDocument/2006/relationships/hyperlink" Target="https://www.sec.gov/Archives/edgar/data/1660280/000166028023000032/q42022exhibit1011.htm" TargetMode="External"/><Relationship Id="rId135" Type="http://schemas.openxmlformats.org/officeDocument/2006/relationships/hyperlink" Target="https://www.sec.gov/Archives/edgar/data/1660280/000166028025000034/q42024ex191.htm" TargetMode="External"/><Relationship Id="rId137" Type="http://schemas.openxmlformats.org/officeDocument/2006/relationships/hyperlink" Target="https://www.sec.gov/Archives/edgar/data/0001660280/000166028024000033/q42023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2026-02-27T17:12:50Z</dcterms:created>
  <dcterms:modified xsi:type="dcterms:W3CDTF">2026-02-27T17:12:50Z</dcterms:modified>
</cp:coreProperties>
</file>