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78879533.xml.htm"/>
      <w:bookmarkStart w:id="1" w:name="kswkform4_1778879533"/>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COVIELLO ARTHUR W JR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TENABLE HOLDINGS,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6100 MERRIWEATHER DRIVE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COLUMBIA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MD</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21044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Tenable Holdings, Inc.</w:t>
              </w:r>
            </w:hyperlink>
            <w:r>
              <w:rPr/>
              <w:t xml:space="preserve"> [ </w:t>
            </w:r>
            <w:r>
              <w:rPr>
                <w:rFonts w:ascii="Times;serif" w:hAnsi="Times;serif"/>
                <w:color w:val="0000FF"/>
                <w:sz w:val="24"/>
                <w:shd w:fill="FFFFFF" w:val="clear"/>
              </w:rPr>
              <w:t>TENB</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05/13/2026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85"/>
        <w:gridCol w:w="906"/>
        <w:gridCol w:w="775"/>
        <w:gridCol w:w="602"/>
        <w:gridCol w:w="353"/>
        <w:gridCol w:w="861"/>
        <w:gridCol w:w="466"/>
        <w:gridCol w:w="629"/>
        <w:gridCol w:w="1184"/>
        <w:gridCol w:w="1013"/>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8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8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8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05/13/2026</w:t>
            </w:r>
          </w:p>
        </w:tc>
        <w:tc>
          <w:tcPr>
            <w:tcW w:w="7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6,062</w:t>
            </w:r>
          </w:p>
        </w:tc>
        <w:tc>
          <w:tcPr>
            <w:tcW w:w="4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57,793</w:t>
            </w:r>
          </w:p>
        </w:tc>
        <w:tc>
          <w:tcPr>
            <w:tcW w:w="10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29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606"/>
        <w:gridCol w:w="606"/>
        <w:gridCol w:w="906"/>
        <w:gridCol w:w="801"/>
        <w:gridCol w:w="891"/>
        <w:gridCol w:w="681"/>
        <w:gridCol w:w="801"/>
        <w:gridCol w:w="936"/>
        <w:gridCol w:w="831"/>
        <w:gridCol w:w="846"/>
      </w:tblGrid>
      <w:tr>
        <w:trPr>
          <w:tblHeader w:val="true"/>
        </w:trPr>
        <w:tc>
          <w:tcPr>
            <w:tcW w:w="1229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2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05/13/2026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6,062</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6,062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05/13/2026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9,718</w:t>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9,718</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9,718</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("RSU") represents a contingent right to receive one share of Issuer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100% of the shares underlying the RSUs vested as of May 13,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100% of the shares underlying the RSUs vest on the earlier of May 13, 2027 or the Issuer's next annual shareholder meeting, subject to the Reporting Person's continuous service with the Issuer as of the applicable vesting date, and subject to accelerated vesting in specified circumstances.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David Bartholomew,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05/15/2026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06587" TargetMode="External"/><Relationship Id="rId5" Type="http://schemas.openxmlformats.org/officeDocument/2006/relationships/hyperlink" Target="http://www.sec.gov/cgi-bin/browse-edgar?action=getcompany&amp;CIK=000166028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671</Words>
  <Characters>3599</Characters>
  <CharactersWithSpaces>4189</CharactersWithSpaces>
  <Paragraphs>122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