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FORM 10-Q</w:t>
      </w:r>
    </w:p>
    <w:p>
      <w:pPr>
        <w:spacing w:after="0" w:line="43"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22"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001-38600</w:t>
      </w:r>
    </w:p>
    <w:p>
      <w:pPr>
        <w:spacing w:after="0" w:line="22"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231F20"/>
        </w:rPr>
        <w:t>TENABLE HOLDINGS,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00"/>
          </w:cols>
          <w:pgMar w:left="320" w:top="1189" w:right="379" w:bottom="1440" w:gutter="0" w:footer="0" w:header="0"/>
        </w:sectPr>
      </w:pPr>
    </w:p>
    <w:p>
      <w:pPr>
        <w:spacing w:after="0" w:line="113"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95" w:lineRule="exact"/>
        <w:rPr>
          <w:sz w:val="24"/>
          <w:szCs w:val="24"/>
          <w:color w:val="auto"/>
        </w:rPr>
      </w:pPr>
    </w:p>
    <w:p>
      <w:pPr>
        <w:sectPr>
          <w:pgSz w:w="11900" w:h="16838" w:orient="portrait"/>
          <w:cols w:equalWidth="0" w:num="2">
            <w:col w:w="7740" w:space="720"/>
            <w:col w:w="2740"/>
          </w:cols>
          <w:pgMar w:left="320" w:top="1189" w:right="37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94" w:lineRule="exact"/>
        <w:rPr>
          <w:sz w:val="24"/>
          <w:szCs w:val="24"/>
          <w:color w:val="auto"/>
        </w:rPr>
      </w:pPr>
    </w:p>
    <w:p>
      <w:pPr>
        <w:sectPr>
          <w:pgSz w:w="11900" w:h="16838" w:orient="portrait"/>
          <w:cols w:equalWidth="0" w:num="2">
            <w:col w:w="6920" w:space="720"/>
            <w:col w:w="3560"/>
          </w:cols>
          <w:pgMar w:left="320" w:top="1189"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7021 Columbia Gateway Drive, Suite 500, Columbia, Maryland, 21046</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(410) 872-0555</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1189" w:right="379" w:bottom="1440" w:gutter="0" w:footer="0" w:header="0"/>
          <w:type w:val="continuous"/>
        </w:sectPr>
      </w:pP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240" w:space="720"/>
            <w:col w:w="1880" w:space="720"/>
            <w:col w:w="3640"/>
          </w:cols>
          <w:pgMar w:left="320" w:top="1189"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200" w:lineRule="exact"/>
        <w:rPr>
          <w:sz w:val="24"/>
          <w:szCs w:val="24"/>
          <w:color w:val="auto"/>
        </w:rPr>
      </w:pPr>
    </w:p>
    <w:p>
      <w:pPr>
        <w:sectPr>
          <w:pgSz w:w="11900" w:h="16838" w:orient="portrait"/>
          <w:cols w:equalWidth="0" w:num="3">
            <w:col w:w="4680" w:space="720"/>
            <w:col w:w="1940" w:space="720"/>
            <w:col w:w="3140"/>
          </w:cols>
          <w:pgMar w:left="320" w:top="1189" w:right="379" w:bottom="1440" w:gutter="0" w:footer="0" w:header="0"/>
          <w:type w:val="continuous"/>
        </w:sectPr>
      </w:pPr>
    </w:p>
    <w:p>
      <w:pPr>
        <w:spacing w:after="0" w:line="8" w:lineRule="exact"/>
        <w:rPr>
          <w:sz w:val="24"/>
          <w:szCs w:val="24"/>
          <w:color w:val="auto"/>
        </w:rPr>
      </w:pPr>
    </w:p>
    <w:p>
      <w:pPr>
        <w:jc w:val="both"/>
        <w:ind w:right="3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4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54"/>
        </w:trPr>
        <w:tc>
          <w:tcPr>
            <w:tcW w:w="3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 w:lineRule="exact"/>
        <w:rPr>
          <w:sz w:val="24"/>
          <w:szCs w:val="24"/>
          <w:color w:val="auto"/>
        </w:rPr>
      </w:pPr>
    </w:p>
    <w:p>
      <w:pPr>
        <w:ind w:left="20" w:right="80"/>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4" w:lineRule="exact"/>
        <w:rPr>
          <w:sz w:val="24"/>
          <w:szCs w:val="24"/>
          <w:color w:val="auto"/>
        </w:rPr>
      </w:pPr>
    </w:p>
    <w:p>
      <w:pPr>
        <w:ind w:right="156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October 23, 2020 was 103,115,371.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887730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jc w:val="center"/>
              <w:ind w:right="550"/>
              <w:spacing w:after="0"/>
              <w:rPr>
                <w:sz w:val="20"/>
                <w:szCs w:val="20"/>
                <w:color w:val="auto"/>
              </w:rPr>
            </w:pPr>
            <w:r>
              <w:rPr>
                <w:rFonts w:ascii="Arial" w:cs="Arial" w:eastAsia="Arial" w:hAnsi="Arial"/>
                <w:sz w:val="18"/>
                <w:szCs w:val="18"/>
                <w:b w:val="1"/>
                <w:bCs w:val="1"/>
                <w:color w:val="auto"/>
              </w:rPr>
              <w:t>TENABLE HOLDINGS, INC.</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80" w:type="dxa"/>
            <w:vAlign w:val="bottom"/>
          </w:tcPr>
          <w:p>
            <w:pPr>
              <w:jc w:val="center"/>
              <w:ind w:right="55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vMerge w:val="restart"/>
          </w:tcPr>
          <w:p>
            <w:pPr>
              <w:jc w:val="center"/>
              <w:ind w:right="530"/>
              <w:spacing w:after="0"/>
              <w:rPr>
                <w:rFonts w:ascii="Arial" w:cs="Arial" w:eastAsia="Arial" w:hAnsi="Arial"/>
                <w:sz w:val="18"/>
                <w:szCs w:val="18"/>
                <w:b w:val="1"/>
                <w:bCs w:val="1"/>
                <w:u w:val="single" w:color="auto"/>
                <w:color w:val="0000FF"/>
                <w:w w:val="99"/>
              </w:rPr>
            </w:pPr>
            <w:hyperlink w:anchor="page2">
              <w:r>
                <w:rPr>
                  <w:rFonts w:ascii="Arial" w:cs="Arial" w:eastAsia="Arial" w:hAnsi="Arial"/>
                  <w:sz w:val="18"/>
                  <w:szCs w:val="18"/>
                  <w:b w:val="1"/>
                  <w:bCs w:val="1"/>
                  <w:u w:val="single" w:color="auto"/>
                  <w:color w:val="0000FF"/>
                  <w:w w:val="99"/>
                </w:rPr>
                <w:t>PART I – FINANCIAL INFORMATION</w:t>
              </w:r>
            </w:hyperlink>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Item 1.</w:t>
              </w:r>
            </w:hyperlink>
          </w:p>
        </w:tc>
        <w:tc>
          <w:tcPr>
            <w:tcW w:w="9760" w:type="dxa"/>
            <w:vAlign w:val="bottom"/>
            <w:gridSpan w:val="2"/>
          </w:tcPr>
          <w:p>
            <w:pPr>
              <w:ind w:left="1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Statements</w:t>
              </w:r>
            </w:hyperlink>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9760" w:type="dxa"/>
            <w:vAlign w:val="bottom"/>
            <w:gridSpan w:val="2"/>
          </w:tcPr>
          <w:p>
            <w:pPr>
              <w:ind w:left="1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w:t>
              </w:r>
            </w:hyperlink>
          </w:p>
        </w:tc>
        <w:tc>
          <w:tcPr>
            <w:tcW w:w="42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760" w:type="dxa"/>
            <w:vAlign w:val="bottom"/>
            <w:gridSpan w:val="2"/>
          </w:tcPr>
          <w:p>
            <w:pPr>
              <w:ind w:left="1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w:t>
              </w:r>
            </w:hyperlink>
          </w:p>
        </w:tc>
        <w:tc>
          <w:tcPr>
            <w:tcW w:w="42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760" w:type="dxa"/>
            <w:vAlign w:val="bottom"/>
            <w:gridSpan w:val="2"/>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Comprehensive Loss</w:t>
              </w:r>
            </w:hyperlink>
          </w:p>
        </w:tc>
        <w:tc>
          <w:tcPr>
            <w:tcW w:w="42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9760" w:type="dxa"/>
            <w:vAlign w:val="bottom"/>
            <w:gridSpan w:val="2"/>
          </w:tcPr>
          <w:p>
            <w:pPr>
              <w:ind w:left="1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Stockholders' Equity</w:t>
              </w:r>
            </w:hyperlink>
          </w:p>
        </w:tc>
        <w:tc>
          <w:tcPr>
            <w:tcW w:w="42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760" w:type="dxa"/>
            <w:vAlign w:val="bottom"/>
            <w:gridSpan w:val="2"/>
          </w:tcPr>
          <w:p>
            <w:pPr>
              <w:ind w:left="1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w:t>
              </w:r>
            </w:hyperlink>
          </w:p>
        </w:tc>
        <w:tc>
          <w:tcPr>
            <w:tcW w:w="42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760" w:type="dxa"/>
            <w:vAlign w:val="bottom"/>
            <w:gridSpan w:val="2"/>
          </w:tcPr>
          <w:p>
            <w:pPr>
              <w:ind w:left="1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Consolidated Financial Statements</w:t>
              </w:r>
            </w:hyperlink>
          </w:p>
        </w:tc>
        <w:tc>
          <w:tcPr>
            <w:tcW w:w="420" w:type="dxa"/>
            <w:vAlign w:val="bottom"/>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480" w:type="dxa"/>
            <w:vAlign w:val="bottom"/>
          </w:tcPr>
          <w:p>
            <w:pPr>
              <w:ind w:left="320"/>
              <w:spacing w:after="0"/>
              <w:rPr>
                <w:rFonts w:ascii="Arial" w:cs="Arial" w:eastAsia="Arial" w:hAnsi="Arial"/>
                <w:sz w:val="18"/>
                <w:szCs w:val="18"/>
                <w:u w:val="single" w:color="auto"/>
                <w:color w:val="0000FF"/>
                <w:w w:val="92"/>
              </w:rPr>
            </w:pPr>
            <w:hyperlink w:anchor="page8">
              <w:r>
                <w:rPr>
                  <w:rFonts w:ascii="Arial" w:cs="Arial" w:eastAsia="Arial" w:hAnsi="Arial"/>
                  <w:sz w:val="18"/>
                  <w:szCs w:val="18"/>
                  <w:u w:val="single" w:color="auto"/>
                  <w:color w:val="0000FF"/>
                  <w:w w:val="92"/>
                </w:rPr>
                <w:t>1.</w:t>
              </w:r>
            </w:hyperlink>
          </w:p>
        </w:tc>
        <w:tc>
          <w:tcPr>
            <w:tcW w:w="9280" w:type="dxa"/>
            <w:vAlign w:val="bottom"/>
          </w:tcPr>
          <w:p>
            <w:pPr>
              <w:ind w:left="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Business and Summary of Significant Accounting Policies</w:t>
              </w:r>
            </w:hyperlink>
          </w:p>
        </w:tc>
        <w:tc>
          <w:tcPr>
            <w:tcW w:w="420" w:type="dxa"/>
            <w:vAlign w:val="bottom"/>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480" w:type="dxa"/>
            <w:vAlign w:val="bottom"/>
          </w:tcPr>
          <w:p>
            <w:pPr>
              <w:ind w:left="320"/>
              <w:spacing w:after="0"/>
              <w:rPr>
                <w:rFonts w:ascii="Arial" w:cs="Arial" w:eastAsia="Arial" w:hAnsi="Arial"/>
                <w:sz w:val="18"/>
                <w:szCs w:val="18"/>
                <w:u w:val="single" w:color="auto"/>
                <w:color w:val="0000FF"/>
                <w:w w:val="92"/>
              </w:rPr>
            </w:pPr>
            <w:hyperlink w:anchor="page9">
              <w:r>
                <w:rPr>
                  <w:rFonts w:ascii="Arial" w:cs="Arial" w:eastAsia="Arial" w:hAnsi="Arial"/>
                  <w:sz w:val="18"/>
                  <w:szCs w:val="18"/>
                  <w:u w:val="single" w:color="auto"/>
                  <w:color w:val="0000FF"/>
                  <w:w w:val="92"/>
                </w:rPr>
                <w:t>2.</w:t>
              </w:r>
            </w:hyperlink>
          </w:p>
        </w:tc>
        <w:tc>
          <w:tcPr>
            <w:tcW w:w="9280" w:type="dxa"/>
            <w:vAlign w:val="bottom"/>
          </w:tcPr>
          <w:p>
            <w:pPr>
              <w:ind w:left="4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Revenue Recognition</w:t>
              </w:r>
            </w:hyperlink>
          </w:p>
        </w:tc>
        <w:tc>
          <w:tcPr>
            <w:tcW w:w="420" w:type="dxa"/>
            <w:vAlign w:val="bottom"/>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480" w:type="dxa"/>
            <w:vAlign w:val="bottom"/>
          </w:tcPr>
          <w:p>
            <w:pPr>
              <w:ind w:left="320"/>
              <w:spacing w:after="0"/>
              <w:rPr>
                <w:rFonts w:ascii="Arial" w:cs="Arial" w:eastAsia="Arial" w:hAnsi="Arial"/>
                <w:sz w:val="18"/>
                <w:szCs w:val="18"/>
                <w:u w:val="single" w:color="auto"/>
                <w:color w:val="0000FF"/>
                <w:w w:val="92"/>
              </w:rPr>
            </w:pPr>
            <w:hyperlink w:anchor="page10">
              <w:r>
                <w:rPr>
                  <w:rFonts w:ascii="Arial" w:cs="Arial" w:eastAsia="Arial" w:hAnsi="Arial"/>
                  <w:sz w:val="18"/>
                  <w:szCs w:val="18"/>
                  <w:u w:val="single" w:color="auto"/>
                  <w:color w:val="0000FF"/>
                  <w:w w:val="92"/>
                </w:rPr>
                <w:t>3.</w:t>
              </w:r>
            </w:hyperlink>
          </w:p>
        </w:tc>
        <w:tc>
          <w:tcPr>
            <w:tcW w:w="9280" w:type="dxa"/>
            <w:vAlign w:val="bottom"/>
          </w:tcPr>
          <w:p>
            <w:pPr>
              <w:ind w:left="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Cash and Cash Equivalents and Short-Term Investments</w:t>
              </w:r>
            </w:hyperlink>
          </w:p>
        </w:tc>
        <w:tc>
          <w:tcPr>
            <w:tcW w:w="42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10</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480" w:type="dxa"/>
            <w:vAlign w:val="bottom"/>
          </w:tcPr>
          <w:p>
            <w:pPr>
              <w:ind w:left="320"/>
              <w:spacing w:after="0"/>
              <w:rPr>
                <w:rFonts w:ascii="Arial" w:cs="Arial" w:eastAsia="Arial" w:hAnsi="Arial"/>
                <w:sz w:val="18"/>
                <w:szCs w:val="18"/>
                <w:u w:val="single" w:color="auto"/>
                <w:color w:val="0000FF"/>
                <w:w w:val="92"/>
              </w:rPr>
            </w:pPr>
            <w:hyperlink w:anchor="page10">
              <w:r>
                <w:rPr>
                  <w:rFonts w:ascii="Arial" w:cs="Arial" w:eastAsia="Arial" w:hAnsi="Arial"/>
                  <w:sz w:val="18"/>
                  <w:szCs w:val="18"/>
                  <w:u w:val="single" w:color="auto"/>
                  <w:color w:val="0000FF"/>
                  <w:w w:val="92"/>
                </w:rPr>
                <w:t>4.</w:t>
              </w:r>
            </w:hyperlink>
          </w:p>
        </w:tc>
        <w:tc>
          <w:tcPr>
            <w:tcW w:w="9280" w:type="dxa"/>
            <w:vAlign w:val="bottom"/>
          </w:tcPr>
          <w:p>
            <w:pPr>
              <w:ind w:left="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Fair Value Measurements</w:t>
              </w:r>
            </w:hyperlink>
          </w:p>
        </w:tc>
        <w:tc>
          <w:tcPr>
            <w:tcW w:w="42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11</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480" w:type="dxa"/>
            <w:vAlign w:val="bottom"/>
          </w:tcPr>
          <w:p>
            <w:pPr>
              <w:ind w:left="320"/>
              <w:spacing w:after="0"/>
              <w:rPr>
                <w:rFonts w:ascii="Arial" w:cs="Arial" w:eastAsia="Arial" w:hAnsi="Arial"/>
                <w:sz w:val="18"/>
                <w:szCs w:val="18"/>
                <w:u w:val="single" w:color="auto"/>
                <w:color w:val="0000FF"/>
                <w:w w:val="92"/>
              </w:rPr>
            </w:pPr>
            <w:hyperlink w:anchor="page11">
              <w:r>
                <w:rPr>
                  <w:rFonts w:ascii="Arial" w:cs="Arial" w:eastAsia="Arial" w:hAnsi="Arial"/>
                  <w:sz w:val="18"/>
                  <w:szCs w:val="18"/>
                  <w:u w:val="single" w:color="auto"/>
                  <w:color w:val="0000FF"/>
                  <w:w w:val="92"/>
                </w:rPr>
                <w:t>5.</w:t>
              </w:r>
            </w:hyperlink>
          </w:p>
        </w:tc>
        <w:tc>
          <w:tcPr>
            <w:tcW w:w="9280" w:type="dxa"/>
            <w:vAlign w:val="bottom"/>
          </w:tcPr>
          <w:p>
            <w:pPr>
              <w:ind w:left="4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Property and Equipment, Net</w:t>
              </w:r>
            </w:hyperlink>
          </w:p>
        </w:tc>
        <w:tc>
          <w:tcPr>
            <w:tcW w:w="420" w:type="dxa"/>
            <w:vAlign w:val="bottom"/>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12</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480" w:type="dxa"/>
            <w:vAlign w:val="bottom"/>
          </w:tcPr>
          <w:p>
            <w:pPr>
              <w:ind w:left="320"/>
              <w:spacing w:after="0"/>
              <w:rPr>
                <w:rFonts w:ascii="Arial" w:cs="Arial" w:eastAsia="Arial" w:hAnsi="Arial"/>
                <w:sz w:val="18"/>
                <w:szCs w:val="18"/>
                <w:u w:val="single" w:color="auto"/>
                <w:color w:val="0000FF"/>
                <w:w w:val="92"/>
              </w:rPr>
            </w:pPr>
            <w:hyperlink w:anchor="page12">
              <w:r>
                <w:rPr>
                  <w:rFonts w:ascii="Arial" w:cs="Arial" w:eastAsia="Arial" w:hAnsi="Arial"/>
                  <w:sz w:val="18"/>
                  <w:szCs w:val="18"/>
                  <w:u w:val="single" w:color="auto"/>
                  <w:color w:val="0000FF"/>
                  <w:w w:val="92"/>
                </w:rPr>
                <w:t>6.</w:t>
              </w:r>
            </w:hyperlink>
          </w:p>
        </w:tc>
        <w:tc>
          <w:tcPr>
            <w:tcW w:w="9280" w:type="dxa"/>
            <w:vAlign w:val="bottom"/>
          </w:tcPr>
          <w:p>
            <w:pPr>
              <w:ind w:left="4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Goodwill and Acquired Intangible Assets</w:t>
              </w:r>
            </w:hyperlink>
          </w:p>
        </w:tc>
        <w:tc>
          <w:tcPr>
            <w:tcW w:w="42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12</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480" w:type="dxa"/>
            <w:vAlign w:val="bottom"/>
          </w:tcPr>
          <w:p>
            <w:pPr>
              <w:ind w:left="320"/>
              <w:spacing w:after="0"/>
              <w:rPr>
                <w:rFonts w:ascii="Arial" w:cs="Arial" w:eastAsia="Arial" w:hAnsi="Arial"/>
                <w:sz w:val="18"/>
                <w:szCs w:val="18"/>
                <w:u w:val="single" w:color="auto"/>
                <w:color w:val="0000FF"/>
                <w:w w:val="92"/>
              </w:rPr>
            </w:pPr>
            <w:hyperlink w:anchor="page12">
              <w:r>
                <w:rPr>
                  <w:rFonts w:ascii="Arial" w:cs="Arial" w:eastAsia="Arial" w:hAnsi="Arial"/>
                  <w:sz w:val="18"/>
                  <w:szCs w:val="18"/>
                  <w:u w:val="single" w:color="auto"/>
                  <w:color w:val="0000FF"/>
                  <w:w w:val="92"/>
                </w:rPr>
                <w:t>7.</w:t>
              </w:r>
            </w:hyperlink>
          </w:p>
        </w:tc>
        <w:tc>
          <w:tcPr>
            <w:tcW w:w="9280" w:type="dxa"/>
            <w:vAlign w:val="bottom"/>
          </w:tcPr>
          <w:p>
            <w:pPr>
              <w:ind w:left="4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Leases</w:t>
              </w:r>
            </w:hyperlink>
          </w:p>
        </w:tc>
        <w:tc>
          <w:tcPr>
            <w:tcW w:w="42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13</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480" w:type="dxa"/>
            <w:vAlign w:val="bottom"/>
          </w:tcPr>
          <w:p>
            <w:pPr>
              <w:ind w:left="320"/>
              <w:spacing w:after="0"/>
              <w:rPr>
                <w:rFonts w:ascii="Arial" w:cs="Arial" w:eastAsia="Arial" w:hAnsi="Arial"/>
                <w:sz w:val="18"/>
                <w:szCs w:val="18"/>
                <w:u w:val="single" w:color="auto"/>
                <w:color w:val="0000FF"/>
                <w:w w:val="92"/>
              </w:rPr>
            </w:pPr>
            <w:hyperlink w:anchor="page14">
              <w:r>
                <w:rPr>
                  <w:rFonts w:ascii="Arial" w:cs="Arial" w:eastAsia="Arial" w:hAnsi="Arial"/>
                  <w:sz w:val="18"/>
                  <w:szCs w:val="18"/>
                  <w:u w:val="single" w:color="auto"/>
                  <w:color w:val="0000FF"/>
                  <w:w w:val="92"/>
                </w:rPr>
                <w:t>8.</w:t>
              </w:r>
            </w:hyperlink>
          </w:p>
        </w:tc>
        <w:tc>
          <w:tcPr>
            <w:tcW w:w="9280" w:type="dxa"/>
            <w:vAlign w:val="bottom"/>
          </w:tcPr>
          <w:p>
            <w:pPr>
              <w:ind w:left="4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Debt</w:t>
              </w:r>
            </w:hyperlink>
          </w:p>
        </w:tc>
        <w:tc>
          <w:tcPr>
            <w:tcW w:w="420" w:type="dxa"/>
            <w:vAlign w:val="bottom"/>
          </w:tcPr>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14</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480" w:type="dxa"/>
            <w:vAlign w:val="bottom"/>
          </w:tcPr>
          <w:p>
            <w:pPr>
              <w:ind w:left="320"/>
              <w:spacing w:after="0"/>
              <w:rPr>
                <w:rFonts w:ascii="Arial" w:cs="Arial" w:eastAsia="Arial" w:hAnsi="Arial"/>
                <w:sz w:val="18"/>
                <w:szCs w:val="18"/>
                <w:u w:val="single" w:color="auto"/>
                <w:color w:val="0000FF"/>
                <w:w w:val="92"/>
              </w:rPr>
            </w:pPr>
            <w:hyperlink w:anchor="page14">
              <w:r>
                <w:rPr>
                  <w:rFonts w:ascii="Arial" w:cs="Arial" w:eastAsia="Arial" w:hAnsi="Arial"/>
                  <w:sz w:val="18"/>
                  <w:szCs w:val="18"/>
                  <w:u w:val="single" w:color="auto"/>
                  <w:color w:val="0000FF"/>
                  <w:w w:val="92"/>
                </w:rPr>
                <w:t>9.</w:t>
              </w:r>
            </w:hyperlink>
          </w:p>
        </w:tc>
        <w:tc>
          <w:tcPr>
            <w:tcW w:w="9280" w:type="dxa"/>
            <w:vAlign w:val="bottom"/>
          </w:tcPr>
          <w:p>
            <w:pPr>
              <w:ind w:left="4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Stock-Based Compensation</w:t>
              </w:r>
            </w:hyperlink>
          </w:p>
        </w:tc>
        <w:tc>
          <w:tcPr>
            <w:tcW w:w="420" w:type="dxa"/>
            <w:vAlign w:val="bottom"/>
          </w:tcPr>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14</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760" w:type="dxa"/>
            <w:vAlign w:val="bottom"/>
            <w:gridSpan w:val="2"/>
          </w:tcPr>
          <w:p>
            <w:pPr>
              <w:ind w:left="3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10. Net Loss Per Share</w:t>
              </w:r>
            </w:hyperlink>
          </w:p>
        </w:tc>
        <w:tc>
          <w:tcPr>
            <w:tcW w:w="420" w:type="dxa"/>
            <w:vAlign w:val="bottom"/>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16</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9760" w:type="dxa"/>
            <w:vAlign w:val="bottom"/>
            <w:gridSpan w:val="2"/>
          </w:tcPr>
          <w:p>
            <w:pPr>
              <w:ind w:left="3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11. Geographic Information</w:t>
              </w:r>
            </w:hyperlink>
          </w:p>
        </w:tc>
        <w:tc>
          <w:tcPr>
            <w:tcW w:w="420" w:type="dxa"/>
            <w:vAlign w:val="bottom"/>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16</w:t>
              </w:r>
            </w:hyperlink>
          </w:p>
        </w:tc>
        <w:tc>
          <w:tcPr>
            <w:tcW w:w="0" w:type="dxa"/>
            <w:vAlign w:val="bottom"/>
          </w:tcPr>
          <w:p>
            <w:pPr>
              <w:spacing w:after="0"/>
              <w:rPr>
                <w:sz w:val="1"/>
                <w:szCs w:val="1"/>
                <w:color w:val="auto"/>
              </w:rPr>
            </w:pPr>
          </w:p>
        </w:tc>
      </w:tr>
      <w:tr>
        <w:trPr>
          <w:trHeight w:val="499"/>
        </w:trPr>
        <w:tc>
          <w:tcPr>
            <w:tcW w:w="800" w:type="dxa"/>
            <w:vAlign w:val="bottom"/>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2.</w:t>
              </w:r>
            </w:hyperlink>
          </w:p>
        </w:tc>
        <w:tc>
          <w:tcPr>
            <w:tcW w:w="9760" w:type="dxa"/>
            <w:vAlign w:val="bottom"/>
            <w:gridSpan w:val="2"/>
          </w:tcPr>
          <w:p>
            <w:pPr>
              <w:ind w:left="1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Management’s Discussion and Analysis of Financial Condition and Results of Operations</w:t>
              </w:r>
            </w:hyperlink>
          </w:p>
        </w:tc>
        <w:tc>
          <w:tcPr>
            <w:tcW w:w="420" w:type="dxa"/>
            <w:vAlign w:val="bottom"/>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18</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3.</w:t>
              </w:r>
            </w:hyperlink>
          </w:p>
        </w:tc>
        <w:tc>
          <w:tcPr>
            <w:tcW w:w="9760" w:type="dxa"/>
            <w:vAlign w:val="bottom"/>
            <w:gridSpan w:val="2"/>
          </w:tcPr>
          <w:p>
            <w:pPr>
              <w:ind w:left="1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Quantitative and Qualitative Disclosures About Market Risk</w:t>
              </w:r>
            </w:hyperlink>
          </w:p>
        </w:tc>
        <w:tc>
          <w:tcPr>
            <w:tcW w:w="42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220"/>
        </w:trPr>
        <w:tc>
          <w:tcPr>
            <w:tcW w:w="80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4.</w:t>
              </w:r>
            </w:hyperlink>
          </w:p>
        </w:tc>
        <w:tc>
          <w:tcPr>
            <w:tcW w:w="9760" w:type="dxa"/>
            <w:vAlign w:val="bottom"/>
            <w:gridSpan w:val="2"/>
          </w:tcPr>
          <w:p>
            <w:pPr>
              <w:ind w:left="1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Controls and Procedures</w:t>
              </w:r>
            </w:hyperlink>
          </w:p>
        </w:tc>
        <w:tc>
          <w:tcPr>
            <w:tcW w:w="42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80" w:type="dxa"/>
            <w:vAlign w:val="bottom"/>
          </w:tcPr>
          <w:p>
            <w:pPr>
              <w:ind w:left="300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PART II – OTHER INFORMATION</w:t>
              </w:r>
            </w:hyperlink>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1.</w:t>
              </w:r>
            </w:hyperlink>
          </w:p>
        </w:tc>
        <w:tc>
          <w:tcPr>
            <w:tcW w:w="9760" w:type="dxa"/>
            <w:vAlign w:val="bottom"/>
            <w:gridSpan w:val="2"/>
          </w:tcPr>
          <w:p>
            <w:pPr>
              <w:ind w:left="1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Legal Proceedings</w:t>
              </w:r>
            </w:hyperlink>
          </w:p>
        </w:tc>
        <w:tc>
          <w:tcPr>
            <w:tcW w:w="42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1A.</w:t>
              </w:r>
            </w:hyperlink>
          </w:p>
        </w:tc>
        <w:tc>
          <w:tcPr>
            <w:tcW w:w="9760" w:type="dxa"/>
            <w:vAlign w:val="bottom"/>
            <w:gridSpan w:val="2"/>
          </w:tcPr>
          <w:p>
            <w:pPr>
              <w:ind w:left="1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Risk Factors</w:t>
              </w:r>
            </w:hyperlink>
          </w:p>
        </w:tc>
        <w:tc>
          <w:tcPr>
            <w:tcW w:w="42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2.</w:t>
              </w:r>
            </w:hyperlink>
          </w:p>
        </w:tc>
        <w:tc>
          <w:tcPr>
            <w:tcW w:w="9760" w:type="dxa"/>
            <w:vAlign w:val="bottom"/>
            <w:gridSpan w:val="2"/>
          </w:tcPr>
          <w:p>
            <w:pPr>
              <w:ind w:left="1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Unregistered Sales of Equity Securities and Use of Proceeds</w:t>
              </w:r>
            </w:hyperlink>
          </w:p>
        </w:tc>
        <w:tc>
          <w:tcPr>
            <w:tcW w:w="42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6.</w:t>
              </w:r>
            </w:hyperlink>
          </w:p>
        </w:tc>
        <w:tc>
          <w:tcPr>
            <w:tcW w:w="9760" w:type="dxa"/>
            <w:vAlign w:val="bottom"/>
            <w:gridSpan w:val="2"/>
          </w:tcPr>
          <w:p>
            <w:pPr>
              <w:ind w:left="1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Exhibits</w:t>
              </w:r>
            </w:hyperlink>
          </w:p>
        </w:tc>
        <w:tc>
          <w:tcPr>
            <w:tcW w:w="42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62</w:t>
              </w:r>
            </w:hyperlink>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9760" w:type="dxa"/>
            <w:vAlign w:val="bottom"/>
            <w:gridSpan w:val="2"/>
          </w:tcPr>
          <w:p>
            <w:pPr>
              <w:ind w:left="1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Signatures</w:t>
              </w:r>
            </w:hyperlink>
          </w:p>
        </w:tc>
        <w:tc>
          <w:tcPr>
            <w:tcW w:w="420" w:type="dxa"/>
            <w:vAlign w:val="bottom"/>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40" w:top="1089" w:right="5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spacing w:after="0"/>
              <w:rPr>
                <w:sz w:val="20"/>
                <w:szCs w:val="20"/>
                <w:color w:val="auto"/>
              </w:rPr>
            </w:pPr>
          </w:p>
        </w:tc>
        <w:tc>
          <w:tcPr>
            <w:tcW w:w="728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PART I. FINANCIAL INFORMATION</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1"/>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2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7280" w:type="dxa"/>
            <w:vAlign w:val="bottom"/>
          </w:tcPr>
          <w:p>
            <w:pPr>
              <w:jc w:val="center"/>
              <w:ind w:left="1910"/>
              <w:spacing w:after="0"/>
              <w:rPr>
                <w:sz w:val="20"/>
                <w:szCs w:val="20"/>
                <w:color w:val="auto"/>
              </w:rPr>
            </w:pPr>
            <w:r>
              <w:rPr>
                <w:rFonts w:ascii="Arial" w:cs="Arial" w:eastAsia="Arial" w:hAnsi="Arial"/>
                <w:sz w:val="18"/>
                <w:szCs w:val="18"/>
                <w:b w:val="1"/>
                <w:bCs w:val="1"/>
                <w:color w:val="auto"/>
              </w:rPr>
              <w:t>TENABLE HOLDINGS, INC.</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9"/>
        </w:trPr>
        <w:tc>
          <w:tcPr>
            <w:tcW w:w="980" w:type="dxa"/>
            <w:vAlign w:val="bottom"/>
          </w:tcPr>
          <w:p>
            <w:pPr>
              <w:spacing w:after="0"/>
              <w:rPr>
                <w:sz w:val="20"/>
                <w:szCs w:val="20"/>
                <w:color w:val="auto"/>
              </w:rPr>
            </w:pPr>
          </w:p>
        </w:tc>
        <w:tc>
          <w:tcPr>
            <w:tcW w:w="728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3"/>
        </w:trPr>
        <w:tc>
          <w:tcPr>
            <w:tcW w:w="9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9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210"/>
        </w:trPr>
        <w:tc>
          <w:tcPr>
            <w:tcW w:w="82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Pr>
          <w:p>
            <w:pPr>
              <w:spacing w:after="0"/>
              <w:rPr>
                <w:sz w:val="18"/>
                <w:szCs w:val="18"/>
                <w:color w:val="auto"/>
              </w:rPr>
            </w:pPr>
          </w:p>
        </w:tc>
        <w:tc>
          <w:tcPr>
            <w:tcW w:w="1280" w:type="dxa"/>
            <w:vAlign w:val="bottom"/>
          </w:tcPr>
          <w:p>
            <w:pPr>
              <w:jc w:val="center"/>
              <w:ind w:right="31"/>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7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74,363</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137,904</w:t>
            </w:r>
          </w:p>
        </w:tc>
      </w:tr>
      <w:tr>
        <w:trPr>
          <w:trHeight w:val="188"/>
        </w:trPr>
        <w:tc>
          <w:tcPr>
            <w:tcW w:w="82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receivable (net of allowance for doubtful accounts of $314 and $764 at September 30,</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2020 and December 31, 2019, respectively)</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94,827</w:t>
            </w:r>
          </w:p>
        </w:tc>
      </w:tr>
      <w:tr>
        <w:trPr>
          <w:trHeight w:val="229"/>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28,499</w:t>
            </w:r>
          </w:p>
        </w:tc>
      </w:tr>
      <w:tr>
        <w:trPr>
          <w:trHeight w:val="230"/>
        </w:trPr>
        <w:tc>
          <w:tcPr>
            <w:tcW w:w="8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27,369</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420,976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362,962</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26,847</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41,753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43,766</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42,847</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Acquired intangible assets,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15,508</w:t>
            </w:r>
          </w:p>
        </w:tc>
      </w:tr>
      <w:tr>
        <w:trPr>
          <w:trHeight w:val="229"/>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54,138</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12,544</w:t>
            </w:r>
          </w:p>
        </w:tc>
      </w:tr>
      <w:tr>
        <w:trPr>
          <w:trHeight w:val="248"/>
        </w:trPr>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assets</w:t>
            </w:r>
          </w:p>
        </w:tc>
        <w:tc>
          <w:tcPr>
            <w:tcW w:w="7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558,612</w:t>
            </w:r>
          </w:p>
        </w:tc>
      </w:tr>
      <w:tr>
        <w:trPr>
          <w:trHeight w:val="20"/>
        </w:trPr>
        <w:tc>
          <w:tcPr>
            <w:tcW w:w="82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w:t>
            </w:r>
          </w:p>
        </w:tc>
      </w:tr>
      <w:tr>
        <w:trPr>
          <w:trHeight w:val="229"/>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36,634</w:t>
            </w:r>
          </w:p>
        </w:tc>
      </w:tr>
      <w:tr>
        <w:trPr>
          <w:trHeight w:val="230"/>
        </w:trPr>
        <w:tc>
          <w:tcPr>
            <w:tcW w:w="8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274,348</w:t>
            </w:r>
          </w:p>
        </w:tc>
      </w:tr>
      <w:tr>
        <w:trPr>
          <w:trHeight w:val="230"/>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5,209</w:t>
            </w:r>
          </w:p>
        </w:tc>
      </w:tr>
      <w:tr>
        <w:trPr>
          <w:trHeight w:val="230"/>
        </w:trPr>
        <w:tc>
          <w:tcPr>
            <w:tcW w:w="8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338,290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327,643</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88,779</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40,663</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492,708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459,707</w:t>
            </w:r>
          </w:p>
        </w:tc>
      </w:tr>
      <w:tr>
        <w:trPr>
          <w:trHeight w:val="216"/>
        </w:trPr>
        <w:tc>
          <w:tcPr>
            <w:tcW w:w="8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88"/>
        </w:trPr>
        <w:tc>
          <w:tcPr>
            <w:tcW w:w="82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Common stock (par value: $0.01; 500,000 shares authorized; 102,755 and 98,587 shares issued</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outstanding at September 30, 2020 and December 31, 2019, respectively)</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30"/>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735,961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662,990</w:t>
            </w:r>
          </w:p>
        </w:tc>
      </w:tr>
      <w:tr>
        <w:trPr>
          <w:trHeight w:val="230"/>
        </w:trPr>
        <w:tc>
          <w:tcPr>
            <w:tcW w:w="8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(605,916)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(565,121)</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98,905</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623,835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558,612</w:t>
            </w:r>
          </w:p>
        </w:tc>
      </w:tr>
      <w:tr>
        <w:trPr>
          <w:trHeight w:val="20"/>
        </w:trPr>
        <w:tc>
          <w:tcPr>
            <w:tcW w:w="9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257,537</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215,148</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165,403</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64,396</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48,595</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278,394</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(63,246)</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(59,145)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(60,708)</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used to compute net loss per share,</w:t>
            </w: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101,736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96,709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95,433</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(losses) gains on available-for-sale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32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840" w:type="dxa"/>
            <w:vAlign w:val="bottom"/>
          </w:tcPr>
          <w:p>
            <w:pPr>
              <w:spacing w:after="0"/>
              <w:rPr>
                <w:sz w:val="10"/>
                <w:szCs w:val="10"/>
                <w:color w:val="auto"/>
              </w:rPr>
            </w:pPr>
          </w:p>
        </w:tc>
        <w:tc>
          <w:tcPr>
            <w:tcW w:w="23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0"/>
                <w:szCs w:val="10"/>
                <w:color w:val="auto"/>
              </w:rPr>
            </w:pPr>
          </w:p>
        </w:tc>
        <w:tc>
          <w:tcPr>
            <w:tcW w:w="15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0"/>
                <w:szCs w:val="10"/>
                <w:color w:val="auto"/>
              </w:rPr>
            </w:pPr>
          </w:p>
        </w:tc>
        <w:tc>
          <w:tcPr>
            <w:tcW w:w="13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0"/>
                <w:szCs w:val="10"/>
                <w:color w:val="auto"/>
              </w:rPr>
            </w:pPr>
          </w:p>
        </w:tc>
        <w:tc>
          <w:tcPr>
            <w:tcW w:w="1280" w:type="dxa"/>
            <w:vAlign w:val="bottom"/>
            <w:vMerge w:val="restart"/>
          </w:tcPr>
          <w:p>
            <w:pPr>
              <w:jc w:val="center"/>
              <w:ind w:right="39"/>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4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101,127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710,066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111,168</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4,808</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84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under</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10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15,371</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102,755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735,961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(605,916)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131,127</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100" w:type="dxa"/>
            <w:vAlign w:val="bottom"/>
          </w:tcPr>
          <w:p>
            <w:pPr>
              <w:jc w:val="right"/>
              <w:spacing w:after="0"/>
              <w:rPr>
                <w:sz w:val="20"/>
                <w:szCs w:val="20"/>
                <w:color w:val="auto"/>
              </w:rPr>
            </w:pPr>
            <w:r>
              <w:rPr>
                <w:rFonts w:ascii="Arial" w:cs="Arial" w:eastAsia="Arial" w:hAnsi="Arial"/>
                <w:sz w:val="16"/>
                <w:szCs w:val="16"/>
                <w:color w:val="auto"/>
              </w:rPr>
              <w:t>98,587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662,990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(565,121)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98,905</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15,782</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6"/>
                <w:szCs w:val="16"/>
                <w:color w:val="auto"/>
              </w:rPr>
              <w:t>1,134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under</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13,040</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44,191</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(40,795)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(40,795)</w:t>
            </w:r>
          </w:p>
        </w:tc>
        <w:tc>
          <w:tcPr>
            <w:tcW w:w="0" w:type="dxa"/>
            <w:vAlign w:val="bottom"/>
          </w:tcPr>
          <w:p>
            <w:pPr>
              <w:spacing w:after="0"/>
              <w:rPr>
                <w:sz w:val="1"/>
                <w:szCs w:val="1"/>
                <w:color w:val="auto"/>
              </w:rPr>
            </w:pPr>
          </w:p>
        </w:tc>
      </w:tr>
      <w:tr>
        <w:trPr>
          <w:trHeight w:val="23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(605,916)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131,127</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120,959</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84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under</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6,550</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(17,640)</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97,960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648,964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(526,816)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123,188</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100" w:type="dxa"/>
            <w:vAlign w:val="bottom"/>
          </w:tcPr>
          <w:p>
            <w:pPr>
              <w:jc w:val="right"/>
              <w:spacing w:after="0"/>
              <w:rPr>
                <w:sz w:val="20"/>
                <w:szCs w:val="20"/>
                <w:color w:val="auto"/>
              </w:rPr>
            </w:pPr>
            <w:r>
              <w:rPr>
                <w:rFonts w:ascii="Arial" w:cs="Arial" w:eastAsia="Arial" w:hAnsi="Arial"/>
                <w:sz w:val="16"/>
                <w:szCs w:val="16"/>
                <w:color w:val="auto"/>
              </w:rPr>
              <w:t>93,126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586,940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(466,108)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121,763</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15,448</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under</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15,129</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31,496</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(60,708)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(60,708)</w:t>
            </w:r>
          </w:p>
        </w:tc>
        <w:tc>
          <w:tcPr>
            <w:tcW w:w="0" w:type="dxa"/>
            <w:vAlign w:val="bottom"/>
          </w:tcPr>
          <w:p>
            <w:pPr>
              <w:spacing w:after="0"/>
              <w:rPr>
                <w:sz w:val="1"/>
                <w:szCs w:val="1"/>
                <w:color w:val="auto"/>
              </w:rPr>
            </w:pPr>
          </w:p>
        </w:tc>
      </w:tr>
      <w:tr>
        <w:trPr>
          <w:trHeight w:val="23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(526,816)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123,188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2019</w:t>
            </w:r>
          </w:p>
        </w:tc>
      </w:tr>
      <w:tr>
        <w:trPr>
          <w:trHeight w:val="19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(40,795)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(60,708)</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4,604</w:t>
            </w:r>
          </w:p>
        </w:tc>
      </w:tr>
      <w:tr>
        <w:trPr>
          <w:trHeight w:val="229"/>
        </w:trPr>
        <w:tc>
          <w:tcPr>
            <w:tcW w:w="7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31,191</w:t>
            </w:r>
          </w:p>
        </w:tc>
      </w:tr>
      <w:tr>
        <w:trPr>
          <w:trHeight w:val="230"/>
        </w:trPr>
        <w:tc>
          <w:tcPr>
            <w:tcW w:w="7940" w:type="dxa"/>
            <w:vAlign w:val="bottom"/>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29"/>
        </w:trPr>
        <w:tc>
          <w:tcPr>
            <w:tcW w:w="7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(13,309)</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Deferred commissions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(5,089)</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3,892</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39,472</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and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940" w:type="dxa"/>
            <w:vAlign w:val="bottom"/>
          </w:tcPr>
          <w:p>
            <w:pPr>
              <w:ind w:left="46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46,298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(7,672)</w:t>
            </w:r>
          </w:p>
        </w:tc>
      </w:tr>
      <w:tr>
        <w:trPr>
          <w:trHeight w:val="216"/>
        </w:trPr>
        <w:tc>
          <w:tcPr>
            <w:tcW w:w="7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(157,557)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(179,703)</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maturities of short-term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174,485</w:t>
            </w:r>
          </w:p>
        </w:tc>
      </w:tr>
      <w:tr>
        <w:trPr>
          <w:trHeight w:val="223"/>
        </w:trPr>
        <w:tc>
          <w:tcPr>
            <w:tcW w:w="7940" w:type="dxa"/>
            <w:vAlign w:val="bottom"/>
          </w:tcPr>
          <w:p>
            <w:pPr>
              <w:ind w:left="4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(15,480)</w:t>
            </w:r>
          </w:p>
        </w:tc>
      </w:tr>
      <w:tr>
        <w:trPr>
          <w:trHeight w:val="256"/>
        </w:trPr>
        <w:tc>
          <w:tcPr>
            <w:tcW w:w="7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loan agreement</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Principal payments under finance lease obligations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 issuance costs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15,129</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15,448</w:t>
            </w:r>
          </w:p>
        </w:tc>
      </w:tr>
      <w:tr>
        <w:trPr>
          <w:trHeight w:val="223"/>
        </w:trPr>
        <w:tc>
          <w:tcPr>
            <w:tcW w:w="7940" w:type="dxa"/>
            <w:vAlign w:val="bottom"/>
          </w:tcPr>
          <w:p>
            <w:pPr>
              <w:ind w:left="46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30,565</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6,187</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165,378</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141,627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171,565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Operating cash payments for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3,297</w:t>
            </w: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ind w:left="340" w:right="6020" w:hanging="332"/>
        <w:spacing w:after="0" w:line="513" w:lineRule="auto"/>
        <w:tabs>
          <w:tab w:leader="none" w:pos="21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b w:val="1"/>
          <w:bCs w:val="1"/>
          <w:i w:val="1"/>
          <w:iCs w:val="1"/>
          <w:color w:val="auto"/>
        </w:rPr>
        <w:t>Business Description</w:t>
      </w:r>
    </w:p>
    <w:p>
      <w:pPr>
        <w:spacing w:after="0" w:line="1"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measuring and comparing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2019 Annual Report on Form 10-K ("10-K") filed with the Securities and Exchange Commission on February 28, 2020.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20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results for the nine months ended September 30, 2020 are not necessarily indicative of the operating results expected for the year ending December 31, 2020 or any other future period.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4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significant accounting policies are described in our 10-K. During the nine months ended September 30, 2020, there were no material changes to our significant accounting policies other than those described below.</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 xml:space="preserve">We adopted Accounting Standards Update ("ASU") No. 2016-13 —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on Financial Instruments, </w:t>
      </w:r>
      <w:r>
        <w:rPr>
          <w:rFonts w:ascii="Arial" w:cs="Arial" w:eastAsia="Arial" w:hAnsi="Arial"/>
          <w:sz w:val="18"/>
          <w:szCs w:val="18"/>
          <w:color w:val="auto"/>
        </w:rPr>
        <w:t>effective January 1, 2020 using the modified retrospective approach. The adoption of this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a material impact on our condensed consolidated financial statements. The new standard replaces the previous incurred loss impairment methodology with a methodology that reflects current expected credit losses for financial assets, including trade receivables, which are not measured at fair value, through net income. Under the new standard, our allowance for doubtful accounts reflects our best estimate of expected future credit losses based on various factors, including our historical collection experience, age of accounts receivable balances, current conditions, reasonable and supportable forecasts of future economic conditions, as well as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other factors that may impact our ability to collect our accounts receivable. However, given the uncertainty caused by the COVID-19 pandemic and other factors, these estimates may change and future credit losses may differ from our estimates. Additionally, the new standard requires us to evaluate impairments of available-for-sale debt securities due to credit-related and non-credit-related factors, including market risk, and if it is more-likely-than-not that we would have to sell the security before the recovery of the amortized cost basis. Identified credit-related impairments would be recognized as a charge in the statement of operations.</w:t>
      </w:r>
    </w:p>
    <w:p>
      <w:pPr>
        <w:spacing w:after="0" w:line="183" w:lineRule="exact"/>
        <w:rPr>
          <w:sz w:val="20"/>
          <w:szCs w:val="20"/>
          <w:color w:val="auto"/>
        </w:rPr>
      </w:pPr>
    </w:p>
    <w:p>
      <w:pPr>
        <w:ind w:left="340" w:right="8580" w:hanging="332"/>
        <w:spacing w:after="0" w:line="543" w:lineRule="auto"/>
        <w:tabs>
          <w:tab w:leader="none" w:pos="21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color w:val="auto"/>
        </w:rPr>
        <w:t>Disaggregation of Revenue</w:t>
      </w:r>
    </w:p>
    <w:p>
      <w:pPr>
        <w:spacing w:after="0" w:line="1"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a summary of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209,610</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40,877</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w:t>
            </w:r>
          </w:p>
        </w:tc>
      </w:tr>
      <w:tr>
        <w:trPr>
          <w:trHeight w:val="223"/>
        </w:trPr>
        <w:tc>
          <w:tcPr>
            <w:tcW w:w="546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112,282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257,537</w:t>
            </w: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end-users. We derived 92%, 91%, 91% and 90% of revenue through our channel network in the three months ended September 30, 2020 and 2019 and the nine months ended September 30, 2020 and 2019, respectively. One of our distributors accounted for 43% of revenue in each of the three and nine months ended September 30, 2020 and 2019. That same distributor accounted for 42% and 40% of accounts receivable at September 30, 2020 and December 31, 2019, respectively.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September 30, 2020 and 2019 and the nine months ended September 30, 2020 and 2019, we recognized revenue of $102.8 million, $ 84.6 million, $235.2 million and $184.3 million, respectively, that was included in the deferred revenue balance at the beginning of each of the respective periods.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ind w:right="580" w:firstLine="324"/>
        <w:spacing w:after="0" w:line="256" w:lineRule="auto"/>
        <w:rPr>
          <w:sz w:val="20"/>
          <w:szCs w:val="20"/>
          <w:color w:val="auto"/>
        </w:rPr>
      </w:pPr>
      <w:r>
        <w:rPr>
          <w:rFonts w:ascii="Arial" w:cs="Arial" w:eastAsia="Arial" w:hAnsi="Arial"/>
          <w:sz w:val="18"/>
          <w:szCs w:val="18"/>
          <w:color w:val="auto"/>
        </w:rPr>
        <w:t>At September 30, 2020, the future estimated revenue related to unsatisfied performance obligations was $399.7 million, of which approximately 76% is expected to be recognized as revenue over the succeeding twelve months, and the remainder is expected to be recognized over the four years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rPr>
              <w:t>72,265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8"/>
              </w:rPr>
              <w:t>59,434</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272"/>
              <w:spacing w:after="0"/>
              <w:rPr>
                <w:sz w:val="20"/>
                <w:szCs w:val="20"/>
                <w:color w:val="auto"/>
              </w:rPr>
            </w:pPr>
            <w:r>
              <w:rPr>
                <w:rFonts w:ascii="Arial" w:cs="Arial" w:eastAsia="Arial" w:hAnsi="Arial"/>
                <w:sz w:val="18"/>
                <w:szCs w:val="18"/>
                <w:color w:val="auto"/>
              </w:rPr>
              <w:t>23,314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272"/>
              <w:spacing w:after="0"/>
              <w:rPr>
                <w:sz w:val="20"/>
                <w:szCs w:val="20"/>
                <w:color w:val="auto"/>
              </w:rPr>
            </w:pPr>
            <w:r>
              <w:rPr>
                <w:rFonts w:ascii="Arial" w:cs="Arial" w:eastAsia="Arial" w:hAnsi="Arial"/>
                <w:sz w:val="18"/>
                <w:szCs w:val="18"/>
                <w:color w:val="auto"/>
                <w:w w:val="98"/>
              </w:rPr>
              <w:t>24,846</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color w:val="auto"/>
                <w:w w:val="98"/>
              </w:rPr>
              <w:t>(23,695)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color w:val="auto"/>
              </w:rPr>
              <w:t>(19,757)</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272"/>
              <w:spacing w:after="0"/>
              <w:rPr>
                <w:sz w:val="20"/>
                <w:szCs w:val="20"/>
                <w:color w:val="auto"/>
              </w:rPr>
            </w:pPr>
            <w:r>
              <w:rPr>
                <w:rFonts w:ascii="Arial" w:cs="Arial" w:eastAsia="Arial" w:hAnsi="Arial"/>
                <w:sz w:val="18"/>
                <w:szCs w:val="18"/>
                <w:color w:val="auto"/>
              </w:rPr>
              <w:t>71,884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272"/>
              <w:spacing w:after="0"/>
              <w:rPr>
                <w:sz w:val="20"/>
                <w:szCs w:val="20"/>
                <w:color w:val="auto"/>
              </w:rPr>
            </w:pPr>
            <w:r>
              <w:rPr>
                <w:rFonts w:ascii="Arial" w:cs="Arial" w:eastAsia="Arial" w:hAnsi="Arial"/>
                <w:sz w:val="18"/>
                <w:szCs w:val="18"/>
                <w:color w:val="auto"/>
                <w:w w:val="98"/>
              </w:rPr>
              <w:t>64,523</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Cash Equivalents and Short-Term Investments</w:t>
      </w:r>
    </w:p>
    <w:p>
      <w:pPr>
        <w:spacing w:after="0" w:line="247"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6"/>
                <w:szCs w:val="16"/>
                <w:b w:val="1"/>
                <w:bCs w:val="1"/>
                <w:color w:val="auto"/>
              </w:rPr>
              <w:t>September 30, 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51,409</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51,409</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11,769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45,310</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127,666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127,720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4"/>
        </w:trPr>
        <w:tc>
          <w:tcPr>
            <w:tcW w:w="5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61,371</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61,371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52,664</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137,904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2020, all of our short-term investments had maturities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47"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460" w:hanging="328"/>
        <w:spacing w:after="0" w:line="28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6"/>
                <w:szCs w:val="16"/>
                <w:b w:val="1"/>
                <w:bCs w:val="1"/>
                <w:color w:val="auto"/>
              </w:rPr>
              <w:t>September 30, 2020</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51,409</w:t>
            </w:r>
          </w:p>
        </w:tc>
      </w:tr>
      <w:tr>
        <w:trPr>
          <w:trHeight w:val="243"/>
        </w:trPr>
        <w:tc>
          <w:tcPr>
            <w:tcW w:w="5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70,641</w:t>
            </w:r>
          </w:p>
        </w:tc>
        <w:tc>
          <w:tcPr>
            <w:tcW w:w="100" w:type="dxa"/>
            <w:vAlign w:val="bottom"/>
          </w:tcPr>
          <w:p>
            <w:pPr>
              <w:spacing w:after="0"/>
              <w:rPr>
                <w:sz w:val="19"/>
                <w:szCs w:val="19"/>
                <w:color w:val="auto"/>
              </w:rPr>
            </w:pP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70,641</w:t>
            </w:r>
          </w:p>
        </w:tc>
      </w:tr>
      <w:tr>
        <w:trPr>
          <w:trHeight w:val="230"/>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r>
      <w:tr>
        <w:trPr>
          <w:trHeight w:val="229"/>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45,310</w:t>
            </w:r>
          </w:p>
        </w:tc>
      </w:tr>
      <w:tr>
        <w:trPr>
          <w:trHeight w:val="243"/>
        </w:trPr>
        <w:tc>
          <w:tcPr>
            <w:tcW w:w="5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127,720</w:t>
            </w: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8"/>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December 31, 2019</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13,588</w:t>
            </w:r>
          </w:p>
        </w:tc>
      </w:tr>
      <w:tr>
        <w:trPr>
          <w:trHeight w:val="230"/>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w:t>
            </w:r>
          </w:p>
        </w:tc>
      </w:tr>
      <w:tr>
        <w:trPr>
          <w:trHeight w:val="223"/>
        </w:trPr>
        <w:tc>
          <w:tcPr>
            <w:tcW w:w="5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19"/>
                <w:szCs w:val="19"/>
                <w:color w:val="auto"/>
              </w:rPr>
            </w:pP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22,575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61,371</w:t>
            </w:r>
          </w:p>
        </w:tc>
      </w:tr>
      <w:tr>
        <w:trPr>
          <w:trHeight w:val="229"/>
        </w:trPr>
        <w:tc>
          <w:tcPr>
            <w:tcW w:w="522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23,869</w:t>
            </w:r>
          </w:p>
        </w:tc>
      </w:tr>
      <w:tr>
        <w:trPr>
          <w:trHeight w:val="230"/>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52,664</w:t>
            </w:r>
          </w:p>
        </w:tc>
      </w:tr>
      <w:tr>
        <w:trPr>
          <w:trHeight w:val="223"/>
        </w:trPr>
        <w:tc>
          <w:tcPr>
            <w:tcW w:w="5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137,904</w:t>
            </w:r>
          </w:p>
        </w:tc>
        <w:tc>
          <w:tcPr>
            <w:tcW w:w="100" w:type="dxa"/>
            <w:vAlign w:val="bottom"/>
          </w:tcPr>
          <w:p>
            <w:pPr>
              <w:spacing w:after="0"/>
              <w:rPr>
                <w:sz w:val="19"/>
                <w:szCs w:val="19"/>
                <w:color w:val="auto"/>
              </w:rPr>
            </w:pP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137,904</w:t>
            </w: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at September 30, 2020 or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80" w:type="dxa"/>
            <w:vAlign w:val="bottom"/>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Right-of-use assets under finance leases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Depreciation and amortization related to property and equipment was $2.1 million, $1.4 million, $6.1 million and $4.2 million in the three months ended September 30, 2020 and 2019 and the nine months ended September 30, 2020 and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247"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On December 2, 2019, we acquired Indegy, Ltd and recorded $53.9 million of goodwill and $15.7 million of intangible assets. We have not yet finalized the allocation of the purchase price, which may change as additional information becomes available related to any working capital adjustment and income taxes.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2019</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3"/>
                <w:szCs w:val="13"/>
                <w:color w:val="auto"/>
              </w:rPr>
            </w:pPr>
          </w:p>
        </w:tc>
        <w:tc>
          <w:tcPr>
            <w:tcW w:w="1360" w:type="dxa"/>
            <w:vAlign w:val="bottom"/>
            <w:gridSpan w:val="2"/>
          </w:tcPr>
          <w:p>
            <w:pPr>
              <w:jc w:val="right"/>
              <w:ind w:right="12"/>
              <w:spacing w:after="0" w:line="158"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00" w:type="dxa"/>
            <w:vAlign w:val="bottom"/>
          </w:tcPr>
          <w:p>
            <w:pPr>
              <w:jc w:val="right"/>
              <w:ind w:right="94"/>
              <w:spacing w:after="0" w:line="158" w:lineRule="exact"/>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15"/>
        </w:trPr>
        <w:tc>
          <w:tcPr>
            <w:tcW w:w="25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4"/>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15,316</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15,508</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Amortization of acquired intangible assets was $0.5 million, $0.1 million, $1.7 million and $0.4 million in the three months ended September 30, 2020 and 2019 and the nine months ended September 30, 2020 and 2019,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2020, estimated future amortization of acquired intangible assets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9140" w:type="dxa"/>
            <w:vAlign w:val="bottom"/>
          </w:tcPr>
          <w:p>
            <w:pPr>
              <w:ind w:left="20"/>
              <w:spacing w:after="0" w:line="230" w:lineRule="exact"/>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r>
      <w:tr>
        <w:trPr>
          <w:trHeight w:val="223"/>
        </w:trPr>
        <w:tc>
          <w:tcPr>
            <w:tcW w:w="9140" w:type="dxa"/>
            <w:vAlign w:val="bottom"/>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13,771</w:t>
            </w:r>
          </w:p>
        </w:tc>
      </w:tr>
      <w:tr>
        <w:trPr>
          <w:trHeight w:val="21"/>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three months ending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4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The components of lease expense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4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Amortization of ROU assets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the three and nine months ended September 30, 2020 and 2019 was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94"/>
              <w:spacing w:after="0"/>
              <w:rPr>
                <w:sz w:val="20"/>
                <w:szCs w:val="20"/>
                <w:color w:val="auto"/>
              </w:rPr>
            </w:pPr>
            <w:r>
              <w:rPr>
                <w:rFonts w:ascii="Arial" w:cs="Arial" w:eastAsia="Arial" w:hAnsi="Arial"/>
                <w:sz w:val="16"/>
                <w:szCs w:val="16"/>
                <w:b w:val="1"/>
                <w:bCs w:val="1"/>
                <w:color w:val="auto"/>
                <w:w w:val="99"/>
              </w:rPr>
              <w:t>December 31,</w:t>
            </w:r>
          </w:p>
        </w:tc>
      </w:tr>
      <w:tr>
        <w:trPr>
          <w:trHeight w:val="215"/>
        </w:trPr>
        <w:tc>
          <w:tcPr>
            <w:tcW w:w="54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2019</w:t>
            </w:r>
          </w:p>
        </w:tc>
      </w:tr>
      <w:tr>
        <w:trPr>
          <w:trHeight w:val="19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10.2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10.0 years</w:t>
            </w:r>
          </w:p>
        </w:tc>
      </w:tr>
      <w:tr>
        <w:trPr>
          <w:trHeight w:val="22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5.8%</w:t>
            </w:r>
          </w:p>
        </w:tc>
      </w:tr>
      <w:tr>
        <w:trPr>
          <w:trHeight w:val="440"/>
        </w:trPr>
        <w:tc>
          <w:tcPr>
            <w:tcW w:w="5460" w:type="dxa"/>
            <w:vAlign w:val="bottom"/>
          </w:tcPr>
          <w:p>
            <w:pPr>
              <w:spacing w:after="0"/>
              <w:rPr>
                <w:sz w:val="24"/>
                <w:szCs w:val="24"/>
                <w:color w:val="auto"/>
              </w:rPr>
            </w:pPr>
          </w:p>
        </w:tc>
        <w:tc>
          <w:tcPr>
            <w:tcW w:w="282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r>
      <w:tr>
        <w:trPr>
          <w:trHeight w:val="19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32,292</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34,490</w:t>
            </w:r>
          </w:p>
        </w:tc>
      </w:tr>
      <w:tr>
        <w:trPr>
          <w:trHeight w:val="22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296"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During the three months ended September 30, 2020, we determined that we would not execute our option to terminate one of our operating leases that we previously assumed would be terminated in 2021. This resulted in recognizing $2.5 million of right-of use assets, with an offsetting increase to the lease liability.</w:t>
      </w:r>
    </w:p>
    <w:p>
      <w:pPr>
        <w:spacing w:after="0" w:line="202"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In the three and nine months ended September 30, 2020, we received proceeds from lease incentives of $5.6 million and $14.2 million, respectively. The proceeds from lease incentives received are included with the change in the right-of-use assets and lease liabilities under the Other assets caption in the operating activities section of the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at September 30, 2020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9800" w:type="dxa"/>
            <w:vAlign w:val="bottom"/>
          </w:tcPr>
          <w:p>
            <w:pPr>
              <w:ind w:left="20"/>
              <w:spacing w:after="0" w:line="230" w:lineRule="exact"/>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7,786</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51,879</w:t>
            </w:r>
          </w:p>
        </w:tc>
      </w:tr>
      <w:tr>
        <w:trPr>
          <w:trHeight w:val="223"/>
        </w:trPr>
        <w:tc>
          <w:tcPr>
            <w:tcW w:w="980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84,065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(22,108)</w:t>
            </w:r>
          </w:p>
        </w:tc>
      </w:tr>
      <w:tr>
        <w:trPr>
          <w:trHeight w:val="223"/>
        </w:trPr>
        <w:tc>
          <w:tcPr>
            <w:tcW w:w="9800" w:type="dxa"/>
            <w:vAlign w:val="bottom"/>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61,957</w:t>
            </w:r>
          </w:p>
        </w:tc>
      </w:tr>
      <w:tr>
        <w:trPr>
          <w:trHeight w:val="21"/>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2"/>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three months ending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July 2020, we entered into a new $45.0 million senior secured credit facility (“2020 Credit Facility”) with Silicon Valley Bank in connection with the expiration of our $25.0 million revolving credit facility ("2017 Credit Facility"). The 2020 Credit Facility bears interest at either LIBOR plus 2%, with a 1% LIBOR floor, or the base rate plus 1%, and terminates on July 24, 2022. A commitment fee of 0.35% per annum is payable quarterly in arrears based on the unused portion. The 2020 Credit Facility includes a $45.0 million uncommitted expansion, including a $10.0 million sublimit for the issuance of letters of credit and a swingline sub-facility of up to $10.0 million, and has a financial covenant requiring a minimum consolidated quick ratio of at least 1.5:1.0 on the last day of each quarter.</w:t>
      </w:r>
    </w:p>
    <w:p>
      <w:pPr>
        <w:spacing w:after="0" w:line="208"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In the nine months ended September 30, 2020, there were no amounts outstanding under the 2020 Credit Facility or, prior to its expiration, the 2017 Credit Facility. At September 30, 2020, we were in compliance with the financial covenant and our borrowing capacity was reduced by $5.5 million related to standby letters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47" w:lineRule="exact"/>
        <w:rPr>
          <w:sz w:val="20"/>
          <w:szCs w:val="20"/>
          <w:color w:val="auto"/>
        </w:rPr>
      </w:pPr>
    </w:p>
    <w:p>
      <w:pPr>
        <w:jc w:val="both"/>
        <w:ind w:right="300" w:firstLine="324"/>
        <w:spacing w:after="0" w:line="261" w:lineRule="auto"/>
        <w:rPr>
          <w:sz w:val="20"/>
          <w:szCs w:val="20"/>
          <w:color w:val="auto"/>
        </w:rPr>
      </w:pPr>
      <w:r>
        <w:rPr>
          <w:rFonts w:ascii="Arial" w:cs="Arial" w:eastAsia="Arial" w:hAnsi="Arial"/>
          <w:sz w:val="18"/>
          <w:szCs w:val="18"/>
          <w:color w:val="auto"/>
        </w:rPr>
        <w:t>Under the evergreen provision in our 2018 Equity Incentive Plan ("2018 Plan"), in January 2020 we reserved an additional 4,929,361 shares of our common stock for issuance. At September 30, 2020, there were 17,836,584 shares available for grant under the 2018 Plan.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11,102</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11,406</w:t>
            </w:r>
          </w:p>
        </w:tc>
      </w:tr>
      <w:tr>
        <w:trPr>
          <w:trHeight w:val="248"/>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At September 30, 2020, the unrecognized stock-based compensation expense related to unvested restricted stock units was $115.3 million, which is expected to be recognized over an estimated remaining weighted average period of 3.0 years.</w:t>
      </w:r>
    </w:p>
    <w:p>
      <w:pPr>
        <w:spacing w:after="0" w:line="198"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At September 30, 2020, the unrecognized stock-based compensation expense related to outstanding stock options was $13.3 million, which is expected to be recognized over an estimated remaining weighted 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At September 30, 2020, the unrecognized stock-based compensation expense related to unvested awards of restricted stock was $0.4 million, which is expected to be recognized over an estimated remaining period of 0.3 years.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restricted stock units activity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3100" w:type="dxa"/>
            <w:vAlign w:val="bottom"/>
            <w:gridSpan w:val="7"/>
          </w:tcPr>
          <w:p>
            <w:pPr>
              <w:ind w:left="840"/>
              <w:spacing w:after="0"/>
              <w:rPr>
                <w:sz w:val="20"/>
                <w:szCs w:val="20"/>
                <w:color w:val="auto"/>
              </w:rPr>
            </w:pPr>
            <w:r>
              <w:rPr>
                <w:rFonts w:ascii="Arial" w:cs="Arial" w:eastAsia="Arial" w:hAnsi="Arial"/>
                <w:sz w:val="16"/>
                <w:szCs w:val="16"/>
                <w:b w:val="1"/>
                <w:bCs w:val="1"/>
                <w:color w:val="auto"/>
              </w:rPr>
              <w:t>Restricted Stock</w:t>
            </w:r>
          </w:p>
        </w:tc>
        <w:tc>
          <w:tcPr>
            <w:tcW w:w="2940" w:type="dxa"/>
            <w:vAlign w:val="bottom"/>
            <w:gridSpan w:val="4"/>
          </w:tcPr>
          <w:p>
            <w:pPr>
              <w:jc w:val="right"/>
              <w:ind w:right="514"/>
              <w:spacing w:after="0"/>
              <w:rPr>
                <w:sz w:val="20"/>
                <w:szCs w:val="20"/>
                <w:color w:val="auto"/>
              </w:rPr>
            </w:pPr>
            <w:r>
              <w:rPr>
                <w:rFonts w:ascii="Arial" w:cs="Arial" w:eastAsia="Arial" w:hAnsi="Arial"/>
                <w:sz w:val="16"/>
                <w:szCs w:val="16"/>
                <w:b w:val="1"/>
                <w:bCs w:val="1"/>
                <w:color w:val="auto"/>
              </w:rPr>
              <w:t>Restricted Stock Units</w:t>
            </w: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54"/>
              <w:spacing w:after="0" w:line="158" w:lineRule="exact"/>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280"/>
              <w:spacing w:after="0" w:line="162" w:lineRule="exact"/>
              <w:rPr>
                <w:sz w:val="20"/>
                <w:szCs w:val="20"/>
                <w:color w:val="auto"/>
              </w:rPr>
            </w:pPr>
            <w:r>
              <w:rPr>
                <w:rFonts w:ascii="Arial" w:cs="Arial" w:eastAsia="Arial" w:hAnsi="Arial"/>
                <w:sz w:val="16"/>
                <w:szCs w:val="16"/>
                <w:b w:val="1"/>
                <w:bCs w:val="1"/>
                <w:color w:val="auto"/>
              </w:rPr>
              <w:t>Average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 data)</w:t>
            </w: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260"/>
              <w:spacing w:after="0" w:line="162" w:lineRule="exact"/>
              <w:rPr>
                <w:sz w:val="20"/>
                <w:szCs w:val="20"/>
                <w:color w:val="auto"/>
              </w:rPr>
            </w:pPr>
            <w:r>
              <w:rPr>
                <w:rFonts w:ascii="Arial" w:cs="Arial" w:eastAsia="Arial" w:hAnsi="Arial"/>
                <w:sz w:val="16"/>
                <w:szCs w:val="16"/>
                <w:b w:val="1"/>
                <w:bCs w:val="1"/>
                <w:color w:val="auto"/>
              </w:rPr>
              <w:t>Grant Date Fair</w:t>
            </w: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Borders>
              <w:bottom w:val="single" w:sz="8" w:color="CCEEFF"/>
            </w:tcBorders>
            <w:gridSpan w:val="2"/>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balance at December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4"/>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balance at September 30,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Stock Options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ind w:left="340"/>
              <w:spacing w:after="0"/>
              <w:rPr>
                <w:sz w:val="20"/>
                <w:szCs w:val="20"/>
                <w:color w:val="auto"/>
              </w:rPr>
            </w:pPr>
            <w:r>
              <w:rPr>
                <w:rFonts w:ascii="Arial" w:cs="Arial" w:eastAsia="Arial" w:hAnsi="Arial"/>
                <w:sz w:val="18"/>
                <w:szCs w:val="18"/>
                <w:color w:val="auto"/>
              </w:rPr>
              <w:t>A summary of our stock option activity is presented below:</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vMerge w:val="restart"/>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Average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exercise prices and years)</w:t>
            </w: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280"/>
              <w:spacing w:after="0" w:line="162" w:lineRule="exact"/>
              <w:rPr>
                <w:sz w:val="20"/>
                <w:szCs w:val="20"/>
                <w:color w:val="auto"/>
              </w:rPr>
            </w:pPr>
            <w:r>
              <w:rPr>
                <w:rFonts w:ascii="Arial" w:cs="Arial" w:eastAsia="Arial" w:hAnsi="Arial"/>
                <w:sz w:val="16"/>
                <w:szCs w:val="16"/>
                <w:b w:val="1"/>
                <w:bCs w:val="1"/>
                <w:color w:val="auto"/>
              </w:rPr>
              <w:t>Average</w:t>
            </w: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 Term</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rPr>
              <w:t>Exercise Price</w:t>
            </w:r>
          </w:p>
        </w:tc>
        <w:tc>
          <w:tcPr>
            <w:tcW w:w="14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201,608</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September 30,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291,925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195,518</w:t>
            </w:r>
          </w:p>
        </w:tc>
        <w:tc>
          <w:tcPr>
            <w:tcW w:w="0" w:type="dxa"/>
            <w:vAlign w:val="bottom"/>
          </w:tcPr>
          <w:p>
            <w:pPr>
              <w:spacing w:after="0" w:line="20" w:lineRule="exact"/>
              <w:rPr>
                <w:sz w:val="1"/>
                <w:szCs w:val="1"/>
                <w:color w:val="auto"/>
              </w:rPr>
            </w:pPr>
          </w:p>
        </w:tc>
      </w:tr>
      <w:tr>
        <w:trPr>
          <w:trHeight w:val="204"/>
        </w:trPr>
        <w:tc>
          <w:tcPr>
            <w:tcW w:w="5200" w:type="dxa"/>
            <w:vAlign w:val="bottom"/>
          </w:tcPr>
          <w:p>
            <w:pPr>
              <w:ind w:left="180"/>
              <w:spacing w:after="0" w:line="203" w:lineRule="exact"/>
              <w:rPr>
                <w:sz w:val="20"/>
                <w:szCs w:val="20"/>
                <w:color w:val="auto"/>
              </w:rPr>
            </w:pPr>
            <w:r>
              <w:rPr>
                <w:rFonts w:ascii="Arial" w:cs="Arial" w:eastAsia="Arial" w:hAnsi="Arial"/>
                <w:sz w:val="18"/>
                <w:szCs w:val="18"/>
                <w:color w:val="auto"/>
              </w:rPr>
              <w:t>Exercisable at September 30, 2020</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6.62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jc w:val="center"/>
              <w:spacing w:after="0" w:line="203"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2020, there were 10.0 million stock options that were vested and expected to vest.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Under the evergreen provision in our 2018 Employee Stock Purchase Plan ("2018 ESPP"), in January 2020 we reserved an additional 1,478,808 shares of our common stock for issuance. At September 30, 2020, there were 5,431,176 shares reserved for issuance under the 2018 ESPP.</w:t>
      </w:r>
    </w:p>
    <w:p>
      <w:pPr>
        <w:spacing w:after="0" w:line="202"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In the nine months ended September 30, 2020, employees purchased 667,719 shares of our common stock at a weighted average price of $19.53 per share, resulting in $13.0 million of cash proceeds.</w:t>
      </w:r>
    </w:p>
    <w:p>
      <w:pPr>
        <w:spacing w:after="0" w:line="19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At September 30, 2020, there was $2.7 million of employee contributions to the 2018 ESPP included in accrued compensation. At September 30, 2020, the unrecognized stock-based compensation expense related to our 2018 ESPP was $5.9 million, which is expected to be recognized over the remaining weighted average period of 0.7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60" w:type="dxa"/>
            <w:vAlign w:val="bottom"/>
          </w:tcPr>
          <w:p>
            <w:pPr>
              <w:spacing w:after="0"/>
              <w:rPr>
                <w:sz w:val="18"/>
                <w:szCs w:val="18"/>
                <w:color w:val="auto"/>
              </w:rPr>
            </w:pPr>
          </w:p>
        </w:tc>
        <w:tc>
          <w:tcPr>
            <w:tcW w:w="4480" w:type="dxa"/>
            <w:vAlign w:val="bottom"/>
            <w:tcBorders>
              <w:bottom w:val="single" w:sz="8" w:color="auto"/>
            </w:tcBorders>
            <w:gridSpan w:val="5"/>
          </w:tcPr>
          <w:p>
            <w:pPr>
              <w:ind w:left="900"/>
              <w:spacing w:after="0"/>
              <w:rPr>
                <w:sz w:val="20"/>
                <w:szCs w:val="20"/>
                <w:color w:val="auto"/>
              </w:rPr>
            </w:pPr>
            <w:r>
              <w:rPr>
                <w:rFonts w:ascii="Arial" w:cs="Arial" w:eastAsia="Arial" w:hAnsi="Arial"/>
                <w:sz w:val="16"/>
                <w:szCs w:val="16"/>
                <w:b w:val="1"/>
                <w:bCs w:val="1"/>
                <w:color w:val="auto"/>
              </w:rPr>
              <w:t>Nine Months Ended September 30,</w:t>
            </w:r>
          </w:p>
        </w:tc>
      </w:tr>
      <w:tr>
        <w:trPr>
          <w:trHeight w:val="212"/>
        </w:trPr>
        <w:tc>
          <w:tcPr>
            <w:tcW w:w="67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6"/>
                <w:szCs w:val="16"/>
                <w:b w:val="1"/>
                <w:bCs w:val="1"/>
                <w:color w:val="auto"/>
              </w:rPr>
              <w:t>2019</w:t>
            </w: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41.6%</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 60.1%</w:t>
            </w: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1200" w:type="dxa"/>
            <w:vAlign w:val="bottom"/>
          </w:tcPr>
          <w:p>
            <w:pPr>
              <w:ind w:left="20"/>
              <w:spacing w:after="0"/>
              <w:rPr>
                <w:sz w:val="20"/>
                <w:szCs w:val="20"/>
                <w:color w:val="auto"/>
              </w:rPr>
            </w:pPr>
            <w:r>
              <w:rPr>
                <w:rFonts w:ascii="Arial" w:cs="Arial" w:eastAsia="Arial" w:hAnsi="Arial"/>
                <w:sz w:val="18"/>
                <w:szCs w:val="18"/>
                <w:color w:val="auto"/>
              </w:rPr>
              <w:t>— 44.6%</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4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95,433</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6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3"/>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(0.64)</w:t>
            </w: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3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and Nine Months Ended September 30,</w:t>
            </w:r>
          </w:p>
        </w:tc>
      </w:tr>
      <w:tr>
        <w:trPr>
          <w:trHeight w:val="21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7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2019</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78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2,860</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Geographic Information</w:t>
      </w:r>
    </w:p>
    <w:p>
      <w:pPr>
        <w:spacing w:after="0" w:line="24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by region, based on the address of the end user as specified in our subscription, license or service agreements,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296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ind w:right="12"/>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177,392</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56,123</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24,022</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257,537</w:t>
            </w: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Customers located in the United States accounted for 60%, 63%, 61% and 64% of revenue in the three months ended September 30, 2020 and 2019 and the nine months ended September 30, 2020 and 2019, respectively. No other country accounted for 10% or more of revenue in the periods presented.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00" w:type="dxa"/>
            <w:vAlign w:val="bottom"/>
          </w:tcPr>
          <w:p>
            <w:pPr>
              <w:jc w:val="right"/>
              <w:ind w:right="11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1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2019, or the 10-K, filed with the Securities and Exchange Commission on February 28, 2020. This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Such risks and uncertainties may be amplified by the COVID-19 pandemic and its potential impact on our business and the global economy.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are a leading provider of solutions for a new category of cybersecurity that we call Cyber Exposure. Cyber Exposure is a discipline for managing, measuring and comparing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20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enterprise platform offerings include Tenable.io, which is our software as a service, or SaaS, offering and Tenable.sc, which is our on-premises offering, both of which provide organizations with applications purpose-built for areas of both traditional and modern attack surfaces, including IT infrastructure and applications, cloud environments and industrial Internet of things, or IoT, and operational technology, or OT, environments. These applications are designed with views, workflows and dashboards to help identify vulnerabilities, internal and regulatory compliance violations, misconfigurations and other cybersecurity issues, prioritize these issues for remediation, and provide insightful remediation guidance.</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a one-year term. Our subscription terms are generally not longer than three years. These offerings are typically prepaid in advance. To a lesser extent, we generate ratably recognizable revenue from perpetual licenses and from the related ongoing maintenance.</w:t>
      </w:r>
    </w:p>
    <w:p>
      <w:pPr>
        <w:spacing w:after="0" w:line="20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many users to continue to use Nessus Essentials.</w:t>
      </w:r>
    </w:p>
    <w:p>
      <w:pPr>
        <w:spacing w:after="0" w:line="208"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There have been more than two million cumulative unique downloads, which refers to an individual email address utilized to register for the use of Nessus Essentials. We believe that the cumulative number of unique downloads of the free version of Nessus is representative of our brand recognition among cybersecurity professionals and that continued</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growth in this number suggests broader awareness among potential customers. While we believe that the cumulative number of unique downloads may provide an indication of the growth and scale of our thought leadership and brand awareness, we do not expect this metric to necessarily correlate to future revenue growth opportunities, and we do not consider this metric a measure of our operating performance.</w:t>
      </w:r>
    </w:p>
    <w:p>
      <w:pPr>
        <w:spacing w:after="0" w:line="20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experienced rapid growth in recent years. Revenue in the three months ended September 30, 2020 and 2019 and the nine months ended September 30, 2020 and 2019 was $112.3 million, $91.9 million, $ 322.1 million and $257.5 million, respectively, representing year-over-year growth of 22% and 25% in the quarterly and year-to-date periods, respectively. Our recurring revenue, which includes revenue from subscription arrangements for software and cloud-based solutions and maintenance associated with perpetual licenses, represented 94%, 92%, 93%, and 91% of revenue in the three months ended September 30, 2020 and 2019 and the nine months ended September 30, 2020 and 2019, respectively. Our net loss in the three months ended September 30, 2020 and 2019 and the nine months ended September 30, 2020 and 2019 was $5.9 million, $17.6 million, $40.8 million and $60.7 million, respectively, as we continue to invest in our business and market opportunity.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Update</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continue to monitor the impact of the COVID-19 pandemic on our customers, partners, employees and service providers. The full extent to which the COVID-19 pandemic will impact our business and operations will depend on future developments that are highly uncertain. While in the near term we may experience reductions in our billing and revenue growth rates, we are proactively managing our expenditures, including reductions of non-critical and discretionary expenses such as travel, meeting and facility usage costs, while preserving strategic investments in sales capacity and research and development. This has and may continue to result in improved leverage related to gross margins as well as sales and marketing, research and development, and general and administrative expenses as a percent of revenue. For additional information on the potential effects of the COVID-19 pandemic on our business, financial condition and results of operations, see the "Liquidity and Capital Resources" section below and “Risk Factors” in Part II, Item 1A of this Form 10-Q.</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296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ind w:right="11"/>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257,537</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(63,246)</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(60,708)</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(10,262)</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enterprise platform offerings provide visibility into the broadest range of traditional and modern IT assets across cloud and on-premises environments. We are intensely focused on continued innovation and ongoing development of our enterprise platform offerings that empower organizations to understand and reduce their cyber exposure. Additionally, we continue to expand the capabilities of our Nessus products, specifically as they relate to the ability to scan for and detect the rapidly expanding volume of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the number of enterprise platform customers will increase future opportunities for renewals and follow-on sales. We believe that we have significant room to increase our market share.</w:t>
      </w:r>
    </w:p>
    <w:p>
      <w:pPr>
        <w:spacing w:after="0" w:line="20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in our partner network and sales and marketing capability in order to grow domestically and internationally.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IoT and OT, they often increase the scope of their subscriptions and/or add additional perpetual licenses to our enterprise platforms.</w:t>
      </w:r>
    </w:p>
    <w:p>
      <w:pPr>
        <w:spacing w:after="0" w:line="20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these customers to our enterprise platform offerings, which provide continuous visibility and insights into their attack surface, as their needs develop.</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we plan to expand existing platform capabilities and launch new products,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 However, our ability to increase sales to existing customers will depend on a number of factors, including satisfaction or dissatisfaction with our products and services, competition, pricing, current economic conditions or overall changes in our and our clients' spending levels.</w:t>
      </w:r>
    </w:p>
    <w:p>
      <w:pPr>
        <w:spacing w:after="0" w:line="20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We evaluate our ability to expand sales with our existing customers by assessing our dollar-based net expansion rate. We calculate our dollar-based net expansion rate as follows:</w:t>
      </w:r>
    </w:p>
    <w:p>
      <w:pPr>
        <w:spacing w:after="0" w:line="198" w:lineRule="exact"/>
        <w:rPr>
          <w:sz w:val="20"/>
          <w:szCs w:val="20"/>
          <w:color w:val="auto"/>
        </w:rPr>
      </w:pPr>
    </w:p>
    <w:p>
      <w:pPr>
        <w:ind w:left="660" w:right="120" w:hanging="247"/>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3" w:lineRule="exact"/>
        <w:rPr>
          <w:rFonts w:ascii="Arial" w:cs="Arial" w:eastAsia="Arial" w:hAnsi="Arial"/>
          <w:sz w:val="18"/>
          <w:szCs w:val="18"/>
          <w:color w:val="auto"/>
        </w:rPr>
      </w:pPr>
    </w:p>
    <w:p>
      <w:pPr>
        <w:ind w:left="660" w:right="140" w:hanging="247"/>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Our dollar-based net expansion rate for the three-months ended September 30, 2020 was approximately 110% and was impacted by a more moderate pace of IT asset and IP address expansion in the current economic environment.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dollar-based net expansion rate may experience further decline or fluctuate from quarter to quarter if our existing customers choose to reduce or delay technology spending in response to economic conditions resulting from the COVID-19 pandemic, as well as a result of a number of factors, including our existing customers' satisfaction with our solutions, the pricing of our solutions and the ability of competing solutions and the pricing thereof.</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We may also explore acquisitions of businesses, technology and/or development personnel that will expand and enhance the functionality of our platform offerings. These investment activities could increase our net losses over the short term if our revenue growth does not increase at higher rates. However, we expect that these investments will ultimately benefit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Calculated current billings in any one period may be impacted by the overall timing of sales, including early renewals, as well as the timing and amount of multi-year prepaid contracts, which could favorably or unfavorably impact year-over-year comparisons. For example, an increasing number of large sales transactions, for which the timing has and will continue to vary, may occur in quarters subsequent to or in advance of those that we anticipate. Our calculation of calculated current billings may be different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other companies that report similar financial measures. Because of these and other limitations, you should consider calculated current billings along with revenue and our other GAAP financial results.</w:t>
      </w:r>
    </w:p>
    <w:p>
      <w:pPr>
        <w:spacing w:after="0" w:line="18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 xml:space="preserve">The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at January 1, 2017 resulted in a $55.0 million increase in deferred revenue primarily related to the deferral of perpetual license revenue. This cumulative adjustment to deferred revenue at January 1, 2017 increased calculated current billings by $16.7 million, $ 11.8 million and $5.6 million in 2017, 2018 and 2019, respectively, and is expected to increase our calculated current billings by $1.9 million in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8"/>
              </w:rPr>
              <w:t>112,282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rPr>
              <w:t>322,139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8"/>
              </w:rPr>
              <w:t>257,537</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Add: Deferred revenue (current), end of period</w:t>
            </w:r>
          </w:p>
        </w:tc>
        <w:tc>
          <w:tcPr>
            <w:tcW w:w="320" w:type="dxa"/>
            <w:vAlign w:val="bottom"/>
          </w:tcPr>
          <w:p>
            <w:pPr>
              <w:spacing w:after="0"/>
              <w:rPr>
                <w:sz w:val="19"/>
                <w:szCs w:val="19"/>
                <w:color w:val="auto"/>
              </w:rPr>
            </w:pPr>
          </w:p>
        </w:tc>
        <w:tc>
          <w:tcPr>
            <w:tcW w:w="1040" w:type="dxa"/>
            <w:vAlign w:val="bottom"/>
          </w:tcPr>
          <w:p>
            <w:pPr>
              <w:jc w:val="center"/>
              <w:ind w:left="152"/>
              <w:spacing w:after="0"/>
              <w:rPr>
                <w:sz w:val="20"/>
                <w:szCs w:val="20"/>
                <w:color w:val="auto"/>
              </w:rPr>
            </w:pPr>
            <w:r>
              <w:rPr>
                <w:rFonts w:ascii="Arial" w:cs="Arial" w:eastAsia="Arial" w:hAnsi="Arial"/>
                <w:sz w:val="18"/>
                <w:szCs w:val="18"/>
                <w:color w:val="auto"/>
                <w:w w:val="98"/>
              </w:rPr>
              <w:t>296,360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245,985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172"/>
              <w:spacing w:after="0"/>
              <w:rPr>
                <w:sz w:val="20"/>
                <w:szCs w:val="20"/>
                <w:color w:val="auto"/>
              </w:rPr>
            </w:pPr>
            <w:r>
              <w:rPr>
                <w:rFonts w:ascii="Arial" w:cs="Arial" w:eastAsia="Arial" w:hAnsi="Arial"/>
                <w:sz w:val="18"/>
                <w:szCs w:val="18"/>
                <w:color w:val="auto"/>
              </w:rPr>
              <w:t>296,360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left="172"/>
              <w:spacing w:after="0"/>
              <w:rPr>
                <w:sz w:val="20"/>
                <w:szCs w:val="20"/>
                <w:color w:val="auto"/>
              </w:rPr>
            </w:pPr>
            <w:r>
              <w:rPr>
                <w:rFonts w:ascii="Arial" w:cs="Arial" w:eastAsia="Arial" w:hAnsi="Arial"/>
                <w:sz w:val="18"/>
                <w:szCs w:val="18"/>
                <w:color w:val="auto"/>
                <w:w w:val="98"/>
              </w:rPr>
              <w:t>245,985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Deferred revenue (current),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rPr>
              <w:t>(274,953)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152"/>
              <w:spacing w:after="0"/>
              <w:rPr>
                <w:sz w:val="20"/>
                <w:szCs w:val="20"/>
                <w:color w:val="auto"/>
              </w:rPr>
            </w:pPr>
            <w:r>
              <w:rPr>
                <w:rFonts w:ascii="Arial" w:cs="Arial" w:eastAsia="Arial" w:hAnsi="Arial"/>
                <w:sz w:val="18"/>
                <w:szCs w:val="18"/>
                <w:color w:val="auto"/>
                <w:w w:val="98"/>
              </w:rPr>
              <w:t>(274,348)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52"/>
              <w:spacing w:after="0"/>
              <w:rPr>
                <w:sz w:val="20"/>
                <w:szCs w:val="20"/>
                <w:color w:val="auto"/>
              </w:rPr>
            </w:pPr>
            <w:r>
              <w:rPr>
                <w:rFonts w:ascii="Arial" w:cs="Arial" w:eastAsia="Arial" w:hAnsi="Arial"/>
                <w:sz w:val="18"/>
                <w:szCs w:val="18"/>
                <w:color w:val="auto"/>
              </w:rPr>
              <w:t>(213,644)</w:t>
            </w:r>
          </w:p>
        </w:tc>
      </w:tr>
      <w:tr>
        <w:trPr>
          <w:trHeight w:val="223"/>
        </w:trPr>
        <w:tc>
          <w:tcPr>
            <w:tcW w:w="546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8"/>
              </w:rPr>
              <w:t>133,689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rPr>
              <w:t>344,151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8"/>
              </w:rPr>
              <w:t>289,878</w:t>
            </w: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(used in) operating activities and our other GAAP financial measures.</w:t>
      </w:r>
    </w:p>
    <w:p>
      <w:pPr>
        <w:spacing w:after="0" w:line="207"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presents a reconciliation of net cash provided by (used in) operating activities, the most directly comparable financial measure calculated in accordance with GAAP, to free cash flow: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rPr>
              <w:t>46,298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8"/>
              </w:rPr>
              <w:t>(19,073)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(10,262)</w:t>
            </w:r>
          </w:p>
        </w:tc>
      </w:tr>
      <w:tr>
        <w:trPr>
          <w:trHeight w:val="248"/>
        </w:trPr>
        <w:tc>
          <w:tcPr>
            <w:tcW w:w="546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272"/>
              <w:spacing w:after="0"/>
              <w:rPr>
                <w:sz w:val="20"/>
                <w:szCs w:val="20"/>
                <w:color w:val="auto"/>
              </w:rPr>
            </w:pPr>
            <w:r>
              <w:rPr>
                <w:rFonts w:ascii="Arial" w:cs="Arial" w:eastAsia="Arial" w:hAnsi="Arial"/>
                <w:sz w:val="18"/>
                <w:szCs w:val="18"/>
                <w:color w:val="auto"/>
              </w:rPr>
              <w:t>27,225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200" w:firstLine="8"/>
        <w:spacing w:after="0" w:line="249" w:lineRule="auto"/>
        <w:tabs>
          <w:tab w:leader="none" w:pos="378" w:val="left"/>
        </w:tabs>
        <w:numPr>
          <w:ilvl w:val="0"/>
          <w:numId w:val="9"/>
        </w:numPr>
        <w:rPr>
          <w:rFonts w:ascii="Arial" w:cs="Arial" w:eastAsia="Arial" w:hAnsi="Arial"/>
          <w:sz w:val="16"/>
          <w:szCs w:val="16"/>
          <w:color w:val="auto"/>
        </w:rPr>
      </w:pPr>
      <w:r>
        <w:rPr>
          <w:rFonts w:ascii="Arial" w:cs="Arial" w:eastAsia="Arial" w:hAnsi="Arial"/>
          <w:sz w:val="16"/>
          <w:szCs w:val="16"/>
          <w:color w:val="auto"/>
        </w:rPr>
        <w:t>Free cash flow included reductions related to employee stock purchase plan activity of $2.3 million and $3.7 million in the three months ended September 30, 2020 and 2019, respectively, and $2.7 million and $4.7 million in the nine months ended September 30, 2020 and 2019, respectively. The three and nine months ended September 30, 2020 included $5.6 million and $14.2 million, respectively, in proceeds from lease incentives as well as $6.8 million and $16.6 million, respectively, in capital expenditures for our new headquarters. The three and nine months ended September 30, 2019 included $2.4 million in capital expenditures for our new headquarters. The nine months ended September 30, 2020 also included $0.7 million of acquisition-related payments for Indegy.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4300" w:type="dxa"/>
            <w:vAlign w:val="bottom"/>
            <w:tcBorders>
              <w:bottom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24"/>
        </w:trPr>
        <w:tc>
          <w:tcPr>
            <w:tcW w:w="6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Number of new enterprise platform customers added in period</w:t>
            </w:r>
            <w:r>
              <w:rPr>
                <w:rFonts w:ascii="Arial" w:cs="Arial" w:eastAsia="Arial" w:hAnsi="Arial"/>
                <w:sz w:val="23"/>
                <w:szCs w:val="23"/>
                <w:color w:val="auto"/>
                <w:vertAlign w:val="superscript"/>
              </w:rPr>
              <w:t>(1)</w:t>
            </w:r>
          </w:p>
        </w:tc>
        <w:tc>
          <w:tcPr>
            <w:tcW w:w="13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(13)%</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240" w:firstLine="8"/>
        <w:spacing w:after="0" w:line="253" w:lineRule="auto"/>
        <w:tabs>
          <w:tab w:leader="none" w:pos="3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Tenable.sc for an annual amount of $5,000 or greater. New enterprise platform customers represent new customer logos during the periods presented and do not include customer conversions from Nessus Professional to enterprise platforms.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September 30,</w:t>
            </w:r>
          </w:p>
        </w:tc>
        <w:tc>
          <w:tcPr>
            <w:tcW w:w="1360" w:type="dxa"/>
            <w:vAlign w:val="bottom"/>
            <w:tcBorders>
              <w:bottom w:val="single" w:sz="8" w:color="auto"/>
            </w:tcBorders>
          </w:tcPr>
          <w:p>
            <w:pPr>
              <w:spacing w:after="0"/>
              <w:rPr>
                <w:sz w:val="18"/>
                <w:szCs w:val="18"/>
                <w:color w:val="auto"/>
              </w:rPr>
            </w:pPr>
          </w:p>
        </w:tc>
      </w:tr>
      <w:tr>
        <w:trPr>
          <w:trHeight w:val="212"/>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169"/>
        </w:trPr>
        <w:tc>
          <w:tcPr>
            <w:tcW w:w="69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17"/>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31%</w:t>
            </w:r>
          </w:p>
        </w:tc>
      </w:tr>
    </w:tbl>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use non-GAAP income (loss) from operations along with non-GAAP operating margin as key indicators of our financial performance. We define these non-GAAP financial measures as their respective GAAP measures, excluding the effects of stock-based compensation, acquisition-related expenses and amortization of acquired intangible assets. Acquisition-related expenses include transaction expenses and costs related to the transfer of acquired intellectual property.</w:t>
      </w:r>
    </w:p>
    <w:p>
      <w:pPr>
        <w:spacing w:after="0" w:line="204"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(loss) from operations and non-GAAP operating margin exclude stock-based compensation expense, which has been, and will continue to be for the foreseeable future, a significant recurring expense in our business and an important part of our compensation strategy.</w:t>
      </w:r>
    </w:p>
    <w:p>
      <w:pPr>
        <w:spacing w:after="0" w:line="20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income (loss) from operations, and operating margin, the most directly comparable financial measure calculated in accordance with GAAP, to non-GAAP operating margin: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90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(63,246)</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10,499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31,191</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427</w:t>
            </w:r>
          </w:p>
        </w:tc>
      </w:tr>
      <w:tr>
        <w:trPr>
          <w:trHeight w:val="248"/>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(31,628)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Income (Loss) and Non-GAAP Earnings (Loss) Per Share</w:t>
      </w:r>
    </w:p>
    <w:p>
      <w:pPr>
        <w:spacing w:after="0" w:line="247" w:lineRule="exact"/>
        <w:rPr>
          <w:sz w:val="20"/>
          <w:szCs w:val="20"/>
          <w:color w:val="auto"/>
        </w:rPr>
      </w:pPr>
    </w:p>
    <w:p>
      <w:pPr>
        <w:ind w:right="740" w:firstLine="324"/>
        <w:spacing w:after="0" w:line="261" w:lineRule="auto"/>
        <w:rPr>
          <w:sz w:val="20"/>
          <w:szCs w:val="20"/>
          <w:color w:val="auto"/>
        </w:rPr>
      </w:pPr>
      <w:r>
        <w:rPr>
          <w:rFonts w:ascii="Arial" w:cs="Arial" w:eastAsia="Arial" w:hAnsi="Arial"/>
          <w:sz w:val="18"/>
          <w:szCs w:val="18"/>
          <w:color w:val="auto"/>
        </w:rPr>
        <w:t>We use non-GAAP net income (loss), which excludes the effect of stock-based compensation, acquisition-related expenses and amortization of acquired intangible assets, as well as the related tax impact, to calculate non-GAAP</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earnings (loss) per share. We believe that these non-GAAP measures provide important information to management and investors because they facilitate comparisons of our core operating results over multiple periods.</w:t>
      </w:r>
    </w:p>
    <w:p>
      <w:pPr>
        <w:spacing w:after="0" w:line="198"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following table presents a reconciliation of net loss and net loss per share, the most comparable financial measures calculated in accordance with GAAP, to non-GAAP net income (loss) and non-GAAP earnings (loss) per share: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for per share amounts)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(60,708)</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31,191</w:t>
            </w:r>
          </w:p>
        </w:tc>
      </w:tr>
      <w:tr>
        <w:trPr>
          <w:trHeight w:val="230"/>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5460" w:type="dxa"/>
            <w:vAlign w:val="bottom"/>
          </w:tcPr>
          <w:p>
            <w:pPr>
              <w:ind w:left="220"/>
              <w:spacing w:after="0"/>
              <w:rPr>
                <w:sz w:val="20"/>
                <w:szCs w:val="20"/>
                <w:color w:val="auto"/>
              </w:rPr>
            </w:pPr>
            <w:r>
              <w:rPr>
                <w:rFonts w:ascii="Arial" w:cs="Arial" w:eastAsia="Arial" w:hAnsi="Arial"/>
                <w:sz w:val="18"/>
                <w:szCs w:val="18"/>
                <w:color w:val="auto"/>
              </w:rPr>
              <w:t>Non-GAAP net income (loss)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(29,345)</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Net loss per share, diluted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30"/>
        </w:trPr>
        <w:tc>
          <w:tcPr>
            <w:tcW w:w="5460" w:type="dxa"/>
            <w:vAlign w:val="bottom"/>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Pr>
          <w:p>
            <w:pPr>
              <w:ind w:left="220"/>
              <w:spacing w:after="0"/>
              <w:rPr>
                <w:sz w:val="20"/>
                <w:szCs w:val="20"/>
                <w:color w:val="auto"/>
              </w:rPr>
            </w:pPr>
            <w:r>
              <w:rPr>
                <w:rFonts w:ascii="Arial" w:cs="Arial" w:eastAsia="Arial" w:hAnsi="Arial"/>
                <w:sz w:val="18"/>
                <w:szCs w:val="18"/>
                <w:color w:val="auto"/>
              </w:rPr>
              <w:t>Non-GAAP earnings (loss) per share, diluted</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88"/>
        </w:trPr>
        <w:tc>
          <w:tcPr>
            <w:tcW w:w="546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to compute GAAP net loss per</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460" w:type="dxa"/>
            <w:vAlign w:val="bottom"/>
          </w:tcPr>
          <w:p>
            <w:pPr>
              <w:ind w:left="100"/>
              <w:spacing w:after="0"/>
              <w:rPr>
                <w:sz w:val="20"/>
                <w:szCs w:val="20"/>
                <w:color w:val="auto"/>
              </w:rPr>
            </w:pPr>
            <w:r>
              <w:rPr>
                <w:rFonts w:ascii="Arial" w:cs="Arial" w:eastAsia="Arial" w:hAnsi="Arial"/>
                <w:sz w:val="18"/>
                <w:szCs w:val="18"/>
                <w:color w:val="auto"/>
              </w:rPr>
              <w:t>share, diluted</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96,709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100,272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95,433</w:t>
            </w:r>
          </w:p>
        </w:tc>
      </w:tr>
      <w:tr>
        <w:trPr>
          <w:trHeight w:val="270"/>
        </w:trPr>
        <w:tc>
          <w:tcPr>
            <w:tcW w:w="5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178"/>
        </w:trPr>
        <w:tc>
          <w:tcPr>
            <w:tcW w:w="5460" w:type="dxa"/>
            <w:vAlign w:val="bottom"/>
          </w:tcPr>
          <w:p>
            <w:pPr>
              <w:ind w:left="20"/>
              <w:spacing w:after="0" w:line="178" w:lineRule="exact"/>
              <w:rPr>
                <w:sz w:val="20"/>
                <w:szCs w:val="20"/>
                <w:color w:val="auto"/>
              </w:rPr>
            </w:pPr>
            <w:r>
              <w:rPr>
                <w:rFonts w:ascii="Arial" w:cs="Arial" w:eastAsia="Arial" w:hAnsi="Arial"/>
                <w:sz w:val="18"/>
                <w:szCs w:val="18"/>
                <w:color w:val="auto"/>
              </w:rPr>
              <w:t>Weighted-average shares used to compute non-GAAP earnings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99"/>
        </w:trPr>
        <w:tc>
          <w:tcPr>
            <w:tcW w:w="5460" w:type="dxa"/>
            <w:vAlign w:val="bottom"/>
          </w:tcPr>
          <w:p>
            <w:pPr>
              <w:ind w:left="100"/>
              <w:spacing w:after="0"/>
              <w:rPr>
                <w:sz w:val="20"/>
                <w:szCs w:val="20"/>
                <w:color w:val="auto"/>
              </w:rPr>
            </w:pPr>
            <w:r>
              <w:rPr>
                <w:rFonts w:ascii="Arial" w:cs="Arial" w:eastAsia="Arial" w:hAnsi="Arial"/>
                <w:sz w:val="18"/>
                <w:szCs w:val="18"/>
                <w:color w:val="auto"/>
              </w:rPr>
              <w:t>(loss) per share, diluted</w:t>
            </w:r>
            <w:r>
              <w:rPr>
                <w:rFonts w:ascii="Arial" w:cs="Arial" w:eastAsia="Arial" w:hAnsi="Arial"/>
                <w:sz w:val="23"/>
                <w:szCs w:val="23"/>
                <w:color w:val="auto"/>
                <w:vertAlign w:val="superscript"/>
              </w:rPr>
              <w:t>(4)</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96,709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109,046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95,433</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54"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tax impact of amortization of acquired intangible assets is not material.</w:t>
      </w:r>
    </w:p>
    <w:p>
      <w:pPr>
        <w:spacing w:after="0" w:line="59" w:lineRule="exact"/>
        <w:rPr>
          <w:rFonts w:ascii="Arial" w:cs="Arial" w:eastAsia="Arial" w:hAnsi="Arial"/>
          <w:sz w:val="16"/>
          <w:szCs w:val="16"/>
          <w:color w:val="auto"/>
        </w:rPr>
      </w:pPr>
    </w:p>
    <w:p>
      <w:pPr>
        <w:ind w:right="240" w:firstLine="8"/>
        <w:spacing w:after="0" w:line="260" w:lineRule="auto"/>
        <w:tabs>
          <w:tab w:leader="none" w:pos="3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adjustment may be necessary to reconcile GAAP net loss per share, which excludes potentially dilutive shares, to non-GAAP earnings per share, which includes potentially dilutive shares.</w:t>
      </w:r>
    </w:p>
    <w:p>
      <w:pPr>
        <w:spacing w:after="0" w:line="33" w:lineRule="exact"/>
        <w:rPr>
          <w:rFonts w:ascii="Arial" w:cs="Arial" w:eastAsia="Arial" w:hAnsi="Arial"/>
          <w:sz w:val="16"/>
          <w:szCs w:val="16"/>
          <w:color w:val="auto"/>
        </w:rPr>
      </w:pPr>
    </w:p>
    <w:p>
      <w:pPr>
        <w:ind w:right="220" w:firstLine="8"/>
        <w:spacing w:after="0" w:line="260" w:lineRule="auto"/>
        <w:tabs>
          <w:tab w:leader="none" w:pos="3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periods in which there is a non-GAAP net loss, basic and diluted weighted average shares outstanding are the same, as potentially dilutive shares would be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19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1" w:lineRule="exact"/>
        <w:rPr>
          <w:sz w:val="20"/>
          <w:szCs w:val="20"/>
          <w:color w:val="auto"/>
        </w:rPr>
      </w:pPr>
    </w:p>
    <w:p>
      <w:pPr>
        <w:ind w:right="580"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severance. Cost of revenue also includes cloud infrastructure costs, the costs related to professional services and training, depreciation, amortization of acquired and developed technology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bonuses, payroll taxes, stock-based compensation and any severance. Operating expenses also include depreciation and amortization as well as allocated overhead costs, including IT and facilities costs.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 We capitalize sales commissions, including related incremental fringe benefit costs, and recognize the expense over an estimated period of benefit, which ranges between three and four years for subscription arrangements 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20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intend to continue to make investments in our sales and marketing teams to grow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480" w:firstLine="324"/>
        <w:spacing w:after="0" w:line="254"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costs.</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annually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47"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Interest (expense) income, net consists primarily of interest income earned on cash and cash equivalents and short-term investments and interest expense in connection with our credit facility, including unused and letter of credit fees.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Provision for income taxes consists of income taxes in certain foreign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9"/>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40" w:type="dxa"/>
            <w:vAlign w:val="bottom"/>
          </w:tcPr>
          <w:p>
            <w:pPr>
              <w:spacing w:after="0"/>
              <w:rPr>
                <w:sz w:val="18"/>
                <w:szCs w:val="18"/>
                <w:color w:val="auto"/>
              </w:rPr>
            </w:pPr>
          </w:p>
        </w:tc>
        <w:tc>
          <w:tcPr>
            <w:tcW w:w="2800" w:type="dxa"/>
            <w:vAlign w:val="bottom"/>
            <w:gridSpan w:val="8"/>
          </w:tcPr>
          <w:p>
            <w:pPr>
              <w:jc w:val="center"/>
              <w:ind w:right="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215,148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77,269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64,396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54,992</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96,353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300,604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278,394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(63,246)</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(36,344)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(59,145)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(40,795)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(60,708)</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4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460" w:type="dxa"/>
            <w:vAlign w:val="bottom"/>
          </w:tcPr>
          <w:p>
            <w:pPr>
              <w:spacing w:after="0"/>
              <w:rPr>
                <w:sz w:val="24"/>
                <w:szCs w:val="24"/>
                <w:color w:val="auto"/>
              </w:rPr>
            </w:pPr>
          </w:p>
        </w:tc>
        <w:tc>
          <w:tcPr>
            <w:tcW w:w="2940" w:type="dxa"/>
            <w:vAlign w:val="bottom"/>
            <w:gridSpan w:val="9"/>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40" w:type="dxa"/>
            <w:vAlign w:val="bottom"/>
          </w:tcPr>
          <w:p>
            <w:pPr>
              <w:spacing w:after="0"/>
              <w:rPr>
                <w:sz w:val="24"/>
                <w:szCs w:val="24"/>
                <w:color w:val="auto"/>
              </w:rPr>
            </w:pPr>
          </w:p>
        </w:tc>
        <w:tc>
          <w:tcPr>
            <w:tcW w:w="2800" w:type="dxa"/>
            <w:vAlign w:val="bottom"/>
            <w:gridSpan w:val="8"/>
          </w:tcPr>
          <w:p>
            <w:pPr>
              <w:jc w:val="center"/>
              <w:ind w:right="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14,677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6,595</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16,127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11,406</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940" w:type="dxa"/>
            <w:vAlign w:val="bottom"/>
            <w:gridSpan w:val="5"/>
          </w:tcPr>
          <w:p>
            <w:pPr>
              <w:spacing w:after="0"/>
              <w:rPr>
                <w:sz w:val="20"/>
                <w:szCs w:val="20"/>
                <w:color w:val="auto"/>
              </w:rPr>
            </w:pPr>
            <w:r>
              <w:rPr>
                <w:rFonts w:ascii="Arial" w:cs="Arial" w:eastAsia="Arial" w:hAnsi="Arial"/>
                <w:sz w:val="18"/>
                <w:szCs w:val="18"/>
                <w:b w:val="1"/>
                <w:bCs w:val="1"/>
                <w:color w:val="auto"/>
              </w:rPr>
              <w:t>Comparison of the Three Months Ended September 30, 2020 and 2019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Revenue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60" w:type="dxa"/>
            <w:vAlign w:val="bottom"/>
          </w:tcPr>
          <w:p>
            <w:pPr>
              <w:spacing w:after="0"/>
              <w:rPr>
                <w:sz w:val="24"/>
                <w:szCs w:val="24"/>
                <w:color w:val="auto"/>
              </w:rPr>
            </w:pPr>
          </w:p>
        </w:tc>
        <w:tc>
          <w:tcPr>
            <w:tcW w:w="2940" w:type="dxa"/>
            <w:vAlign w:val="bottom"/>
            <w:gridSpan w:val="9"/>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5"/>
          </w:tcPr>
          <w:p>
            <w:pPr>
              <w:jc w:val="center"/>
              <w:ind w:left="572"/>
              <w:spacing w:after="0"/>
              <w:rPr>
                <w:sz w:val="20"/>
                <w:szCs w:val="20"/>
                <w:color w:val="auto"/>
              </w:rPr>
            </w:pPr>
            <w:r>
              <w:rPr>
                <w:rFonts w:ascii="Arial" w:cs="Arial" w:eastAsia="Arial" w:hAnsi="Arial"/>
                <w:sz w:val="16"/>
                <w:szCs w:val="16"/>
                <w:b w:val="1"/>
                <w:bCs w:val="1"/>
                <w:color w:val="auto"/>
              </w:rPr>
              <w:t>Change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increase in revenue of $20.4 million was comprised of increases in subscription revenue of $21.3 million and professional services and other revenue of $0.5 million, net of a decrease in perpetual license and maintenance revenue of $1.4 million. Revenue from existing customers comprised 25% of the increase, while the remaining increase was due to revenue from new customers since October 1, 2019. International revenue increased $10.1 million, or 29%.</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1460" w:type="dxa"/>
            <w:vAlign w:val="bottom"/>
            <w:gridSpan w:val="3"/>
          </w:tcPr>
          <w:p>
            <w:pPr>
              <w:ind w:left="7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19,394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15,245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92,888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76,607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$4.1 million was primarily due to:</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$1.9 million increase in personnel costs primarily due to support for cloud-based products;</w:t>
      </w:r>
    </w:p>
    <w:p>
      <w:pPr>
        <w:spacing w:after="0" w:line="63"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$1.7 million increase in third-party cloud infrastructure costs largely associated with the increased adoption of Tenable.io and Tenable Lumin;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$0.5 million increase in the amortization of acquired intangible assets;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$0.3 million increase in the amortization of internal use software;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$0.3 million decrease in travel and meeting costs.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96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1480" w:type="dxa"/>
            <w:vAlign w:val="bottom"/>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960" w:type="dxa"/>
            <w:vAlign w:val="bottom"/>
          </w:tcPr>
          <w:p>
            <w:pPr>
              <w:spacing w:after="0"/>
              <w:rPr>
                <w:sz w:val="18"/>
                <w:szCs w:val="18"/>
                <w:color w:val="auto"/>
              </w:rPr>
            </w:pPr>
          </w:p>
        </w:tc>
      </w:tr>
      <w:tr>
        <w:trPr>
          <w:trHeight w:val="21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sales and marketing expense of $3.7 million was primarily due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$2.4 million decrease in selling expenses, including a $2.3 million decrease in travel and meeting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$2.1 million decrease in marketing expenses, primarily related to a reduction in field marketing activities;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 million decrease in sales commission draws; partially offset by</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$1.6 million increase in personnel costs largely associated with an increase in headcount, including a $1.3 million increase in stock-based compensation.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9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1480" w:type="dxa"/>
            <w:vAlign w:val="bottom"/>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940" w:type="dxa"/>
            <w:vAlign w:val="bottom"/>
          </w:tcPr>
          <w:p>
            <w:pPr>
              <w:spacing w:after="0"/>
              <w:rPr>
                <w:sz w:val="18"/>
                <w:szCs w:val="18"/>
                <w:color w:val="auto"/>
              </w:rPr>
            </w:pPr>
          </w:p>
        </w:tc>
      </w:tr>
      <w:tr>
        <w:trPr>
          <w:trHeight w:val="21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$4.4 million was primarily due to:</w:t>
      </w:r>
    </w:p>
    <w:p>
      <w:pPr>
        <w:spacing w:after="0" w:line="117" w:lineRule="exact"/>
        <w:rPr>
          <w:sz w:val="20"/>
          <w:szCs w:val="20"/>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$4.9 million increase in personnel costs, including a $1.8 million increase in stock-based compensation and a $0.7 million decrease in development costs that were capitalized for internal use software; and</w:t>
      </w:r>
    </w:p>
    <w:p>
      <w:pPr>
        <w:spacing w:after="0" w:line="35"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$0.5 million increase in allocated overhead costs, driven by both the increase in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$0.8 million decrease in travel and meeting costs; 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$0.4 million decrease in third-party cloud infrastructure costs related to the development of new and future product offerings.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9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780" w:type="dxa"/>
            <w:vAlign w:val="bottom"/>
          </w:tcPr>
          <w:p>
            <w:pPr>
              <w:spacing w:after="0"/>
              <w:rPr>
                <w:sz w:val="18"/>
                <w:szCs w:val="18"/>
                <w:color w:val="auto"/>
              </w:rPr>
            </w:pPr>
          </w:p>
        </w:tc>
        <w:tc>
          <w:tcPr>
            <w:tcW w:w="1000" w:type="dxa"/>
            <w:vAlign w:val="bottom"/>
            <w:gridSpan w:val="3"/>
          </w:tcPr>
          <w:p>
            <w:pPr>
              <w:ind w:left="280"/>
              <w:spacing w:after="0"/>
              <w:rPr>
                <w:sz w:val="20"/>
                <w:szCs w:val="20"/>
                <w:color w:val="auto"/>
              </w:rPr>
            </w:pPr>
            <w:r>
              <w:rPr>
                <w:rFonts w:ascii="Arial" w:cs="Arial" w:eastAsia="Arial" w:hAnsi="Arial"/>
                <w:sz w:val="16"/>
                <w:szCs w:val="16"/>
                <w:b w:val="1"/>
                <w:bCs w:val="1"/>
                <w:color w:val="auto"/>
              </w:rPr>
              <w:t>Change</w:t>
            </w:r>
          </w:p>
        </w:tc>
        <w:tc>
          <w:tcPr>
            <w:tcW w:w="940" w:type="dxa"/>
            <w:vAlign w:val="bottom"/>
          </w:tcPr>
          <w:p>
            <w:pPr>
              <w:spacing w:after="0"/>
              <w:rPr>
                <w:sz w:val="18"/>
                <w:szCs w:val="18"/>
                <w:color w:val="auto"/>
              </w:rPr>
            </w:pPr>
          </w:p>
        </w:tc>
      </w:tr>
      <w:tr>
        <w:trPr>
          <w:trHeight w:val="21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$0.7 million was primarily due to:</w:t>
      </w:r>
    </w:p>
    <w:p>
      <w:pPr>
        <w:spacing w:after="0" w:line="117" w:lineRule="exact"/>
        <w:rPr>
          <w:sz w:val="20"/>
          <w:szCs w:val="20"/>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$2.2 million increase in personnel costs largely associated with an increase in headcount, including a $1.4 million increase in stock-based compensation;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$0.1 million increase in allocated overhead costs;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$1.4 million decrease in professional fees;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$0.4 million decrease in travel and meeting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98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Pr>
          <w:p>
            <w:pPr>
              <w:spacing w:after="0"/>
              <w:rPr>
                <w:sz w:val="18"/>
                <w:szCs w:val="18"/>
                <w:color w:val="auto"/>
              </w:rPr>
            </w:pPr>
          </w:p>
        </w:tc>
        <w:tc>
          <w:tcPr>
            <w:tcW w:w="1480" w:type="dxa"/>
            <w:vAlign w:val="bottom"/>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960" w:type="dxa"/>
            <w:vAlign w:val="bottom"/>
          </w:tcPr>
          <w:p>
            <w:pPr>
              <w:spacing w:after="0"/>
              <w:rPr>
                <w:sz w:val="18"/>
                <w:szCs w:val="18"/>
                <w:color w:val="auto"/>
              </w:rPr>
            </w:pPr>
          </w:p>
        </w:tc>
      </w:tr>
      <w:tr>
        <w:trPr>
          <w:trHeight w:val="21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bl>
    <w:p>
      <w:pPr>
        <w:spacing w:after="0" w:line="31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increase in revenue of $64.6 million was comprised of increases in subscription revenue of $65.6 million and professional services and other revenue of $1.8 million, partially offset by a decrease in perpetual license and maintenance revenue of $2.8 million. Revenue from existing customers comprised 49% of the increase, while the remaining increase was due to revenue from new customers since October 1, 2019. International revenue increased $31.3 million, or 33%.</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300" w:type="dxa"/>
            <w:vAlign w:val="bottom"/>
          </w:tcPr>
          <w:p>
            <w:pPr>
              <w:spacing w:after="0"/>
              <w:rPr>
                <w:sz w:val="18"/>
                <w:szCs w:val="18"/>
                <w:color w:val="auto"/>
              </w:rPr>
            </w:pPr>
          </w:p>
        </w:tc>
        <w:tc>
          <w:tcPr>
            <w:tcW w:w="1460" w:type="dxa"/>
            <w:vAlign w:val="bottom"/>
            <w:gridSpan w:val="3"/>
          </w:tcPr>
          <w:p>
            <w:pPr>
              <w:ind w:left="7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57,237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42,389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264,902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215,148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$14.8 million was primarily due to:</w:t>
      </w:r>
    </w:p>
    <w:p>
      <w:pPr>
        <w:spacing w:after="0" w:line="117" w:lineRule="exact"/>
        <w:rPr>
          <w:sz w:val="20"/>
          <w:szCs w:val="20"/>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$6.1 million increase in third-party cloud infrastructure costs largely associated with the increased adoption of Tenable.io, as well as the launch of Tenable Lumin;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$6.0 million increase in personnel costs primarily due to support for cloud-based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$1.3 million increase in the amortization of acquired intangible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$1.1 million increase in the amortization of internal use software; and</w:t>
      </w:r>
    </w:p>
    <w:p>
      <w:pPr>
        <w:spacing w:after="0" w:line="63"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$0.6 million increase in allocated overhead costs driven by both the increase in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$0.8 million decrease in travel and meeting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000" w:type="dxa"/>
            <w:vAlign w:val="bottom"/>
            <w:gridSpan w:val="6"/>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720" w:type="dxa"/>
            <w:vAlign w:val="bottom"/>
          </w:tcPr>
          <w:p>
            <w:pPr>
              <w:spacing w:after="0"/>
              <w:rPr>
                <w:sz w:val="18"/>
                <w:szCs w:val="18"/>
                <w:color w:val="auto"/>
              </w:rPr>
            </w:pPr>
          </w:p>
        </w:tc>
        <w:tc>
          <w:tcPr>
            <w:tcW w:w="1080" w:type="dxa"/>
            <w:vAlign w:val="bottom"/>
            <w:gridSpan w:val="3"/>
          </w:tcPr>
          <w:p>
            <w:pPr>
              <w:ind w:left="360"/>
              <w:spacing w:after="0"/>
              <w:rPr>
                <w:sz w:val="20"/>
                <w:szCs w:val="20"/>
                <w:color w:val="auto"/>
              </w:rPr>
            </w:pPr>
            <w:r>
              <w:rPr>
                <w:rFonts w:ascii="Arial" w:cs="Arial" w:eastAsia="Arial" w:hAnsi="Arial"/>
                <w:sz w:val="16"/>
                <w:szCs w:val="16"/>
                <w:b w:val="1"/>
                <w:bCs w:val="1"/>
                <w:color w:val="auto"/>
              </w:rPr>
              <w:t>Change</w:t>
            </w:r>
          </w:p>
        </w:tc>
        <w:tc>
          <w:tcPr>
            <w:tcW w:w="940" w:type="dxa"/>
            <w:vAlign w:val="bottom"/>
          </w:tcPr>
          <w:p>
            <w:pPr>
              <w:spacing w:after="0"/>
              <w:rPr>
                <w:sz w:val="18"/>
                <w:szCs w:val="18"/>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$2.9 million was primarily due to:</w:t>
      </w:r>
    </w:p>
    <w:p>
      <w:pPr>
        <w:spacing w:after="0" w:line="117" w:lineRule="exact"/>
        <w:rPr>
          <w:sz w:val="20"/>
          <w:szCs w:val="20"/>
          <w:color w:val="auto"/>
        </w:rPr>
      </w:pPr>
    </w:p>
    <w:p>
      <w:pPr>
        <w:ind w:left="660" w:right="40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$10.4 million increase in personnel costs largely associated with an increase in headcount, including a $3.6 million increase in stock-based compensation;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$1.1 million increase in sales commissions, due to increased sales and the amortization of deferred commissions; and</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$1.6 million increase in allocated overhead costs, primarily facilities costs, driven by both the increase in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$5.5 million decrease in expenses for marketing expenses, primarily related to a reduction in field marketing activities;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$5.3 million decrease in selling expenses, including a $4.8 million decrease in travel and meeting costs.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Pr>
          <w:p>
            <w:pPr>
              <w:spacing w:after="0"/>
              <w:rPr>
                <w:sz w:val="18"/>
                <w:szCs w:val="18"/>
                <w:color w:val="auto"/>
              </w:rPr>
            </w:pPr>
          </w:p>
        </w:tc>
        <w:tc>
          <w:tcPr>
            <w:tcW w:w="1480" w:type="dxa"/>
            <w:vAlign w:val="bottom"/>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960" w:type="dxa"/>
            <w:vAlign w:val="bottom"/>
          </w:tcPr>
          <w:p>
            <w:pPr>
              <w:spacing w:after="0"/>
              <w:rPr>
                <w:sz w:val="18"/>
                <w:szCs w:val="18"/>
                <w:color w:val="auto"/>
              </w:rPr>
            </w:pPr>
          </w:p>
        </w:tc>
      </w:tr>
      <w:tr>
        <w:trPr>
          <w:trHeight w:val="21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$12.9 million was primarily due to:</w:t>
      </w:r>
    </w:p>
    <w:p>
      <w:pPr>
        <w:spacing w:after="0" w:line="117" w:lineRule="exact"/>
        <w:rPr>
          <w:sz w:val="20"/>
          <w:szCs w:val="20"/>
          <w:color w:val="auto"/>
        </w:rPr>
      </w:pPr>
    </w:p>
    <w:p>
      <w:pPr>
        <w:jc w:val="both"/>
        <w:ind w:left="660" w:right="360" w:hanging="328"/>
        <w:spacing w:after="0" w:line="291"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$12.4 million increase in personnel costs largely associated with an increase in headcount, including a $4.1 million increase in stock-based compensation and a $2.7 million decrease in development costs that were capitalized for internal use software; and</w:t>
      </w:r>
    </w:p>
    <w:p>
      <w:pPr>
        <w:spacing w:after="0" w:line="11" w:lineRule="exact"/>
        <w:rPr>
          <w:rFonts w:ascii="Arial" w:cs="Arial" w:eastAsia="Arial" w:hAnsi="Arial"/>
          <w:sz w:val="17"/>
          <w:szCs w:val="17"/>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$1.8 million increase in allocated overhead costs, primarily facilities costs, driven by both the increase in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$1.1 million decrease in third-party cloud infrastructure costs related to the development of new and future product offerings;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$0.8 million decrease in travel and meeting costs.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98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Pr>
          <w:p>
            <w:pPr>
              <w:spacing w:after="0"/>
              <w:rPr>
                <w:sz w:val="18"/>
                <w:szCs w:val="18"/>
                <w:color w:val="auto"/>
              </w:rPr>
            </w:pPr>
          </w:p>
        </w:tc>
        <w:tc>
          <w:tcPr>
            <w:tcW w:w="1480" w:type="dxa"/>
            <w:vAlign w:val="bottom"/>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940" w:type="dxa"/>
            <w:vAlign w:val="bottom"/>
          </w:tcPr>
          <w:p>
            <w:pPr>
              <w:spacing w:after="0"/>
              <w:rPr>
                <w:sz w:val="18"/>
                <w:szCs w:val="18"/>
                <w:color w:val="auto"/>
              </w:rPr>
            </w:pPr>
          </w:p>
        </w:tc>
      </w:tr>
      <w:tr>
        <w:trPr>
          <w:trHeight w:val="21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$6.4 million was primarily due to:</w:t>
      </w:r>
    </w:p>
    <w:p>
      <w:pPr>
        <w:spacing w:after="0" w:line="63" w:lineRule="exact"/>
        <w:rPr>
          <w:sz w:val="20"/>
          <w:szCs w:val="20"/>
          <w:color w:val="auto"/>
        </w:rPr>
      </w:pPr>
    </w:p>
    <w:p>
      <w:pPr>
        <w:ind w:left="660" w:right="1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$7.0 million increase in personnel costs partially due to an increase in headcount, including a $4.5 million increase in stock-based compensation; and</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$1.1 million increase in allocated overhead costs, primarily facilities costs, driven by both the increase in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$1.4 million decrease in professional fees;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$1.1 million decrease in travel and meeting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At September 30, 2020, we had cash and cash equivalents, which consisted of bank deposits and money market funds, of $141.4 million and short-term investments, which consisted of commercial paper, U.S. Treasury and agency obligations and corporate bonds, of $127.7 million.</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The proceeds of our Series A and Series B redeemable convertible preferred stock financings were used to repurchase shares of capital stock from former stockholders. We have generated significant operating losses from our operations as reflected by our accumulated deficit of $605.9 million at September 30, 2020.</w:t>
      </w:r>
    </w:p>
    <w:p>
      <w:pPr>
        <w:spacing w:after="0" w:line="20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September 30, 2020, we had deferred revenue of $390.2 million, of which $296.4 million was recorded as a current liability and is expected to be recorded as revenue in the next 12 months, provided all other revenue recognition criteria are met.</w:t>
      </w:r>
    </w:p>
    <w:p>
      <w:pPr>
        <w:spacing w:after="0" w:line="20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We expect to continue incurring operating losses in the near term. Even though we generated positive cash flows from operations and free cash flow in the nine months ended September 30, 2020, we may not be able to sustain these cash flows in the near term.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the timing of our introduction of new product capabilities and enhancements of our platform and the continuing market acceptance of our platform. In the fourth quarter of 2020, we expect capital expenditures related to our new corporate headquarters to be approximately $2 million.</w:t>
      </w:r>
    </w:p>
    <w:p>
      <w:pPr>
        <w:spacing w:after="0" w:line="21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full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We also do not yet know the full effects of COVID-19 pandemic may have on our partners, customers and service providers. Accordingly, the current results and financial conditions discussed herein may not be indicative of our future operating results and trends. See the section titled “Risk Factors” in Part II, Item 1A of this Form 10-Q.</w:t>
      </w:r>
    </w:p>
    <w:p>
      <w:pPr>
        <w:spacing w:after="0" w:line="20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July 2020, we entered into a new $45.0 million senior secured facility, or the 2020 Credit Facility, with Silicon Valley Bank in connection with the expiration of our $ 25.0 million revolving credit facility, or the 2017 Credit Facility. The 2020 Credit Facility bears interest at either LIBOR plus 2%, with a 1% LIBOR floor, or the base rate plus 1%, and terminates on July 24, 2022. A commitment fee of 0.35% per annum is payable quarterly in arrears based on the unused portion. The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2020 Credit Facility includes a $45.0 million uncommitted expansion, including a $10.0 million sublimit for the issuance of letters of credit and a swingline subfacility of up to $10.0 million, and has a financial covenant requiring a minimum consolidated quick ratio of at least 1.5:1.0 on the last day of any quarter.</w:t>
      </w:r>
    </w:p>
    <w:p>
      <w:pPr>
        <w:spacing w:after="0" w:line="20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In the nine months ended September 30, 2020, there were no amounts outstanding under our 2020 Credit Facility or, prior to its expiration, the 2017 Credit Facility. At September 30, 2020, we were in compliance with the financial covenant and our borrowing capacity was reduced by $5.5 million related to standby letters of credit. We do not currently intend to draw on the 2020 Credit Facility.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Nine Months Ended September 30,</w:t>
            </w:r>
          </w:p>
        </w:tc>
      </w:tr>
      <w:tr>
        <w:trPr>
          <w:trHeight w:val="21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(15,480)</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30,565</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the nine months ended September 30, 2020, net cash provided by operating activities was $46.3 million, which primarily consisted of our $40.8 million loss, adjusted for stock-based compensation expense of $44.0 million and depreciation and amortization of $8.0 million, as well as a net cash inflow of $34.1 million from changes in operating assets and liabilities. The net inflow from changes in operating assets and liabilities was primarily due to a $27.1 million increase in deferred revenue from increased subscription sales, as a majority of our customers are invoiced in advance, as well as $14.2 million in proceeds from lease incentives, and a $7.8 million decrease in accounts receivable due to collections from customers. This inflow was partially offset by a $8.4 million decrease in accrued compensation and a $4.1 million increase in prepaid expenses.</w:t>
      </w:r>
    </w:p>
    <w:p>
      <w:pPr>
        <w:spacing w:after="0" w:line="20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nine months ended September 30, 2019, net cash used in operating activities was $7.7 million, which primarily consisted of our $60.7 million loss, adjusted for stock-based compensation expense of $31.2 million and depreciation and amortization of $4.6 million, as well as a net cash inflow of $18.0 million from changes in operating assets and liabilities. The net inflow from changes in operating assets and liabilities was primarily due to a $39.5 million increase in deferred revenue from increased subscription sales, as a majority of our customers are invoiced in advance. This inflow was partially offset by a $13.3 million increase in accounts receivable, a $5.4 million decrease in accrued compensation, including $4.7 million related to employee stock purchase plan activity, and a $5.1 million increase in deferred commissions.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Net cash used in investing activities decreased by $7.0 million, primarily due to a $15.8 million increase in sales and maturities, net of purchases, of short-term investments in commercial paper, U.S. Treasury and agency obligations and corporate bonds, partially offset by a $8.8 million increase in purchases of property and equipment.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Net cash provided by financing activities decreased by $0.1 million, primarily due to a $2.1 million decrease in proceeds from stock issued in connection with the employee stock purchase plan, which was partially offset by the $2.0 million of loan proceeds that we received from the state of Maryland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2020, there were no material changes in our contractual obligations and commitments from those disclosed in our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September 30, 2020,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At September 30, 2020, we had cash and cash equivalents, which consisted of cash deposits and money market funds, of $141.4 million. We also had short-term investments, which consisted of commercial paper, U.S. treasury and agency securities and corporate bonds, of $127.7 million. Our investments are carried at their fair market values with cumulative unrealized gains or losses recorded as a component of accumulated other comprehensive income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not had any borrowings under our $45.0 million 2020 Credit Facility since it was established in July 2020. Any borrowings under the 2020 Credit Facility would bear interest at a variable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and Australian dollar.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8"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of September 30, 2020, our disclosure controls and procedures were effective to provide reasonable assurance that the information required to be disclosed by us in this Form 10-Q was (a)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reported within the time periods specified by SEC rules and regulations, and (b) communicated to our management, including our Chief Executive Officer and Chief Financial Officer, to allow timely decisions regarding any required disclosure.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Our business, operations and financial performance may be materially adversely affected by the ongoing and evolving COVID-19 pandemic.</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business, operations and financial performance could be adversely affected by the effects of the ongoing and evolving COVID-19 pandemic, and such affect could be material. The COVID-19 pandemic has resulted in travel and other restrictions in order to reduce the spread of the disease, including state and local orders across the United States and in countries in which we operate that, among other things, direct individuals to follow social distancing guidelines and or to shelter at their places of residence, direct businesses and governmental agencies to cease non-essential operations at physical locations, prohibit certain non-essential gatherings and events and order cessation of non-essential travel. In response to public health directives and orders, we have implemented work-from-home policies for our global workforce, including at our headquarters in Columbia, Maryland, and we have suspended work-related travel and in-person customer and sales interactions.</w:t>
      </w:r>
    </w:p>
    <w:p>
      <w:pPr>
        <w:spacing w:after="0" w:line="20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may adversely affect our business and our ability to generate sales of, and revenues from, our enterprise platform offerings. For example, substantially all of our field sales and other professional services are now being conducted remotely, and while we do not yet know if such remote operations will affect our ability to attract, retain or upsell customers, we anticipate that our revenue growth could be adversely impacted by the COVID-19 pandemic and weak global economic conditions.</w:t>
      </w:r>
    </w:p>
    <w:p>
      <w:pPr>
        <w:spacing w:after="0" w:line="20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also do not yet know the full effects of COVID-19 pandemic on our partners, customers and service providers. Health concerns and political or governmental developments in response to COVID-19 could create or contribute to economic, social or labor instability or prolonged contractions in the industries in which our customers or partners operate. As a result, existing and potential customers have and may continue to choose to reduce or delay technology spending in response to the COVID-19 pandemic, or may attempt to renegotiate contracts and obtain concessions, which could materially and negatively impact our operating results, financial condition and prospects. Because our enterprise platform offerings are primarily sold on a subscription basis, any such adverse effects may not be fully reflected in our operating results until future periods, and such effects may be offset by temporary decreases in our expenses related to restrictions on the conduct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COVID-19 pandemic continues to rapidly evolve. The full extent to which the COVID-19 pandemic impacts our business and operations will depend on future developments that are highly uncertain and cannot be predicted with confidence at the time of this Form 10-Q, such as the ultimate geographic spread of the disease, the duration of the outbreak, the duration and effect of business disruptions, the short-term effects and ultimate effectiveness of the travel restrictions, quarantines, social distancing requirements and business closures in the United States and other countries to contain and treat the disease, and the availability, timing and effectiveness of a vaccine. Accordingly, we do not yet know the full extent of potential impacts on our business and operations, or those of our partners and customers, or the global economy as a whole. The pandemic could adversely affect our revenue growth and financial results, and such affect could be material. Weak global economic conditions also may exacerbate the ongoing impact of the pandemic.</w:t>
      </w:r>
    </w:p>
    <w:p>
      <w:pPr>
        <w:spacing w:after="0" w:line="205"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have historically incurred net losses, including net losses of $40.8 million and $60.7 million in the nine months ended September 30, 2020 and 2019, respectively. As of September 30, 2020, we had an accumulated deficit of $605.9 million. Because the market for our offerings is highly competitive and rapidly evolving and these solutions have not yet reached widespread adoption, it is difficult for us to predict our future results of operations. Further, we do not yet know the full effects of the COVID-19 pandemic, which increases the difficulty in predicting future results of operations.</w:t>
      </w:r>
    </w:p>
    <w:p>
      <w:pPr>
        <w:spacing w:after="0" w:line="9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From the nine months ended September 30, 2019 to the nine months ended September 30, 2020, our revenue grew from $257.5 million to $322.1 million, representing year over year growth of 25%.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jc w:val="both"/>
        <w:ind w:right="44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including as a result of the COVID-19 pandemic,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76"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the COVID-19 pandemic,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89"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including remote devices, or with third-party products, websites or services, our results of operations may be harmed.</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enterprise platform offerings, Tenable.io and Tenable.sc,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 careful planning and execution between our customers, our customer support teams and our channel partners. Further, when new or updated elements of our customers’ infrastructure, new usage trends, such as remote work during the COVID-19 pandemic,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could make it difficult for our cloud platform to function properly in customer networks that include these third-party products.</w:t>
      </w:r>
    </w:p>
    <w:p>
      <w:pPr>
        <w:spacing w:after="0" w:line="225"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3"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If our solutions fail to detect vulnerabilities in our customers’ cybersecurity infrastructure, including for remote devices,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including the increased remote work environment during the COVID-19 pandemic.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or operational technology environments. Any errors, defects, disruptions in service or other performance problems with our solutions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18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9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that of our partners and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 including remote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third-party cloud infrastructure costs and facilities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than us are focusing on cybersecurity and could directly compete with us. For example, in 2019 Microsoft introduced a vulnerability management offering as part of their existing endpoint security platform. Smaller companies could also launch new products and services that we do not offer and that could gain market acceptance quickly.</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technologies, standards or customer requirements or new or evolving attacks by, or indicators of compromise that identify, cyber bad actors.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10"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right="120" w:firstLine="324"/>
        <w:spacing w:after="0" w:line="267" w:lineRule="auto"/>
        <w:rPr>
          <w:sz w:val="20"/>
          <w:szCs w:val="20"/>
          <w:color w:val="auto"/>
        </w:rPr>
      </w:pPr>
      <w:r>
        <w:rPr>
          <w:rFonts w:ascii="Arial" w:cs="Arial" w:eastAsia="Arial" w:hAnsi="Arial"/>
          <w:sz w:val="17"/>
          <w:szCs w:val="17"/>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including the shift to employees working from home during the COVID-19 pandemic.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we may face delays or uncertainty in our release timing,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178"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8"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resulting from the ongoing COVID-19 pandemic,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including by interrupting their networking traffic or operational technology environments. Interruptions in our service delivery might reduce our revenue, cause us to issue credits to customers, subject us to potential liability and cause customers to not renew their purchases of our solutions.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984 employees as of December 31, 2017 to 1,373 employees as of September 30, 2020. We have also significantly increased the size of our customer base over the last several years. We anticipate that we will continue to significantly 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We could also face inefficiencies or service disruptions as a result of our efforts to maintain and scale our domestic and international facilities, and additional facilities may not be available to us on commercially reasonable terms, or at all. Any of these difficulties could adversely impact our business performance and results of operations.</w:t>
      </w:r>
    </w:p>
    <w:p>
      <w:pPr>
        <w:spacing w:after="0" w:line="211" w:lineRule="exact"/>
        <w:rPr>
          <w:sz w:val="20"/>
          <w:szCs w:val="20"/>
          <w:color w:val="auto"/>
        </w:rPr>
      </w:pPr>
    </w:p>
    <w:p>
      <w:pPr>
        <w:jc w:val="both"/>
        <w:ind w:right="8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183"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and to the extent we continue to enter into larger deals, our average sales cycle is likely to increase. Further, the length of time that potential customers devote to their testing and evaluation, contract negotiation and budgeting processes varies significantly, depending on the size of the organization and nature of the product or service under consideration. The COVID-19 pandemic has also impacted the budgets and purchasing decisions and processes of certain of our customers and prospective customers, some of whom have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 controls on expenditures and require additional internal approvals of expenditures, even if relatively small in dollar amount, all of which could lengthen our sales cycle.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82"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In addition to current privacy and data security regulations currently in force in the jurisdictions where we operate,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 In the United States and globally, governments and agencies have adopted, and could in the future adopt, modify, apply or enforce laws, policies, regulations, and standards covering data subject privacy, data security, technologies such as cookies that are 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or the Privacy Shield, the efficacy and longevity of these mechanisms remains uncertain. For example, the European Court of Justice recently invalidated the use of the Privacy Shield, which had enabled the transfer of personal data from the European Union to the United States for companies like us that were self-certified under the Privacy Shield. As we are no longer able to rely on the Privacy Shield, our costs could increase and our ability to efficiently process personal data from the European Union could be negatively impacted. In addition, there are various activities in the European Union that could lead to the invalidation of the standard contractual clauses as accepted mechanisms for transferring personal data of European Union data subjects across borders, which could require us to implement costly substitutions for the data transfers we undertake in order to perform our services, or prevent such transfers entirely. Further, local data protection authorities general may have different interpretations of the GDPR, leading to potential inconsistencies amongst various EU states.</w:t>
      </w:r>
    </w:p>
    <w:p>
      <w:pPr>
        <w:spacing w:after="0" w:line="21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the California Consumer Privacy Act, or the CCPA, went into effect on January 1, 2020 and creates new individual privacy rights for consumers and places increased privacy and security obligations on entities handling the personal data of consumers or households. The CCPA requires covered companies to provide new disclosures to California consumers, which could include our employees residing in California based on the broad definitions in the law, to provide such consumers new ways to opt out of certain sales of personal information and to allow for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5"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If we are investigated by an applicable data protection authority or are determined to have not complied with applicable laws, we may face fines and other penalties. Any such investigation or charges by applicable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authorities could have a negative effect on our existing business and on our ability to attract and retain new customers.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83"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the nine months ended September 30, 2020 and 2019, we derived 91% and 90%, respectively, of our revenue from subscriptions and perpetual licenses sold through channel partners, and the percentage of revenue derived from channel partners may continue to increase in future periods. Ingram Micro, Inc., a distributor, accounted for 43% of our revenue in each of the nine months ended September 30, 2020 and 2019, and 42% of our accounts receivable as of September 30, 2020.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the COVID-19 pandemic,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5"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22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10"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2"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20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 Lumin does not garner widespread market adoption and implementation, our operating results and competitive position could suffer.</w:t>
      </w:r>
    </w:p>
    <w:p>
      <w:pPr>
        <w:spacing w:after="0" w:line="208" w:lineRule="exact"/>
        <w:rPr>
          <w:sz w:val="20"/>
          <w:szCs w:val="20"/>
          <w:color w:val="auto"/>
        </w:rPr>
      </w:pPr>
    </w:p>
    <w:p>
      <w:pPr>
        <w:jc w:val="both"/>
        <w:ind w:right="120" w:firstLine="324"/>
        <w:spacing w:after="0" w:line="291"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74"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90" w:lineRule="exact"/>
        <w:rPr>
          <w:sz w:val="20"/>
          <w:szCs w:val="20"/>
          <w:color w:val="auto"/>
        </w:rPr>
      </w:pPr>
    </w:p>
    <w:p>
      <w:pPr>
        <w:ind w:left="660" w:right="6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predict market demand accurately, including changes in demand as a result of the COVID-19 pandemic, in terms of functionality and to supply offerings that meets this demand in a timely fashion;</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the COVID-19 pandemic, causing them to delay IT purchases;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80"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6"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39% and 36% of our revenue in the nine months ended September 30, 2020 and 2019,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 implemented by the current U.S. administration, which has been critical of existing and proposed trade agreements;</w:t>
      </w:r>
    </w:p>
    <w:p>
      <w:pPr>
        <w:ind w:left="660" w:right="10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recent exit from the European Union and the corresponding impact on its ongoing legal, political, and economic relationship with the European Union, and the COVID-19 pandemic;</w:t>
      </w:r>
    </w:p>
    <w:p>
      <w:pPr>
        <w:spacing w:after="0" w:line="1" w:lineRule="exact"/>
        <w:rPr>
          <w:rFonts w:ascii="Arial" w:cs="Arial" w:eastAsia="Arial" w:hAnsi="Arial"/>
          <w:sz w:val="18"/>
          <w:szCs w:val="18"/>
          <w:color w:val="auto"/>
        </w:rPr>
      </w:pPr>
    </w:p>
    <w:p>
      <w:pPr>
        <w:ind w:left="660" w:right="74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travel restrictions resulting from the COVID-19 pandemic, including restrictions on U.S. travelers from entering some foreign countries;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labor regulations in foreign jurisdictions where labor laws are generally more advantageous to employees, including deemed hourly wage and overtime regulations in these locations;</w:t>
      </w:r>
    </w:p>
    <w:p>
      <w:pPr>
        <w:ind w:left="660" w:right="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ind w:left="660" w:right="4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for political unrest, pandemics,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280" w:firstLine="324"/>
        <w:spacing w:after="0" w:line="250"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86"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210"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Our employees are temporarily working remotely due to the COVID-19 pandemic, which may pose additional security risks. In the event of a major hurricane, earthquake or catastrophic event such as fire, power loss, telecommunications failure, cyberattack, war or terrorist attack, or epidemic or pandemic, such as the COVID-19 pandemic, that impacts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have in the past acquired products, technologies and businesses from other parties, such as our recent acquisition of Indegy, Ltd. in December 2019, and we may choose to expand our current business by acquiring additional businesses or technologies in the future. Acquisitions, including the Indegy acquisition, involve many risks, including the following:</w:t>
      </w:r>
    </w:p>
    <w:p>
      <w:pPr>
        <w:spacing w:after="0" w:line="94" w:lineRule="exact"/>
        <w:rPr>
          <w:sz w:val="20"/>
          <w:szCs w:val="20"/>
          <w:color w:val="auto"/>
        </w:rPr>
      </w:pPr>
    </w:p>
    <w:p>
      <w:pPr>
        <w:ind w:left="660" w:right="14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right="4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credit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182"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from those in our assumptions, which could cause our results of operations to fall below the expectations of securities analysts and investors, resulting in a decline in the trading price of our common stock.</w:t>
      </w:r>
    </w:p>
    <w:p>
      <w:pPr>
        <w:spacing w:after="0" w:line="198"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6"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December 31, 2019, we had federal, state, and foreign net operating loss carryforwards, or NOLs, of $186.0 million, $ 132.0 million, and $163.6 million, respectively, available to offset future taxable income, some of which begin to expire in 2030. Federal NOLs incurred in taxable years beginning after December 31, 2017 can be carried forward indefinitely, but the deductibility of federal NOLs in taxable years beginning after December 31, 2020, is subject to certain limitations. A lack of future taxable income would adversely affect our ability to utilize these NOLs before they expire.</w:t>
      </w:r>
    </w:p>
    <w:p>
      <w:pPr>
        <w:spacing w:after="0" w:line="20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if one or more stockholders or groups of stockholders that own at least 5% of the company’s stock increase their ownership by more than 50 percentage points over their lowest ownership percentage within a rolling three-year period. Similar rules may apply under state tax laws. Based upon an analysis as of December 31, 2019, we determined that we do not expect these limitations to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or state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the NOLs, even if we achieve profitability.</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applicable tax laws could materially affect our tax obligations and effective tax rate.</w:t>
      </w:r>
    </w:p>
    <w:p>
      <w:pPr>
        <w:spacing w:after="0" w:line="175"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0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Tax Cuts and Jobs Act, or TCJA, enacted in 2017, resulted in a number of significant changes to U.S. tax laws, the consequences of which have not yet been fully determined. Changes in corporate tax rates, the realization of net deferred tax assets relating to our U.S. operations, the taxation of foreign earnings, and the deductibility of expenses contained in the TCJA or other tax reform legislation could have a material impact on the value of our deferred tax assets, could result in significant one-time charges in the current or future taxable years, and could increase our future U.S. tax expense. The foregoing items, as well as any future changes in tax laws, could have a material adverse effect on our business, cash flow, financial condition or results of operations. In addition, it is uncertain if and to what extent various states will conform to the TCJA.</w:t>
      </w:r>
    </w:p>
    <w:p>
      <w:pPr>
        <w:spacing w:after="0" w:line="18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anti-bribery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For example, the current U.S. administration has been critical of existing trade agreements and may impose more stringent export and import controls. Any decreased use of our products or limitation on our ability to export or sell our products would likely adversely affect our business, financial condition, and results of operations.</w:t>
      </w:r>
    </w:p>
    <w:p>
      <w:pPr>
        <w:spacing w:after="0" w:line="21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5"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42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of September 30, 2020, we had 21 issued patents and nine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trademarks and our Tenable logo in the United States and certain other countries. We have registrations and/or pending applications for additional trademarks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1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1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18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0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7"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1"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ind w:left="660" w:right="80" w:hanging="328"/>
        <w:spacing w:after="0" w:line="265"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ind w:left="660" w:right="4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including very recently in connection with the ongoing COVID-19 pandemic.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5"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80"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 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9" w:lineRule="exact"/>
        <w:rPr>
          <w:sz w:val="20"/>
          <w:szCs w:val="20"/>
          <w:color w:val="auto"/>
        </w:rPr>
      </w:pPr>
    </w:p>
    <w:p>
      <w:pPr>
        <w:ind w:right="800" w:firstLine="324"/>
        <w:spacing w:after="0" w:line="28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7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certificate of incorporation authorizes us to issue up to 500,000,000 shares of common stock and up to 10,000,000 shares of preferred stock with such rights and preferences as may be determined by our Board of Directors. Subject to compliance with applicable rules and regulations, in the future we may issue common stock or other securities convertible into shares of our common stock from time to time in connection with a financing, acquisition, investment, our equity incentive plan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171"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as we are no longer an "emerging growth company" as of December 31, 2019.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 process of hiring,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personnel to help comply with these requirements, we may need to further expand our legal and finance departments in the future, which will increase our costs and expenses.</w:t>
      </w:r>
    </w:p>
    <w:p>
      <w:pPr>
        <w:spacing w:after="0" w:line="19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0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Being a public company under these rules and regulations has made it more expensive for us to obtain director and officer liability insurance, and we may be required to accept reduced coverage or incur substantially higher costs to obtain adequate coverage in the future. These factors could also make it more difficult for us to attract and retain qualified executive officers and members of our Board of Directors, particularly to serve on our audit committee and compensation committee.</w:t>
      </w:r>
    </w:p>
    <w:p>
      <w:pPr>
        <w:spacing w:after="0" w:line="20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In addition, as a result of our disclosure obligations as a public company, we may have reduced strategic flexibility and may be under pressure to focus on short-term results, which could materially and adversely affect our ability to achieve long-term profitability.</w:t>
      </w:r>
    </w:p>
    <w:p>
      <w:pPr>
        <w:spacing w:after="0" w:line="176" w:lineRule="exact"/>
        <w:rPr>
          <w:sz w:val="20"/>
          <w:szCs w:val="20"/>
          <w:color w:val="auto"/>
        </w:rPr>
      </w:pPr>
    </w:p>
    <w:p>
      <w:pPr>
        <w:ind w:right="96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credit agreement with Silicon Valley Bank contains restrictive covenants that prohibit us, subject to certain exceptions, from paying dividends on our common stock.</w:t>
      </w:r>
    </w:p>
    <w:p>
      <w:pPr>
        <w:spacing w:after="0" w:line="186" w:lineRule="exact"/>
        <w:rPr>
          <w:sz w:val="20"/>
          <w:szCs w:val="20"/>
          <w:color w:val="auto"/>
        </w:rPr>
      </w:pPr>
    </w:p>
    <w:p>
      <w:pPr>
        <w:jc w:val="both"/>
        <w:ind w:right="420" w:firstLine="324"/>
        <w:spacing w:after="0" w:line="268"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20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86"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right="88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ind w:left="660" w:right="2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ind w:left="660" w:right="28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 w:lineRule="exact"/>
        <w:rPr>
          <w:rFonts w:ascii="Arial" w:cs="Arial" w:eastAsia="Arial" w:hAnsi="Arial"/>
          <w:sz w:val="18"/>
          <w:szCs w:val="18"/>
          <w:color w:val="auto"/>
        </w:rPr>
      </w:pPr>
    </w:p>
    <w:p>
      <w:pPr>
        <w:ind w:left="660" w:right="40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3"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00" w:hanging="368"/>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our directors, officers or other employees to us or our stockholders;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provisions of the Delaware General Corporation Law, our amended and restated certificate of incorporation or our amended and restated bylaws; or</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4"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jc w:val="both"/>
        <w:ind w:right="140" w:firstLine="324"/>
        <w:spacing w:after="0" w:line="261"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ectPr>
          <w:pgSz w:w="11900" w:h="16838" w:orient="portrait"/>
          <w:cols w:equalWidth="0" w:num="1">
            <w:col w:w="11080"/>
          </w:cols>
          <w:pgMar w:left="320" w:top="140" w:right="49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w:t>
      </w:r>
    </w:p>
    <w:p>
      <w:pPr>
        <w:ind w:left="180"/>
        <w:spacing w:after="0"/>
        <w:tabs>
          <w:tab w:leader="none" w:pos="39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860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57"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3.1  </w:t>
      </w:r>
      <w:hyperlink r:id="rId70">
        <w:r>
          <w:rPr>
            <w:rFonts w:ascii="Arial" w:cs="Arial" w:eastAsia="Arial" w:hAnsi="Arial"/>
            <w:sz w:val="18"/>
            <w:szCs w:val="18"/>
            <w:color w:val="auto"/>
          </w:rPr>
          <w:t>Amended and Restated Certificate of Incorporation of Tenable Holdings, Inc.</w:t>
        </w:r>
      </w:hyperlink>
    </w:p>
    <w:p>
      <w:pPr>
        <w:spacing w:after="0" w:line="374"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3.2  </w:t>
      </w:r>
      <w:hyperlink r:id="rId71">
        <w:r>
          <w:rPr>
            <w:rFonts w:ascii="Arial" w:cs="Arial" w:eastAsia="Arial" w:hAnsi="Arial"/>
            <w:sz w:val="18"/>
            <w:szCs w:val="18"/>
            <w:color w:val="auto"/>
          </w:rPr>
          <w:t>Amended and Restated Bylaws of Tenable Holdings, Inc.</w:t>
        </w:r>
      </w:hyperlink>
    </w:p>
    <w:p>
      <w:pPr>
        <w:spacing w:after="0" w:line="200" w:lineRule="exact"/>
        <w:rPr>
          <w:sz w:val="20"/>
          <w:szCs w:val="20"/>
          <w:color w:val="auto"/>
        </w:rPr>
      </w:pPr>
    </w:p>
    <w:p>
      <w:pPr>
        <w:spacing w:after="0" w:line="349"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4.1  </w:t>
      </w:r>
      <w:hyperlink r:id="rId72">
        <w:r>
          <w:rPr>
            <w:rFonts w:ascii="Arial" w:cs="Arial" w:eastAsia="Arial" w:hAnsi="Arial"/>
            <w:sz w:val="18"/>
            <w:szCs w:val="18"/>
            <w:color w:val="auto"/>
          </w:rPr>
          <w:t>Common Stock Certificate of Tenable Holdings, Inc.</w:t>
        </w:r>
      </w:hyperlink>
    </w:p>
    <w:p>
      <w:pPr>
        <w:spacing w:after="0" w:line="200" w:lineRule="exact"/>
        <w:rPr>
          <w:sz w:val="20"/>
          <w:szCs w:val="20"/>
          <w:color w:val="auto"/>
        </w:rPr>
      </w:pPr>
    </w:p>
    <w:p>
      <w:pPr>
        <w:spacing w:after="0" w:line="349" w:lineRule="exact"/>
        <w:rPr>
          <w:sz w:val="20"/>
          <w:szCs w:val="20"/>
          <w:color w:val="auto"/>
        </w:rPr>
      </w:pPr>
    </w:p>
    <w:p>
      <w:pPr>
        <w:ind w:left="1100" w:right="220" w:hanging="493"/>
        <w:spacing w:after="0" w:line="22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73">
        <w:r>
          <w:rPr>
            <w:rFonts w:ascii="Arial" w:cs="Arial" w:eastAsia="Arial" w:hAnsi="Arial"/>
            <w:sz w:val="18"/>
            <w:szCs w:val="18"/>
            <w:u w:val="single" w:color="auto"/>
            <w:color w:val="0000FF"/>
          </w:rPr>
          <w:t>Second Amendment to Loan and Security Agreement, dated as of July 1, 2020,</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by and between Tenable, Inc. and Silicon Valley Bank</w:t>
        </w:r>
      </w:hyperlink>
    </w:p>
    <w:p>
      <w:pPr>
        <w:spacing w:after="0" w:line="189" w:lineRule="exact"/>
        <w:rPr>
          <w:sz w:val="20"/>
          <w:szCs w:val="20"/>
          <w:color w:val="auto"/>
        </w:rPr>
      </w:pPr>
    </w:p>
    <w:p>
      <w:pPr>
        <w:ind w:left="1100" w:hanging="493"/>
        <w:spacing w:after="0" w:line="21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74">
        <w:r>
          <w:rPr>
            <w:rFonts w:ascii="Arial" w:cs="Arial" w:eastAsia="Arial" w:hAnsi="Arial"/>
            <w:sz w:val="18"/>
            <w:szCs w:val="18"/>
            <w:u w:val="single" w:color="auto"/>
            <w:color w:val="0000FF"/>
          </w:rPr>
          <w:t>Credit Agreement, dated as of July 24, 2020, by and among Tenable Holdings,</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Inc., as guarantor, Tenable, Inc., as borrower, the several lenders from time to</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time party thereto, and Silicon Valley Bank, as administrative agent, issuing lender</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and swingline lender, and as lead arranger</w:t>
        </w:r>
      </w:hyperlink>
    </w:p>
    <w:p>
      <w:pPr>
        <w:spacing w:after="0" w:line="14" w:lineRule="exact"/>
        <w:rPr>
          <w:rFonts w:ascii="Arial" w:cs="Arial" w:eastAsia="Arial" w:hAnsi="Arial"/>
          <w:sz w:val="18"/>
          <w:szCs w:val="18"/>
          <w:u w:val="single" w:color="auto"/>
          <w:color w:val="0000FF"/>
        </w:rPr>
      </w:pPr>
    </w:p>
    <w:p>
      <w:pPr>
        <w:jc w:val="both"/>
        <w:ind w:left="1100" w:right="300" w:hanging="493"/>
        <w:spacing w:after="0" w:line="219"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64">
        <w:r>
          <w:rPr>
            <w:rFonts w:ascii="Arial" w:cs="Arial" w:eastAsia="Arial" w:hAnsi="Arial"/>
            <w:sz w:val="18"/>
            <w:szCs w:val="18"/>
            <w:u w:val="single" w:color="auto"/>
            <w:color w:val="0000FF"/>
          </w:rPr>
          <w:t>Certification of the Principal Executive Officer pursuant to Rules 13a-14(a) and</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15d-14(a) under the Exchange Act, as adopted pursuant to Section 302 of the</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Sarbanes-Oxley Act of 2002</w:t>
        </w:r>
      </w:hyperlink>
    </w:p>
    <w:p>
      <w:pPr>
        <w:spacing w:after="0" w:line="14" w:lineRule="exact"/>
        <w:rPr>
          <w:rFonts w:ascii="Arial" w:cs="Arial" w:eastAsia="Arial" w:hAnsi="Arial"/>
          <w:sz w:val="18"/>
          <w:szCs w:val="18"/>
          <w:u w:val="single" w:color="auto"/>
          <w:color w:val="0000FF"/>
        </w:rPr>
      </w:pPr>
    </w:p>
    <w:p>
      <w:pPr>
        <w:jc w:val="both"/>
        <w:ind w:left="1100" w:right="340" w:hanging="493"/>
        <w:spacing w:after="0" w:line="219"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65">
        <w:r>
          <w:rPr>
            <w:rFonts w:ascii="Arial" w:cs="Arial" w:eastAsia="Arial" w:hAnsi="Arial"/>
            <w:sz w:val="18"/>
            <w:szCs w:val="18"/>
            <w:u w:val="single" w:color="auto"/>
            <w:color w:val="0000FF"/>
          </w:rPr>
          <w:t>Certification of the Principal Financial Officer pursuant to Rules 13a-14(a) and</w:t>
        </w:r>
      </w:hyperlink>
      <w:r>
        <w:rPr>
          <w:rFonts w:ascii="Arial" w:cs="Arial" w:eastAsia="Arial" w:hAnsi="Arial"/>
          <w:sz w:val="18"/>
          <w:szCs w:val="18"/>
          <w:u w:val="single" w:color="auto"/>
          <w:color w:val="0000FF"/>
        </w:rPr>
        <w:t xml:space="preserve"> </w:t>
      </w:r>
      <w:hyperlink w:anchor="page65">
        <w:r>
          <w:rPr>
            <w:rFonts w:ascii="Arial" w:cs="Arial" w:eastAsia="Arial" w:hAnsi="Arial"/>
            <w:sz w:val="18"/>
            <w:szCs w:val="18"/>
            <w:u w:val="single" w:color="auto"/>
            <w:color w:val="0000FF"/>
          </w:rPr>
          <w:t>15d-14(a) under the Exchange Act, as adopted pursuant to Section 302 of the</w:t>
        </w:r>
      </w:hyperlink>
      <w:r>
        <w:rPr>
          <w:rFonts w:ascii="Arial" w:cs="Arial" w:eastAsia="Arial" w:hAnsi="Arial"/>
          <w:sz w:val="18"/>
          <w:szCs w:val="18"/>
          <w:u w:val="single" w:color="auto"/>
          <w:color w:val="0000FF"/>
        </w:rPr>
        <w:t xml:space="preserve"> </w:t>
      </w:r>
      <w:hyperlink w:anchor="page65">
        <w:r>
          <w:rPr>
            <w:rFonts w:ascii="Arial" w:cs="Arial" w:eastAsia="Arial" w:hAnsi="Arial"/>
            <w:sz w:val="18"/>
            <w:szCs w:val="18"/>
            <w:u w:val="single" w:color="auto"/>
            <w:color w:val="0000FF"/>
          </w:rPr>
          <w:t>Sarbanes-Oxley Act of 2002</w:t>
        </w:r>
      </w:hyperlink>
    </w:p>
    <w:p>
      <w:pPr>
        <w:spacing w:after="0" w:line="14" w:lineRule="exact"/>
        <w:rPr>
          <w:rFonts w:ascii="Arial" w:cs="Arial" w:eastAsia="Arial" w:hAnsi="Arial"/>
          <w:sz w:val="18"/>
          <w:szCs w:val="18"/>
          <w:u w:val="single" w:color="auto"/>
          <w:color w:val="0000FF"/>
        </w:rPr>
      </w:pPr>
    </w:p>
    <w:p>
      <w:pPr>
        <w:jc w:val="both"/>
        <w:ind w:left="1100" w:right="200" w:hanging="563"/>
        <w:spacing w:after="0" w:line="219"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66">
        <w:r>
          <w:rPr>
            <w:rFonts w:ascii="Arial" w:cs="Arial" w:eastAsia="Arial" w:hAnsi="Arial"/>
            <w:sz w:val="18"/>
            <w:szCs w:val="18"/>
            <w:u w:val="single" w:color="auto"/>
            <w:color w:val="0000FF"/>
          </w:rPr>
          <w:t>Certification of the Principal Executive Officer and the Principal Financial Officer</w:t>
        </w:r>
      </w:hyperlink>
      <w:r>
        <w:rPr>
          <w:rFonts w:ascii="Arial" w:cs="Arial" w:eastAsia="Arial" w:hAnsi="Arial"/>
          <w:sz w:val="18"/>
          <w:szCs w:val="18"/>
          <w:u w:val="single" w:color="auto"/>
          <w:color w:val="0000FF"/>
        </w:rPr>
        <w:t xml:space="preserve"> </w:t>
      </w:r>
      <w:hyperlink w:anchor="page66">
        <w:r>
          <w:rPr>
            <w:rFonts w:ascii="Arial" w:cs="Arial" w:eastAsia="Arial" w:hAnsi="Arial"/>
            <w:sz w:val="18"/>
            <w:szCs w:val="18"/>
            <w:u w:val="single" w:color="auto"/>
            <w:color w:val="0000FF"/>
          </w:rPr>
          <w:t>pursuant to 18 U.S.C. Section 1350, as adopted pursuant to Section 906 of the</w:t>
        </w:r>
      </w:hyperlink>
      <w:r>
        <w:rPr>
          <w:rFonts w:ascii="Arial" w:cs="Arial" w:eastAsia="Arial" w:hAnsi="Arial"/>
          <w:sz w:val="18"/>
          <w:szCs w:val="18"/>
          <w:u w:val="single" w:color="auto"/>
          <w:color w:val="0000FF"/>
        </w:rPr>
        <w:t xml:space="preserve"> </w:t>
      </w:r>
      <w:hyperlink w:anchor="page66">
        <w:r>
          <w:rPr>
            <w:rFonts w:ascii="Arial" w:cs="Arial" w:eastAsia="Arial" w:hAnsi="Arial"/>
            <w:sz w:val="18"/>
            <w:szCs w:val="18"/>
            <w:u w:val="single" w:color="auto"/>
            <w:color w:val="0000FF"/>
          </w:rPr>
          <w:t>Sarbanes-Oxley Act of 2002</w:t>
        </w:r>
      </w:hyperlink>
    </w:p>
    <w:p>
      <w:pPr>
        <w:spacing w:after="0" w:line="14" w:lineRule="exact"/>
        <w:rPr>
          <w:rFonts w:ascii="Arial" w:cs="Arial" w:eastAsia="Arial" w:hAnsi="Arial"/>
          <w:sz w:val="18"/>
          <w:szCs w:val="18"/>
          <w:u w:val="single" w:color="auto"/>
          <w:color w:val="0000FF"/>
        </w:rPr>
      </w:pPr>
    </w:p>
    <w:p>
      <w:pPr>
        <w:ind w:left="1100" w:right="60" w:hanging="793"/>
        <w:spacing w:after="0" w:line="219" w:lineRule="auto"/>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14" w:lineRule="exact"/>
        <w:rPr>
          <w:rFonts w:ascii="Arial" w:cs="Arial" w:eastAsia="Arial" w:hAnsi="Arial"/>
          <w:sz w:val="18"/>
          <w:szCs w:val="18"/>
          <w:u w:val="single" w:color="auto"/>
          <w:color w:val="0000FF"/>
        </w:rPr>
      </w:pPr>
    </w:p>
    <w:p>
      <w:pPr>
        <w:ind w:left="240"/>
        <w:spacing w:after="0"/>
        <w:tabs>
          <w:tab w:leader="none" w:pos="108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23" w:lineRule="exact"/>
        <w:rPr>
          <w:rFonts w:ascii="Arial" w:cs="Arial" w:eastAsia="Arial" w:hAnsi="Arial"/>
          <w:sz w:val="18"/>
          <w:szCs w:val="18"/>
          <w:u w:val="single" w:color="auto"/>
          <w:color w:val="0000FF"/>
        </w:rPr>
      </w:pPr>
    </w:p>
    <w:p>
      <w:pPr>
        <w:ind w:left="260"/>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23" w:lineRule="exact"/>
        <w:rPr>
          <w:rFonts w:ascii="Arial" w:cs="Arial" w:eastAsia="Arial" w:hAnsi="Arial"/>
          <w:sz w:val="18"/>
          <w:szCs w:val="18"/>
          <w:u w:val="single" w:color="auto"/>
          <w:color w:val="0000FF"/>
        </w:rPr>
      </w:pPr>
    </w:p>
    <w:p>
      <w:pPr>
        <w:ind w:left="260"/>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3" w:lineRule="exact"/>
        <w:rPr>
          <w:rFonts w:ascii="Arial" w:cs="Arial" w:eastAsia="Arial" w:hAnsi="Arial"/>
          <w:sz w:val="18"/>
          <w:szCs w:val="18"/>
          <w:u w:val="single" w:color="auto"/>
          <w:color w:val="0000FF"/>
        </w:rPr>
      </w:pPr>
    </w:p>
    <w:p>
      <w:pPr>
        <w:ind w:left="2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23" w:lineRule="exact"/>
        <w:rPr>
          <w:rFonts w:ascii="Arial" w:cs="Arial" w:eastAsia="Arial" w:hAnsi="Arial"/>
          <w:sz w:val="18"/>
          <w:szCs w:val="18"/>
          <w:u w:val="single" w:color="auto"/>
          <w:color w:val="0000FF"/>
        </w:rPr>
      </w:pPr>
    </w:p>
    <w:p>
      <w:pPr>
        <w:ind w:left="24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3" w:lineRule="exact"/>
        <w:rPr>
          <w:rFonts w:ascii="Arial" w:cs="Arial" w:eastAsia="Arial" w:hAnsi="Arial"/>
          <w:sz w:val="18"/>
          <w:szCs w:val="18"/>
          <w:u w:val="single" w:color="auto"/>
          <w:color w:val="0000FF"/>
        </w:rPr>
      </w:pPr>
    </w:p>
    <w:p>
      <w:pPr>
        <w:ind w:left="1100" w:right="600" w:hanging="438"/>
        <w:spacing w:after="0" w:line="219"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101.SCH, 101.CAL, 101.DEF, 101.LAB and 101.PRE)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9" w:lineRule="exact"/>
        <w:rPr>
          <w:rFonts w:ascii="Arial" w:cs="Arial" w:eastAsia="Arial" w:hAnsi="Arial"/>
          <w:sz w:val="18"/>
          <w:szCs w:val="18"/>
          <w:u w:val="single" w:color="auto"/>
          <w:color w:val="0000FF"/>
        </w:rPr>
      </w:pPr>
    </w:p>
    <w:p>
      <w:pPr>
        <w:ind w:left="1380"/>
        <w:spacing w:after="0"/>
        <w:rPr>
          <w:sz w:val="20"/>
          <w:szCs w:val="20"/>
          <w:color w:val="auto"/>
        </w:rPr>
      </w:pPr>
      <w:r>
        <w:rPr>
          <w:rFonts w:ascii="Arial" w:cs="Arial" w:eastAsia="Arial" w:hAnsi="Arial"/>
          <w:sz w:val="18"/>
          <w:szCs w:val="18"/>
          <w:color w:val="auto"/>
        </w:rPr>
        <w:t>Location</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6350</wp:posOffset>
            </wp:positionV>
            <wp:extent cx="22028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rFonts w:ascii="Arial" w:cs="Arial" w:eastAsia="Arial" w:hAnsi="Arial"/>
          <w:sz w:val="18"/>
          <w:szCs w:val="18"/>
          <w:u w:val="single" w:color="auto"/>
          <w:color w:val="0000FF"/>
        </w:rPr>
      </w:pPr>
    </w:p>
    <w:p>
      <w:pPr>
        <w:ind w:right="100"/>
        <w:spacing w:after="0" w:line="219" w:lineRule="auto"/>
        <w:rPr>
          <w:sz w:val="20"/>
          <w:szCs w:val="20"/>
          <w:color w:val="auto"/>
        </w:rPr>
      </w:pPr>
      <w:r>
        <w:rPr>
          <w:rFonts w:ascii="Arial" w:cs="Arial" w:eastAsia="Arial" w:hAnsi="Arial"/>
          <w:sz w:val="18"/>
          <w:szCs w:val="18"/>
          <w:color w:val="auto"/>
        </w:rPr>
        <w:t>Previously filed as Exhibit 3.1 to the Company's Current Report on Form 8-K (File No. 001-38600) on July 30, 2018</w:t>
      </w:r>
    </w:p>
    <w:p>
      <w:pPr>
        <w:spacing w:after="0" w:line="14" w:lineRule="exact"/>
        <w:rPr>
          <w:rFonts w:ascii="Arial" w:cs="Arial" w:eastAsia="Arial" w:hAnsi="Arial"/>
          <w:sz w:val="18"/>
          <w:szCs w:val="18"/>
          <w:u w:val="single" w:color="auto"/>
          <w:color w:val="0000FF"/>
        </w:rPr>
      </w:pPr>
    </w:p>
    <w:p>
      <w:pPr>
        <w:ind w:right="60"/>
        <w:spacing w:after="0" w:line="215" w:lineRule="auto"/>
        <w:rPr>
          <w:sz w:val="20"/>
          <w:szCs w:val="20"/>
          <w:color w:val="auto"/>
        </w:rPr>
      </w:pPr>
      <w:r>
        <w:rPr>
          <w:rFonts w:ascii="Arial" w:cs="Arial" w:eastAsia="Arial" w:hAnsi="Arial"/>
          <w:sz w:val="18"/>
          <w:szCs w:val="18"/>
          <w:color w:val="auto"/>
        </w:rPr>
        <w:t>Previously filed as Exhibit 3.4 to the Company's Registration Statement on Form S-1 (File No. 333-226002) on June 29, 2018</w:t>
      </w:r>
    </w:p>
    <w:p>
      <w:pPr>
        <w:spacing w:after="0" w:line="14" w:lineRule="exact"/>
        <w:rPr>
          <w:rFonts w:ascii="Arial" w:cs="Arial" w:eastAsia="Arial" w:hAnsi="Arial"/>
          <w:sz w:val="18"/>
          <w:szCs w:val="18"/>
          <w:u w:val="single" w:color="auto"/>
          <w:color w:val="0000FF"/>
        </w:rPr>
      </w:pPr>
    </w:p>
    <w:p>
      <w:pPr>
        <w:ind w:right="120"/>
        <w:spacing w:after="0" w:line="215" w:lineRule="auto"/>
        <w:rPr>
          <w:sz w:val="20"/>
          <w:szCs w:val="20"/>
          <w:color w:val="auto"/>
        </w:rPr>
      </w:pPr>
      <w:r>
        <w:rPr>
          <w:rFonts w:ascii="Arial" w:cs="Arial" w:eastAsia="Arial" w:hAnsi="Arial"/>
          <w:sz w:val="18"/>
          <w:szCs w:val="18"/>
          <w:color w:val="auto"/>
        </w:rPr>
        <w:t>Previously filed as Exhibit 4.1 to the Company's Registration Statement on Form S-1 (File No. 333-226002) on July 16, 2018</w:t>
      </w:r>
    </w:p>
    <w:p>
      <w:pPr>
        <w:spacing w:after="0" w:line="14" w:lineRule="exact"/>
        <w:rPr>
          <w:rFonts w:ascii="Arial" w:cs="Arial" w:eastAsia="Arial" w:hAnsi="Arial"/>
          <w:sz w:val="18"/>
          <w:szCs w:val="18"/>
          <w:u w:val="single" w:color="auto"/>
          <w:color w:val="0000FF"/>
        </w:rPr>
      </w:pPr>
    </w:p>
    <w:p>
      <w:pPr>
        <w:spacing w:after="0" w:line="219" w:lineRule="auto"/>
        <w:rPr>
          <w:sz w:val="20"/>
          <w:szCs w:val="20"/>
          <w:color w:val="auto"/>
        </w:rPr>
      </w:pPr>
      <w:r>
        <w:rPr>
          <w:rFonts w:ascii="Arial" w:cs="Arial" w:eastAsia="Arial" w:hAnsi="Arial"/>
          <w:sz w:val="18"/>
          <w:szCs w:val="18"/>
          <w:color w:val="auto"/>
        </w:rPr>
        <w:t>Previously filed as Exhibit 10.1 to the Company's 10-Q (File No. 001-38600) on July 30, 2020</w:t>
      </w:r>
    </w:p>
    <w:p>
      <w:pPr>
        <w:spacing w:after="0" w:line="14" w:lineRule="exact"/>
        <w:rPr>
          <w:rFonts w:ascii="Arial" w:cs="Arial" w:eastAsia="Arial" w:hAnsi="Arial"/>
          <w:sz w:val="18"/>
          <w:szCs w:val="18"/>
          <w:u w:val="single" w:color="auto"/>
          <w:color w:val="0000FF"/>
        </w:rPr>
      </w:pPr>
    </w:p>
    <w:p>
      <w:pPr>
        <w:ind w:right="120"/>
        <w:spacing w:after="0" w:line="219" w:lineRule="auto"/>
        <w:rPr>
          <w:sz w:val="20"/>
          <w:szCs w:val="20"/>
          <w:color w:val="auto"/>
        </w:rPr>
      </w:pPr>
      <w:r>
        <w:rPr>
          <w:rFonts w:ascii="Arial" w:cs="Arial" w:eastAsia="Arial" w:hAnsi="Arial"/>
          <w:sz w:val="18"/>
          <w:szCs w:val="18"/>
          <w:color w:val="auto"/>
        </w:rPr>
        <w:t>Previously filed as Exhibit 10.1 to the Company's 8-K (File No. 001-38600) on July 28, 2020</w:t>
      </w:r>
    </w:p>
    <w:p>
      <w:pPr>
        <w:spacing w:after="0" w:line="18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2868" w:lineRule="exact"/>
        <w:rPr>
          <w:rFonts w:ascii="Arial" w:cs="Arial" w:eastAsia="Arial" w:hAnsi="Arial"/>
          <w:sz w:val="18"/>
          <w:szCs w:val="18"/>
          <w:u w:val="single" w:color="auto"/>
          <w:color w:val="0000FF"/>
        </w:rPr>
      </w:pPr>
    </w:p>
    <w:p>
      <w:pPr>
        <w:sectPr>
          <w:pgSz w:w="11900" w:h="16838" w:orient="portrait"/>
          <w:cols w:equalWidth="0" w:num="2">
            <w:col w:w="7640" w:space="140"/>
            <w:col w:w="3300"/>
          </w:cols>
          <w:pgMar w:left="320" w:top="140" w:right="499" w:bottom="1440" w:gutter="0" w:footer="0" w:header="0"/>
          <w:type w:val="continuous"/>
        </w:sectPr>
      </w:pPr>
    </w:p>
    <w:p>
      <w:pPr>
        <w:spacing w:after="0" w:line="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1"/>
          <w:szCs w:val="11"/>
          <w:color w:val="auto"/>
        </w:rPr>
        <w:t>________________</w:t>
      </w:r>
    </w:p>
    <w:p>
      <w:pPr>
        <w:spacing w:after="0" w:line="4" w:lineRule="exact"/>
        <w:rPr>
          <w:rFonts w:ascii="Arial" w:cs="Arial" w:eastAsia="Arial" w:hAnsi="Arial"/>
          <w:sz w:val="18"/>
          <w:szCs w:val="18"/>
          <w:u w:val="single" w:color="auto"/>
          <w:color w:val="0000FF"/>
        </w:rPr>
      </w:pPr>
    </w:p>
    <w:p>
      <w:pPr>
        <w:ind w:right="20" w:firstLine="332"/>
        <w:spacing w:after="0" w:line="256"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74" w:lineRule="exact"/>
        <w:rPr>
          <w:rFonts w:ascii="Arial" w:cs="Arial" w:eastAsia="Arial" w:hAnsi="Arial"/>
          <w:sz w:val="18"/>
          <w:szCs w:val="18"/>
          <w:u w:val="single" w:color="auto"/>
          <w:color w:val="0000FF"/>
        </w:rPr>
      </w:pPr>
    </w:p>
    <w:p>
      <w:pPr>
        <w:jc w:val="center"/>
        <w:ind w:right="-179"/>
        <w:spacing w:after="0"/>
        <w:rPr>
          <w:sz w:val="20"/>
          <w:szCs w:val="20"/>
          <w:color w:val="auto"/>
        </w:rPr>
      </w:pPr>
      <w:r>
        <w:rPr>
          <w:rFonts w:ascii="Arial" w:cs="Arial" w:eastAsia="Arial" w:hAnsi="Arial"/>
          <w:sz w:val="18"/>
          <w:szCs w:val="18"/>
          <w:color w:val="auto"/>
        </w:rPr>
        <w:t>62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TENABLE HOLDINGS, INC.</w:t>
      </w:r>
    </w:p>
    <w:p>
      <w:pPr>
        <w:spacing w:after="0" w:line="355" w:lineRule="exact"/>
        <w:rPr>
          <w:sz w:val="20"/>
          <w:szCs w:val="20"/>
          <w:color w:val="auto"/>
        </w:rPr>
      </w:pPr>
    </w:p>
    <w:p>
      <w:pPr>
        <w:ind w:left="20"/>
        <w:spacing w:after="0"/>
        <w:tabs>
          <w:tab w:leader="none" w:pos="640" w:val="left"/>
          <w:tab w:leader="none" w:pos="4220" w:val="left"/>
          <w:tab w:leader="none" w:pos="4660" w:val="left"/>
        </w:tabs>
        <w:rPr>
          <w:sz w:val="20"/>
          <w:szCs w:val="20"/>
          <w:color w:val="auto"/>
        </w:rPr>
      </w:pPr>
      <w:r>
        <w:rPr>
          <w:rFonts w:ascii="Arial" w:cs="Arial" w:eastAsia="Arial" w:hAnsi="Arial"/>
          <w:sz w:val="18"/>
          <w:szCs w:val="18"/>
          <w:color w:val="auto"/>
        </w:rPr>
        <w:t>Date:</w:t>
        <w:tab/>
        <w:t>October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6350</wp:posOffset>
            </wp:positionV>
            <wp:extent cx="32143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4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Chairman and Chief Executive Officer</w:t>
      </w:r>
    </w:p>
    <w:p>
      <w:pPr>
        <w:ind w:left="4680"/>
        <w:spacing w:after="0" w:line="229" w:lineRule="auto"/>
        <w:rPr>
          <w:sz w:val="20"/>
          <w:szCs w:val="20"/>
          <w:color w:val="auto"/>
        </w:rPr>
      </w:pPr>
      <w:r>
        <w:rPr>
          <w:rFonts w:ascii="Arial" w:cs="Arial" w:eastAsia="Arial" w:hAnsi="Arial"/>
          <w:sz w:val="18"/>
          <w:szCs w:val="18"/>
          <w:i w:val="1"/>
          <w:iCs w:val="1"/>
          <w:color w:val="auto"/>
        </w:rPr>
        <w:t>(On Behalf of the Registrant and as Principal Executive</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Officer)</w:t>
      </w:r>
    </w:p>
    <w:p>
      <w:pPr>
        <w:spacing w:after="0" w:line="333" w:lineRule="exact"/>
        <w:rPr>
          <w:sz w:val="20"/>
          <w:szCs w:val="20"/>
          <w:color w:val="auto"/>
        </w:rPr>
      </w:pPr>
    </w:p>
    <w:p>
      <w:pPr>
        <w:ind w:left="20"/>
        <w:spacing w:after="0"/>
        <w:tabs>
          <w:tab w:leader="none" w:pos="640" w:val="left"/>
          <w:tab w:leader="none" w:pos="4220" w:val="left"/>
          <w:tab w:leader="none" w:pos="4660" w:val="left"/>
        </w:tabs>
        <w:rPr>
          <w:sz w:val="20"/>
          <w:szCs w:val="20"/>
          <w:color w:val="auto"/>
        </w:rPr>
      </w:pPr>
      <w:r>
        <w:rPr>
          <w:rFonts w:ascii="Arial" w:cs="Arial" w:eastAsia="Arial" w:hAnsi="Arial"/>
          <w:sz w:val="18"/>
          <w:szCs w:val="18"/>
          <w:color w:val="auto"/>
        </w:rPr>
        <w:t>Date:</w:t>
        <w:tab/>
        <w:t>October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6350</wp:posOffset>
            </wp:positionV>
            <wp:extent cx="32143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140" w:right="3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144" w:lineRule="exact"/>
        <w:rPr>
          <w:sz w:val="20"/>
          <w:szCs w:val="20"/>
          <w:color w:val="auto"/>
        </w:rPr>
      </w:pPr>
    </w:p>
    <w:p>
      <w:pPr>
        <w:ind w:left="460" w:hanging="43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30" w:lineRule="exact"/>
        <w:rPr>
          <w:rFonts w:ascii="Arial" w:cs="Arial" w:eastAsia="Arial" w:hAnsi="Arial"/>
          <w:sz w:val="18"/>
          <w:szCs w:val="18"/>
          <w:color w:val="auto"/>
        </w:rPr>
      </w:pPr>
    </w:p>
    <w:p>
      <w:pPr>
        <w:ind w:left="460" w:right="140" w:hanging="434"/>
        <w:spacing w:after="0" w:line="21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460" w:right="40" w:hanging="434"/>
        <w:spacing w:after="0" w:line="241"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460" w:right="120" w:hanging="434"/>
        <w:spacing w:after="0" w:line="22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Arial" w:cs="Arial" w:eastAsia="Arial" w:hAnsi="Arial"/>
          <w:sz w:val="18"/>
          <w:szCs w:val="18"/>
          <w:color w:val="auto"/>
        </w:rPr>
      </w:pPr>
    </w:p>
    <w:p>
      <w:pPr>
        <w:ind w:left="1060" w:right="260" w:hanging="602"/>
        <w:spacing w:after="0" w:line="219"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jc w:val="both"/>
        <w:ind w:left="1060" w:right="180" w:hanging="602"/>
        <w:spacing w:after="0" w:line="219"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ind w:left="1060" w:right="320" w:hanging="602"/>
        <w:spacing w:after="0" w:line="219"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ind w:left="460" w:right="20" w:hanging="434"/>
        <w:spacing w:after="0" w:line="21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8"/>
          <w:szCs w:val="18"/>
          <w:color w:val="auto"/>
        </w:rPr>
      </w:pPr>
    </w:p>
    <w:p>
      <w:pPr>
        <w:ind w:left="1060" w:right="180" w:hanging="602"/>
        <w:spacing w:after="0" w:line="219"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060" w:right="100" w:hanging="602"/>
        <w:spacing w:after="0" w:line="22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60" w:val="left"/>
          <w:tab w:leader="none" w:pos="5740" w:val="left"/>
          <w:tab w:leader="none" w:pos="6180" w:val="left"/>
        </w:tabs>
        <w:rPr>
          <w:sz w:val="20"/>
          <w:szCs w:val="20"/>
          <w:color w:val="auto"/>
        </w:rPr>
      </w:pPr>
      <w:r>
        <w:rPr>
          <w:rFonts w:ascii="Arial" w:cs="Arial" w:eastAsia="Arial" w:hAnsi="Arial"/>
          <w:sz w:val="18"/>
          <w:szCs w:val="18"/>
          <w:color w:val="auto"/>
        </w:rPr>
        <w:t>Date:</w:t>
        <w:tab/>
        <w:t>October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Amit Yoran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44" w:lineRule="exact"/>
        <w:rPr>
          <w:sz w:val="20"/>
          <w:szCs w:val="20"/>
          <w:color w:val="auto"/>
        </w:rPr>
      </w:pPr>
    </w:p>
    <w:p>
      <w:pPr>
        <w:ind w:left="460" w:hanging="43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30" w:lineRule="exact"/>
        <w:rPr>
          <w:rFonts w:ascii="Arial" w:cs="Arial" w:eastAsia="Arial" w:hAnsi="Arial"/>
          <w:sz w:val="18"/>
          <w:szCs w:val="18"/>
          <w:color w:val="auto"/>
        </w:rPr>
      </w:pPr>
    </w:p>
    <w:p>
      <w:pPr>
        <w:ind w:left="460" w:right="140" w:hanging="434"/>
        <w:spacing w:after="0" w:line="21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460" w:right="40" w:hanging="434"/>
        <w:spacing w:after="0" w:line="241"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460" w:right="120" w:hanging="434"/>
        <w:spacing w:after="0" w:line="22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Arial" w:cs="Arial" w:eastAsia="Arial" w:hAnsi="Arial"/>
          <w:sz w:val="18"/>
          <w:szCs w:val="18"/>
          <w:color w:val="auto"/>
        </w:rPr>
      </w:pPr>
    </w:p>
    <w:p>
      <w:pPr>
        <w:ind w:left="1060" w:right="260" w:hanging="602"/>
        <w:spacing w:after="0" w:line="219" w:lineRule="auto"/>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jc w:val="both"/>
        <w:ind w:left="1060" w:right="180" w:hanging="602"/>
        <w:spacing w:after="0" w:line="219" w:lineRule="auto"/>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ind w:left="1060" w:right="320" w:hanging="602"/>
        <w:spacing w:after="0" w:line="219" w:lineRule="auto"/>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ind w:left="460" w:right="20" w:hanging="434"/>
        <w:spacing w:after="0" w:line="21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8"/>
          <w:szCs w:val="18"/>
          <w:color w:val="auto"/>
        </w:rPr>
      </w:pPr>
    </w:p>
    <w:p>
      <w:pPr>
        <w:ind w:left="1060" w:right="180" w:hanging="602"/>
        <w:spacing w:after="0" w:line="219" w:lineRule="auto"/>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060" w:right="100" w:hanging="602"/>
        <w:spacing w:after="0" w:line="227" w:lineRule="auto"/>
        <w:tabs>
          <w:tab w:leader="none" w:pos="10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660" w:val="left"/>
          <w:tab w:leader="none" w:pos="5740" w:val="left"/>
          <w:tab w:leader="none" w:pos="6180" w:val="left"/>
        </w:tabs>
        <w:rPr>
          <w:sz w:val="20"/>
          <w:szCs w:val="20"/>
          <w:color w:val="auto"/>
        </w:rPr>
      </w:pPr>
      <w:r>
        <w:rPr>
          <w:rFonts w:ascii="Arial" w:cs="Arial" w:eastAsia="Arial" w:hAnsi="Arial"/>
          <w:sz w:val="18"/>
          <w:szCs w:val="18"/>
          <w:color w:val="auto"/>
        </w:rPr>
        <w:t>Date:</w:t>
        <w:tab/>
        <w:t>October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A. Vintz</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8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Each of the undersigned hereby certifies, pursuant to 18 U.S.C. Section 1350, as adopted pursuant to Section 906 of the Sarbanes-Oxley Act of 2002, that the Quarterly Report on Form 10-Q of Tenable Holdings, Inc. for the fiscal quarter ended September 30, 2020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ind w:left="100"/>
              <w:spacing w:after="0"/>
              <w:rPr>
                <w:sz w:val="20"/>
                <w:szCs w:val="20"/>
                <w:color w:val="auto"/>
              </w:rPr>
            </w:pPr>
            <w:r>
              <w:rPr>
                <w:rFonts w:ascii="Arial" w:cs="Arial" w:eastAsia="Arial" w:hAnsi="Arial"/>
                <w:sz w:val="18"/>
                <w:szCs w:val="18"/>
                <w:color w:val="auto"/>
              </w:rPr>
              <w:t>October 28, 2020</w:t>
            </w:r>
          </w:p>
        </w:tc>
        <w:tc>
          <w:tcPr>
            <w:tcW w:w="2260" w:type="dxa"/>
            <w:vAlign w:val="bottom"/>
          </w:tcPr>
          <w:p>
            <w:pPr>
              <w:ind w:left="18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Amit Yoran</w:t>
            </w:r>
          </w:p>
        </w:tc>
      </w:tr>
      <w:tr>
        <w:trPr>
          <w:trHeight w:val="223"/>
        </w:trPr>
        <w:tc>
          <w:tcPr>
            <w:tcW w:w="5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Amit Yoran</w:t>
            </w:r>
          </w:p>
        </w:tc>
      </w:tr>
      <w:tr>
        <w:trPr>
          <w:trHeight w:val="224"/>
        </w:trPr>
        <w:tc>
          <w:tcPr>
            <w:tcW w:w="5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5"/>
        </w:trPr>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ind w:left="100"/>
              <w:spacing w:after="0"/>
              <w:rPr>
                <w:sz w:val="20"/>
                <w:szCs w:val="20"/>
                <w:color w:val="auto"/>
              </w:rPr>
            </w:pPr>
            <w:r>
              <w:rPr>
                <w:rFonts w:ascii="Arial" w:cs="Arial" w:eastAsia="Arial" w:hAnsi="Arial"/>
                <w:sz w:val="18"/>
                <w:szCs w:val="18"/>
                <w:color w:val="auto"/>
              </w:rPr>
              <w:t>October 28, 2020</w:t>
            </w:r>
          </w:p>
        </w:tc>
        <w:tc>
          <w:tcPr>
            <w:tcW w:w="2260" w:type="dxa"/>
            <w:vAlign w:val="bottom"/>
          </w:tcPr>
          <w:p>
            <w:pPr>
              <w:ind w:left="18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23"/>
        </w:trPr>
        <w:tc>
          <w:tcPr>
            <w:tcW w:w="5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24"/>
        </w:trPr>
        <w:tc>
          <w:tcPr>
            <w:tcW w:w="5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04"/>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70" Type="http://schemas.openxmlformats.org/officeDocument/2006/relationships/hyperlink" Target="http://www.sec.gov/Archives/edgar/data/1660280/000119312518231446/d562353dex31.htm" TargetMode="External"/><Relationship Id="rId71" Type="http://schemas.openxmlformats.org/officeDocument/2006/relationships/hyperlink" Target="http://www.sec.gov/Archives/edgar/data/1660280/000119312518209705/d548092dex34.htm" TargetMode="External"/><Relationship Id="rId72" Type="http://schemas.openxmlformats.org/officeDocument/2006/relationships/hyperlink" Target="http://www.sec.gov/Archives/edgar/data/1660280/000119312518218215/d548092dex41.htm" TargetMode="External"/><Relationship Id="rId73" Type="http://schemas.openxmlformats.org/officeDocument/2006/relationships/hyperlink" Target="http://www.sec.gov/Archives/edgar/data/1660280/000166028020000092/secondamendmenttolsa.htm" TargetMode="External"/><Relationship Id="rId74" Type="http://schemas.openxmlformats.org/officeDocument/2006/relationships/hyperlink" Target="http://www.sec.gov/Archives/edgar/data/1660280/000166028020000090/a2020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2020-10-29T05:26:02Z</dcterms:created>
  <dcterms:modified xsi:type="dcterms:W3CDTF">2020-10-29T05:26:02Z</dcterms:modified>
</cp:coreProperties>
</file>