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231F20"/>
          <w:sz w:val="28"/>
        </w:rPr>
      </w:pPr>
      <w:r>
        <w:rPr>
          <w:rFonts w:ascii="Arial;sans-serif" w:hAnsi="Arial;sans-serif"/>
          <w:b/>
          <w:color w:val="231F20"/>
          <w:sz w:val="28"/>
        </w:rPr>
        <w:t>UNITED STATES</w:t>
      </w:r>
    </w:p>
    <w:p>
      <w:pPr>
        <w:pStyle w:val="TextBody"/>
        <w:bidi w:val="0"/>
        <w:spacing w:lineRule="auto" w:line="288" w:before="0" w:after="0"/>
        <w:jc w:val="center"/>
        <w:rPr>
          <w:rFonts w:ascii="Arial;sans-serif" w:hAnsi="Arial;sans-serif"/>
          <w:b/>
          <w:color w:val="231F20"/>
          <w:sz w:val="28"/>
        </w:rPr>
      </w:pPr>
      <w:r>
        <w:rPr>
          <w:rFonts w:ascii="Arial;sans-serif" w:hAnsi="Arial;sans-serif"/>
          <w:b/>
          <w:color w:val="231F20"/>
          <w:sz w:val="28"/>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10-Q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8591" w:type="dxa"/>
        <w:jc w:val="left"/>
        <w:tblInd w:w="0" w:type="dxa"/>
        <w:tblLayout w:type="fixed"/>
        <w:tblCellMar>
          <w:top w:w="28" w:type="dxa"/>
          <w:left w:w="28" w:type="dxa"/>
          <w:bottom w:w="28" w:type="dxa"/>
          <w:right w:w="28" w:type="dxa"/>
        </w:tblCellMar>
      </w:tblPr>
      <w:tblGrid>
        <w:gridCol w:w="124"/>
        <w:gridCol w:w="109"/>
        <w:gridCol w:w="109"/>
        <w:gridCol w:w="2411"/>
        <w:gridCol w:w="2411"/>
        <w:gridCol w:w="3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60"/>
        <w:jc w:val="center"/>
        <w:rPr/>
      </w:pPr>
      <w:r>
        <w:rPr>
          <w:rFonts w:ascii="Arial;sans-serif" w:hAnsi="Arial;sans-serif"/>
          <w:b/>
          <w:color w:val="000000"/>
          <w:sz w:val="18"/>
        </w:rPr>
        <w:t>For the Quarterly Period Ended June 30, 2025</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8681" w:type="dxa"/>
        <w:jc w:val="left"/>
        <w:tblInd w:w="0" w:type="dxa"/>
        <w:tblLayout w:type="fixed"/>
        <w:tblCellMar>
          <w:top w:w="28" w:type="dxa"/>
          <w:left w:w="28" w:type="dxa"/>
          <w:bottom w:w="28" w:type="dxa"/>
          <w:right w:w="28" w:type="dxa"/>
        </w:tblCellMar>
      </w:tblPr>
      <w:tblGrid>
        <w:gridCol w:w="124"/>
        <w:gridCol w:w="109"/>
        <w:gridCol w:w="109"/>
        <w:gridCol w:w="2442"/>
        <w:gridCol w:w="2442"/>
        <w:gridCol w:w="3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For the transition period from _____ to _____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001-38600 </w:t>
      </w:r>
    </w:p>
    <w:p>
      <w:pPr>
        <w:pStyle w:val="TextBody"/>
        <w:bidi w:val="0"/>
        <w:spacing w:lineRule="auto" w:line="288" w:before="0" w:after="6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7646" w:type="dxa"/>
        <w:jc w:val="left"/>
        <w:tblInd w:w="0" w:type="dxa"/>
        <w:tblLayout w:type="fixed"/>
        <w:tblCellMar>
          <w:top w:w="28" w:type="dxa"/>
          <w:left w:w="28" w:type="dxa"/>
          <w:bottom w:w="28" w:type="dxa"/>
          <w:right w:w="28" w:type="dxa"/>
        </w:tblCellMar>
      </w:tblPr>
      <w:tblGrid>
        <w:gridCol w:w="1566"/>
        <w:gridCol w:w="1374"/>
        <w:gridCol w:w="1395"/>
        <w:gridCol w:w="109"/>
        <w:gridCol w:w="109"/>
        <w:gridCol w:w="109"/>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6100 Merriweather Drive, Columbia, Maryland 21044 </w:t>
      </w:r>
    </w:p>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12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0" w:after="12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0" w:after="120"/>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616"/>
        <w:gridCol w:w="1308"/>
        <w:gridCol w:w="1260"/>
        <w:gridCol w:w="221"/>
        <w:gridCol w:w="221"/>
        <w:gridCol w:w="221"/>
        <w:gridCol w:w="221"/>
        <w:gridCol w:w="221"/>
        <w:gridCol w:w="221"/>
        <w:gridCol w:w="1311"/>
        <w:gridCol w:w="1311"/>
        <w:gridCol w:w="1316"/>
        <w:gridCol w:w="221"/>
        <w:gridCol w:w="221"/>
        <w:gridCol w:w="315"/>
      </w:tblGrid>
      <w:tr>
        <w:trPr/>
        <w:tc>
          <w:tcPr>
            <w:tcW w:w="161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0" w:after="12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number of shares of the Registrant's common stock outstanding as of July 31, 2025 was 121,094,958.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37"/>
        <w:gridCol w:w="293"/>
        <w:gridCol w:w="293"/>
        <w:gridCol w:w="2555"/>
        <w:gridCol w:w="2544"/>
        <w:gridCol w:w="2549"/>
        <w:gridCol w:w="475"/>
        <w:gridCol w:w="475"/>
        <w:gridCol w:w="684"/>
      </w:tblGrid>
      <w:tr>
        <w:trPr/>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1c53d5a633044c4b5e6ca6a13290ff5_10">
              <w:r>
                <w:rPr>
                  <w:rStyle w:val="InternetLink"/>
                  <w:rFonts w:ascii="Arial;sans-serif" w:hAnsi="Arial;sans-serif"/>
                  <w:b/>
                  <w:color w:val="0000FF"/>
                  <w:sz w:val="20"/>
                  <w:u w:val="single"/>
                </w:rPr>
                <w:t>PART I – FINANCIAL INFORMATION</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0">
              <w:r>
                <w:rPr>
                  <w:rStyle w:val="InternetLink"/>
                  <w:rFonts w:ascii="Arial;sans-serif" w:hAnsi="Arial;sans-serif"/>
                  <w:b w:val="false"/>
                  <w:color w:val="0000FF"/>
                  <w:sz w:val="20"/>
                  <w:u w:val="single"/>
                </w:rPr>
                <w:t>Item 1.</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0">
              <w:r>
                <w:rPr>
                  <w:rStyle w:val="InternetLink"/>
                  <w:rFonts w:ascii="Arial;sans-serif" w:hAnsi="Arial;sans-serif"/>
                  <w:b w:val="false"/>
                  <w:color w:val="0000FF"/>
                  <w:sz w:val="20"/>
                  <w:u w:val="single"/>
                </w:rPr>
                <w:t>Financial Statements</w:t>
              </w:r>
            </w:hyperlink>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3">
              <w:r>
                <w:rPr>
                  <w:rStyle w:val="InternetLink"/>
                  <w:rFonts w:ascii="Arial;sans-serif" w:hAnsi="Arial;sans-serif"/>
                  <w:b w:val="false"/>
                  <w:color w:val="0000FF"/>
                  <w:sz w:val="20"/>
                  <w:u w:val="single"/>
                </w:rPr>
                <w:t>Consolidated Balance Sheets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3">
              <w:r>
                <w:rPr>
                  <w:rStyle w:val="InternetLink"/>
                  <w:rFonts w:ascii="Arial;sans-serif" w:hAnsi="Arial;sans-serif"/>
                  <w:b w:val="false"/>
                  <w:color w:val="0000FF"/>
                  <w:sz w:val="20"/>
                  <w:u w:val="single"/>
                </w:rPr>
                <w:t>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6">
              <w:r>
                <w:rPr>
                  <w:rStyle w:val="InternetLink"/>
                  <w:rFonts w:ascii="Arial;sans-serif" w:hAnsi="Arial;sans-serif"/>
                  <w:b w:val="false"/>
                  <w:color w:val="0000FF"/>
                  <w:sz w:val="20"/>
                  <w:u w:val="single"/>
                </w:rPr>
                <w:t>Consolidated Statements of Operations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6">
              <w:r>
                <w:rPr>
                  <w:rStyle w:val="InternetLink"/>
                  <w:rFonts w:ascii="Arial;sans-serif" w:hAnsi="Arial;sans-serif"/>
                  <w:b w:val="false"/>
                  <w:color w:val="0000FF"/>
                  <w:sz w:val="20"/>
                  <w:u w:val="single"/>
                </w:rPr>
                <w:t>4</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22">
              <w:r>
                <w:rPr>
                  <w:rStyle w:val="InternetLink"/>
                  <w:rFonts w:ascii="Arial;sans-serif" w:hAnsi="Arial;sans-serif"/>
                  <w:b w:val="false"/>
                  <w:color w:val="0000FF"/>
                  <w:sz w:val="20"/>
                  <w:u w:val="single"/>
                </w:rPr>
                <w:t>Consolidated Statements of Comprehensive Loss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22">
              <w:r>
                <w:rPr>
                  <w:rStyle w:val="InternetLink"/>
                  <w:rFonts w:ascii="Arial;sans-serif" w:hAnsi="Arial;sans-serif"/>
                  <w:b w:val="false"/>
                  <w:color w:val="0000FF"/>
                  <w:sz w:val="20"/>
                  <w:u w:val="single"/>
                </w:rPr>
                <w:t>5</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28">
              <w:r>
                <w:rPr>
                  <w:rStyle w:val="InternetLink"/>
                  <w:rFonts w:ascii="Arial;sans-serif" w:hAnsi="Arial;sans-serif"/>
                  <w:b w:val="false"/>
                  <w:color w:val="0000FF"/>
                  <w:sz w:val="20"/>
                  <w:u w:val="single"/>
                </w:rPr>
                <w:t>Consolidated Statements of Stockholders' Equity</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28">
              <w:r>
                <w:rPr>
                  <w:rStyle w:val="InternetLink"/>
                  <w:rFonts w:ascii="Arial;sans-serif" w:hAnsi="Arial;sans-serif"/>
                  <w:b w:val="false"/>
                  <w:color w:val="0000FF"/>
                  <w:sz w:val="20"/>
                  <w:u w:val="single"/>
                </w:rPr>
                <w:t>6</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34">
              <w:r>
                <w:rPr>
                  <w:rStyle w:val="InternetLink"/>
                  <w:rFonts w:ascii="Arial;sans-serif" w:hAnsi="Arial;sans-serif"/>
                  <w:b w:val="false"/>
                  <w:color w:val="0000FF"/>
                  <w:sz w:val="20"/>
                  <w:u w:val="single"/>
                </w:rPr>
                <w:t>Consolidated Statements of Cash Flows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34">
              <w:r>
                <w:rPr>
                  <w:rStyle w:val="InternetLink"/>
                  <w:rFonts w:ascii="Arial;sans-serif" w:hAnsi="Arial;sans-serif"/>
                  <w:b w:val="false"/>
                  <w:color w:val="0000FF"/>
                  <w:sz w:val="20"/>
                  <w:u w:val="single"/>
                </w:rPr>
                <w:t>7</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37">
              <w:r>
                <w:rPr>
                  <w:rStyle w:val="InternetLink"/>
                  <w:rFonts w:ascii="Arial;sans-serif" w:hAnsi="Arial;sans-serif"/>
                  <w:b w:val="false"/>
                  <w:color w:val="0000FF"/>
                  <w:sz w:val="20"/>
                  <w:u w:val="single"/>
                </w:rPr>
                <w:t>Notes to Consolidated Financial Statements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37">
              <w:r>
                <w:rPr>
                  <w:rStyle w:val="InternetLink"/>
                  <w:rFonts w:ascii="Arial;sans-serif" w:hAnsi="Arial;sans-serif"/>
                  <w:b w:val="false"/>
                  <w:color w:val="0000FF"/>
                  <w:sz w:val="20"/>
                  <w:u w:val="single"/>
                </w:rPr>
                <w:t>8</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40">
              <w:r>
                <w:rPr>
                  <w:rStyle w:val="InternetLink"/>
                  <w:rFonts w:ascii="Arial;sans-serif" w:hAnsi="Arial;sans-serif"/>
                  <w:b w:val="false"/>
                  <w:color w:val="0000FF"/>
                  <w:sz w:val="20"/>
                  <w:u w:val="single"/>
                </w:rPr>
                <w:t>1. Business and Summary of Significant Accounting Policies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40">
              <w:r>
                <w:rPr>
                  <w:rStyle w:val="InternetLink"/>
                  <w:rFonts w:ascii="Arial;sans-serif" w:hAnsi="Arial;sans-serif"/>
                  <w:b w:val="false"/>
                  <w:color w:val="0000FF"/>
                  <w:sz w:val="20"/>
                  <w:u w:val="single"/>
                </w:rPr>
                <w:t>8</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43">
              <w:r>
                <w:rPr>
                  <w:rStyle w:val="InternetLink"/>
                  <w:rFonts w:ascii="Arial;sans-serif" w:hAnsi="Arial;sans-serif"/>
                  <w:b w:val="false"/>
                  <w:color w:val="0000FF"/>
                  <w:sz w:val="20"/>
                  <w:u w:val="single"/>
                </w:rPr>
                <w:t>2. Revenue</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43">
              <w:r>
                <w:rPr>
                  <w:rStyle w:val="InternetLink"/>
                  <w:rFonts w:ascii="Arial;sans-serif" w:hAnsi="Arial;sans-serif"/>
                  <w:b w:val="false"/>
                  <w:color w:val="0000FF"/>
                  <w:sz w:val="20"/>
                  <w:u w:val="single"/>
                </w:rPr>
                <w:t>9</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49">
              <w:r>
                <w:rPr>
                  <w:rStyle w:val="InternetLink"/>
                  <w:rFonts w:ascii="Arial;sans-serif" w:hAnsi="Arial;sans-serif"/>
                  <w:b w:val="false"/>
                  <w:color w:val="0000FF"/>
                  <w:sz w:val="20"/>
                  <w:u w:val="single"/>
                </w:rPr>
                <w:t>3. Cash Equivalents and Short-Term Investments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49">
              <w:r>
                <w:rPr>
                  <w:rStyle w:val="InternetLink"/>
                  <w:rFonts w:ascii="Arial;sans-serif" w:hAnsi="Arial;sans-serif"/>
                  <w:b w:val="false"/>
                  <w:color w:val="0000FF"/>
                  <w:sz w:val="20"/>
                  <w:u w:val="single"/>
                </w:rPr>
                <w:t>10</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52">
              <w:r>
                <w:rPr>
                  <w:rStyle w:val="InternetLink"/>
                  <w:rFonts w:ascii="Arial;sans-serif" w:hAnsi="Arial;sans-serif"/>
                  <w:b w:val="false"/>
                  <w:color w:val="0000FF"/>
                  <w:sz w:val="20"/>
                  <w:u w:val="single"/>
                </w:rPr>
                <w:t>4. Fair Value Measurements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52">
              <w:r>
                <w:rPr>
                  <w:rStyle w:val="InternetLink"/>
                  <w:rFonts w:ascii="Arial;sans-serif" w:hAnsi="Arial;sans-serif"/>
                  <w:b w:val="false"/>
                  <w:color w:val="0000FF"/>
                  <w:sz w:val="20"/>
                  <w:u w:val="single"/>
                </w:rPr>
                <w:t>11</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55">
              <w:r>
                <w:rPr>
                  <w:rStyle w:val="InternetLink"/>
                  <w:rFonts w:ascii="Arial;sans-serif" w:hAnsi="Arial;sans-serif"/>
                  <w:b w:val="false"/>
                  <w:color w:val="0000FF"/>
                  <w:sz w:val="20"/>
                  <w:u w:val="single"/>
                </w:rPr>
                <w:t>5. Property and Equipment, Net</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55">
              <w:r>
                <w:rPr>
                  <w:rStyle w:val="InternetLink"/>
                  <w:rFonts w:ascii="Arial;sans-serif" w:hAnsi="Arial;sans-serif"/>
                  <w:b w:val="false"/>
                  <w:color w:val="0000FF"/>
                  <w:sz w:val="20"/>
                  <w:u w:val="single"/>
                </w:rPr>
                <w:t>13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61">
              <w:r>
                <w:rPr>
                  <w:rStyle w:val="InternetLink"/>
                  <w:rFonts w:ascii="Arial;sans-serif" w:hAnsi="Arial;sans-serif"/>
                  <w:b w:val="false"/>
                  <w:color w:val="0000FF"/>
                  <w:sz w:val="20"/>
                  <w:u w:val="single"/>
                </w:rPr>
                <w:t>6. Acquisitions, Goodwill and Intangible Assets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61">
              <w:r>
                <w:rPr>
                  <w:rStyle w:val="InternetLink"/>
                  <w:rFonts w:ascii="Arial;sans-serif" w:hAnsi="Arial;sans-serif"/>
                  <w:b w:val="false"/>
                  <w:color w:val="0000FF"/>
                  <w:sz w:val="20"/>
                  <w:u w:val="single"/>
                </w:rPr>
                <w:t>13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67">
              <w:r>
                <w:rPr>
                  <w:rStyle w:val="InternetLink"/>
                  <w:rFonts w:ascii="Arial;sans-serif" w:hAnsi="Arial;sans-serif"/>
                  <w:b w:val="false"/>
                  <w:color w:val="0000FF"/>
                  <w:sz w:val="20"/>
                  <w:u w:val="single"/>
                </w:rPr>
                <w:t>7. Leases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67">
              <w:r>
                <w:rPr>
                  <w:rStyle w:val="InternetLink"/>
                  <w:rFonts w:ascii="Arial;sans-serif" w:hAnsi="Arial;sans-serif"/>
                  <w:b w:val="false"/>
                  <w:color w:val="0000FF"/>
                  <w:sz w:val="20"/>
                  <w:u w:val="single"/>
                </w:rPr>
                <w:t>15</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73">
              <w:r>
                <w:rPr>
                  <w:rStyle w:val="InternetLink"/>
                  <w:rFonts w:ascii="Arial;sans-serif" w:hAnsi="Arial;sans-serif"/>
                  <w:b w:val="false"/>
                  <w:color w:val="0000FF"/>
                  <w:sz w:val="20"/>
                  <w:u w:val="single"/>
                </w:rPr>
                <w:t>8. Debt</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73">
              <w:r>
                <w:rPr>
                  <w:rStyle w:val="InternetLink"/>
                  <w:rFonts w:ascii="Arial;sans-serif" w:hAnsi="Arial;sans-serif"/>
                  <w:b w:val="false"/>
                  <w:color w:val="0000FF"/>
                  <w:sz w:val="20"/>
                  <w:u w:val="single"/>
                </w:rPr>
                <w:t>16</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76">
              <w:r>
                <w:rPr>
                  <w:rStyle w:val="InternetLink"/>
                  <w:rFonts w:ascii="Arial;sans-serif" w:hAnsi="Arial;sans-serif"/>
                  <w:b w:val="false"/>
                  <w:color w:val="0000FF"/>
                  <w:sz w:val="20"/>
                  <w:u w:val="single"/>
                </w:rPr>
                <w:t>9. Commitments and Contingencies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76">
              <w:r>
                <w:rPr>
                  <w:rStyle w:val="InternetLink"/>
                  <w:rFonts w:ascii="Arial;sans-serif" w:hAnsi="Arial;sans-serif"/>
                  <w:b w:val="false"/>
                  <w:color w:val="0000FF"/>
                  <w:sz w:val="20"/>
                  <w:u w:val="single"/>
                </w:rPr>
                <w:t>17</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79">
              <w:r>
                <w:rPr>
                  <w:rStyle w:val="InternetLink"/>
                  <w:rFonts w:ascii="Arial;sans-serif" w:hAnsi="Arial;sans-serif"/>
                  <w:b w:val="false"/>
                  <w:color w:val="0000FF"/>
                  <w:sz w:val="20"/>
                  <w:u w:val="single"/>
                </w:rPr>
                <w:t>10. Stock-Based Compensation</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79">
              <w:r>
                <w:rPr>
                  <w:rStyle w:val="InternetLink"/>
                  <w:rFonts w:ascii="Arial;sans-serif" w:hAnsi="Arial;sans-serif"/>
                  <w:b w:val="false"/>
                  <w:color w:val="0000FF"/>
                  <w:sz w:val="20"/>
                  <w:u w:val="single"/>
                </w:rPr>
                <w:t>17</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85">
              <w:r>
                <w:rPr>
                  <w:rStyle w:val="InternetLink"/>
                  <w:rFonts w:ascii="Arial;sans-serif" w:hAnsi="Arial;sans-serif"/>
                  <w:b w:val="false"/>
                  <w:color w:val="0000FF"/>
                  <w:sz w:val="20"/>
                  <w:u w:val="single"/>
                </w:rPr>
                <w:t>11. Income Taxes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85">
              <w:r>
                <w:rPr>
                  <w:rStyle w:val="InternetLink"/>
                  <w:rFonts w:ascii="Arial;sans-serif" w:hAnsi="Arial;sans-serif"/>
                  <w:b w:val="false"/>
                  <w:color w:val="0000FF"/>
                  <w:sz w:val="20"/>
                  <w:u w:val="single"/>
                </w:rPr>
                <w:t>19</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88">
              <w:r>
                <w:rPr>
                  <w:rStyle w:val="InternetLink"/>
                  <w:rFonts w:ascii="Arial;sans-serif" w:hAnsi="Arial;sans-serif"/>
                  <w:b w:val="false"/>
                  <w:color w:val="0000FF"/>
                  <w:sz w:val="20"/>
                  <w:u w:val="single"/>
                </w:rPr>
                <w:t>12. Net Loss Per Share</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88">
              <w:r>
                <w:rPr>
                  <w:rStyle w:val="InternetLink"/>
                  <w:rFonts w:ascii="Arial;sans-serif" w:hAnsi="Arial;sans-serif"/>
                  <w:b w:val="false"/>
                  <w:color w:val="0000FF"/>
                  <w:sz w:val="20"/>
                  <w:u w:val="single"/>
                </w:rPr>
                <w:t>19</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94">
              <w:r>
                <w:rPr>
                  <w:rStyle w:val="InternetLink"/>
                  <w:rFonts w:ascii="Arial;sans-serif" w:hAnsi="Arial;sans-serif"/>
                  <w:b w:val="false"/>
                  <w:color w:val="000080"/>
                  <w:sz w:val="20"/>
                  <w:u w:val="single"/>
                </w:rPr>
                <w:t xml:space="preserve">13. </w:t>
              </w:r>
            </w:hyperlink>
            <w:hyperlink w:anchor="i81c53d5a633044c4b5e6ca6a13290ff5_94">
              <w:r>
                <w:rPr>
                  <w:rStyle w:val="InternetLink"/>
                  <w:rFonts w:ascii="Arial;sans-serif" w:hAnsi="Arial;sans-serif"/>
                  <w:b w:val="false"/>
                  <w:color w:val="000080"/>
                  <w:sz w:val="20"/>
                  <w:u w:val="single"/>
                </w:rPr>
                <w:t xml:space="preserve">Segment and </w:t>
              </w:r>
            </w:hyperlink>
            <w:hyperlink w:anchor="i81c53d5a633044c4b5e6ca6a13290ff5_94">
              <w:r>
                <w:rPr>
                  <w:rStyle w:val="InternetLink"/>
                  <w:rFonts w:ascii="Arial;sans-serif" w:hAnsi="Arial;sans-serif"/>
                  <w:b w:val="false"/>
                  <w:color w:val="000080"/>
                  <w:sz w:val="20"/>
                  <w:u w:val="single"/>
                </w:rPr>
                <w:t>Geographic Information</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94">
              <w:r>
                <w:rPr>
                  <w:rStyle w:val="InternetLink"/>
                  <w:rFonts w:ascii="Arial;sans-serif" w:hAnsi="Arial;sans-serif"/>
                  <w:b w:val="false"/>
                  <w:color w:val="0000FF"/>
                  <w:sz w:val="20"/>
                  <w:u w:val="single"/>
                </w:rPr>
                <w:t>20</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00">
              <w:r>
                <w:rPr>
                  <w:rStyle w:val="InternetLink"/>
                  <w:rFonts w:ascii="Arial;sans-serif" w:hAnsi="Arial;sans-serif"/>
                  <w:b w:val="false"/>
                  <w:color w:val="0000FF"/>
                  <w:sz w:val="20"/>
                  <w:u w:val="single"/>
                </w:rPr>
                <w:t>Item 2.</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00">
              <w:r>
                <w:rPr>
                  <w:rStyle w:val="InternetLink"/>
                  <w:rFonts w:ascii="Arial;sans-serif" w:hAnsi="Arial;sans-serif"/>
                  <w:b w:val="false"/>
                  <w:color w:val="0000FF"/>
                  <w:sz w:val="20"/>
                  <w:u w:val="single"/>
                </w:rPr>
                <w:t>Management’s Discussion and Analysis of Financial Condition and Results of Operations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00">
              <w:r>
                <w:rPr>
                  <w:rStyle w:val="InternetLink"/>
                  <w:rFonts w:ascii="Arial;sans-serif" w:hAnsi="Arial;sans-serif"/>
                  <w:b w:val="false"/>
                  <w:color w:val="0000FF"/>
                  <w:sz w:val="20"/>
                  <w:u w:val="single"/>
                </w:rPr>
                <w:t>21</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33">
              <w:r>
                <w:rPr>
                  <w:rStyle w:val="InternetLink"/>
                  <w:rFonts w:ascii="Arial;sans-serif" w:hAnsi="Arial;sans-serif"/>
                  <w:b w:val="false"/>
                  <w:color w:val="0000FF"/>
                  <w:sz w:val="20"/>
                  <w:u w:val="single"/>
                </w:rPr>
                <w:t>Item 3.</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33">
              <w:r>
                <w:rPr>
                  <w:rStyle w:val="InternetLink"/>
                  <w:rFonts w:ascii="Arial;sans-serif" w:hAnsi="Arial;sans-serif"/>
                  <w:b w:val="false"/>
                  <w:color w:val="0000FF"/>
                  <w:sz w:val="20"/>
                  <w:u w:val="single"/>
                </w:rPr>
                <w:t>Quantitative and Qualitative Disclosures About Market Risk</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33">
              <w:r>
                <w:rPr>
                  <w:rStyle w:val="InternetLink"/>
                  <w:rFonts w:ascii="Arial;sans-serif" w:hAnsi="Arial;sans-serif"/>
                  <w:b w:val="false"/>
                  <w:color w:val="0000FF"/>
                  <w:sz w:val="20"/>
                  <w:u w:val="single"/>
                </w:rPr>
                <w:t>36</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36">
              <w:r>
                <w:rPr>
                  <w:rStyle w:val="InternetLink"/>
                  <w:rFonts w:ascii="Arial;sans-serif" w:hAnsi="Arial;sans-serif"/>
                  <w:b w:val="false"/>
                  <w:color w:val="0000FF"/>
                  <w:sz w:val="20"/>
                  <w:u w:val="single"/>
                </w:rPr>
                <w:t>Item 4.</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36">
              <w:r>
                <w:rPr>
                  <w:rStyle w:val="InternetLink"/>
                  <w:rFonts w:ascii="Arial;sans-serif" w:hAnsi="Arial;sans-serif"/>
                  <w:b w:val="false"/>
                  <w:color w:val="0000FF"/>
                  <w:sz w:val="20"/>
                  <w:u w:val="single"/>
                </w:rPr>
                <w:t>Controls and Procedures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36">
              <w:r>
                <w:rPr>
                  <w:rStyle w:val="InternetLink"/>
                  <w:rFonts w:ascii="Arial;sans-serif" w:hAnsi="Arial;sans-serif"/>
                  <w:b w:val="false"/>
                  <w:color w:val="0000FF"/>
                  <w:sz w:val="20"/>
                  <w:u w:val="single"/>
                </w:rPr>
                <w:t>37</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1c53d5a633044c4b5e6ca6a13290ff5_139">
              <w:r>
                <w:rPr>
                  <w:rStyle w:val="InternetLink"/>
                  <w:rFonts w:ascii="Arial;sans-serif" w:hAnsi="Arial;sans-serif"/>
                  <w:b/>
                  <w:color w:val="0000FF"/>
                  <w:sz w:val="20"/>
                  <w:u w:val="single"/>
                </w:rPr>
                <w:t>PART II – OTHER INFORMATION</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2">
              <w:r>
                <w:rPr>
                  <w:rStyle w:val="InternetLink"/>
                  <w:rFonts w:ascii="Arial;sans-serif" w:hAnsi="Arial;sans-serif"/>
                  <w:b w:val="false"/>
                  <w:color w:val="0000FF"/>
                  <w:sz w:val="20"/>
                  <w:u w:val="single"/>
                </w:rPr>
                <w:t>Item 1.</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2">
              <w:r>
                <w:rPr>
                  <w:rStyle w:val="InternetLink"/>
                  <w:rFonts w:ascii="Arial;sans-serif" w:hAnsi="Arial;sans-serif"/>
                  <w:b w:val="false"/>
                  <w:color w:val="0000FF"/>
                  <w:sz w:val="20"/>
                  <w:u w:val="single"/>
                </w:rPr>
                <w:t>Legal Proceedings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2">
              <w:r>
                <w:rPr>
                  <w:rStyle w:val="InternetLink"/>
                  <w:rFonts w:ascii="Arial;sans-serif" w:hAnsi="Arial;sans-serif"/>
                  <w:b w:val="false"/>
                  <w:color w:val="0000FF"/>
                  <w:sz w:val="20"/>
                  <w:u w:val="single"/>
                </w:rPr>
                <w:t>39</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5">
              <w:r>
                <w:rPr>
                  <w:rStyle w:val="InternetLink"/>
                  <w:rFonts w:ascii="Arial;sans-serif" w:hAnsi="Arial;sans-serif"/>
                  <w:b w:val="false"/>
                  <w:color w:val="0000FF"/>
                  <w:sz w:val="20"/>
                  <w:u w:val="single"/>
                </w:rPr>
                <w:t>Item 1A.</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5">
              <w:r>
                <w:rPr>
                  <w:rStyle w:val="InternetLink"/>
                  <w:rFonts w:ascii="Arial;sans-serif" w:hAnsi="Arial;sans-serif"/>
                  <w:b w:val="false"/>
                  <w:color w:val="0000FF"/>
                  <w:sz w:val="20"/>
                  <w:u w:val="single"/>
                </w:rPr>
                <w:t>Risk Factors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5">
              <w:r>
                <w:rPr>
                  <w:rStyle w:val="InternetLink"/>
                  <w:rFonts w:ascii="Arial;sans-serif" w:hAnsi="Arial;sans-serif"/>
                  <w:b w:val="false"/>
                  <w:color w:val="0000FF"/>
                  <w:sz w:val="20"/>
                  <w:u w:val="single"/>
                </w:rPr>
                <w:t>39</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8">
              <w:r>
                <w:rPr>
                  <w:rStyle w:val="InternetLink"/>
                  <w:rFonts w:ascii="Arial;sans-serif" w:hAnsi="Arial;sans-serif"/>
                  <w:b w:val="false"/>
                  <w:color w:val="0000FF"/>
                  <w:sz w:val="20"/>
                  <w:u w:val="single"/>
                </w:rPr>
                <w:t>Item 2.</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8">
              <w:r>
                <w:rPr>
                  <w:rStyle w:val="InternetLink"/>
                  <w:rFonts w:ascii="Arial;sans-serif" w:hAnsi="Arial;sans-serif"/>
                  <w:b w:val="false"/>
                  <w:color w:val="0000FF"/>
                  <w:sz w:val="20"/>
                  <w:u w:val="single"/>
                </w:rPr>
                <w:t>Unregistered Sales of Equity Securities and Use of Proceeds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48">
              <w:r>
                <w:rPr>
                  <w:rStyle w:val="InternetLink"/>
                  <w:rFonts w:ascii="Arial;sans-serif" w:hAnsi="Arial;sans-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51">
              <w:r>
                <w:rPr>
                  <w:rStyle w:val="InternetLink"/>
                  <w:rFonts w:ascii="Arial;sans-serif" w:hAnsi="Arial;sans-serif"/>
                  <w:b w:val="false"/>
                  <w:color w:val="000080"/>
                  <w:sz w:val="20"/>
                  <w:u w:val="single"/>
                </w:rPr>
                <w:t xml:space="preserve">Item </w:t>
              </w:r>
            </w:hyperlink>
            <w:hyperlink w:anchor="i81c53d5a633044c4b5e6ca6a13290ff5_151">
              <w:r>
                <w:rPr>
                  <w:rStyle w:val="InternetLink"/>
                  <w:rFonts w:ascii="Arial;sans-serif" w:hAnsi="Arial;sans-serif"/>
                  <w:b w:val="false"/>
                  <w:color w:val="000080"/>
                  <w:sz w:val="20"/>
                  <w:u w:val="single"/>
                </w:rPr>
                <w:t>5</w:t>
              </w:r>
            </w:hyperlink>
            <w:hyperlink w:anchor="i81c53d5a633044c4b5e6ca6a13290ff5_151">
              <w:r>
                <w:rPr>
                  <w:rStyle w:val="InternetLink"/>
                  <w:rFonts w:ascii="Arial;sans-serif" w:hAnsi="Arial;sans-serif"/>
                  <w:b w:val="false"/>
                  <w:color w:val="000080"/>
                  <w:sz w:val="20"/>
                  <w:u w:val="single"/>
                </w:rPr>
                <w:t>.</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51">
              <w:r>
                <w:rPr>
                  <w:rStyle w:val="InternetLink"/>
                  <w:rFonts w:ascii="Arial;sans-serif" w:hAnsi="Arial;sans-serif"/>
                  <w:b w:val="false"/>
                  <w:color w:val="0000FF"/>
                  <w:sz w:val="20"/>
                  <w:u w:val="single"/>
                </w:rPr>
                <w:t>Other Information</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51">
              <w:r>
                <w:rPr>
                  <w:rStyle w:val="InternetLink"/>
                  <w:rFonts w:ascii="Arial;sans-serif" w:hAnsi="Arial;sans-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57">
              <w:r>
                <w:rPr>
                  <w:rStyle w:val="InternetLink"/>
                  <w:rFonts w:ascii="Arial;sans-serif" w:hAnsi="Arial;sans-serif"/>
                  <w:b w:val="false"/>
                  <w:color w:val="0000FF"/>
                  <w:sz w:val="20"/>
                  <w:u w:val="single"/>
                </w:rPr>
                <w:t>Item 6.</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57">
              <w:r>
                <w:rPr>
                  <w:rStyle w:val="InternetLink"/>
                  <w:rFonts w:ascii="Arial;sans-serif" w:hAnsi="Arial;sans-serif"/>
                  <w:b w:val="false"/>
                  <w:color w:val="0000FF"/>
                  <w:sz w:val="20"/>
                  <w:u w:val="single"/>
                </w:rPr>
                <w:t>Exhibits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57">
              <w:r>
                <w:rPr>
                  <w:rStyle w:val="InternetLink"/>
                  <w:rFonts w:ascii="Arial;sans-serif" w:hAnsi="Arial;sans-serif"/>
                  <w:b w:val="false"/>
                  <w:color w:val="0000FF"/>
                  <w:sz w:val="20"/>
                  <w:u w:val="single"/>
                </w:rPr>
                <w:t>45</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60">
              <w:r>
                <w:rPr>
                  <w:rStyle w:val="InternetLink"/>
                  <w:rFonts w:ascii="Arial;sans-serif" w:hAnsi="Arial;sans-serif"/>
                  <w:b w:val="false"/>
                  <w:color w:val="0000FF"/>
                  <w:sz w:val="20"/>
                  <w:u w:val="single"/>
                </w:rPr>
                <w:t>Signatures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c53d5a633044c4b5e6ca6a13290ff5_160">
              <w:r>
                <w:rPr>
                  <w:rStyle w:val="InternetLink"/>
                  <w:rFonts w:ascii="Arial;sans-serif" w:hAnsi="Arial;sans-serif"/>
                  <w:b w:val="false"/>
                  <w:color w:val="0000FF"/>
                  <w:sz w:val="20"/>
                  <w:u w:val="single"/>
                </w:rPr>
                <w:t>46</w:t>
              </w:r>
            </w:hyperlink>
          </w:p>
        </w:tc>
      </w:tr>
    </w:tbl>
    <w:p>
      <w:pPr>
        <w:pStyle w:val="TextBody"/>
        <w:bidi w:val="0"/>
        <w:spacing w:before="0" w:after="0"/>
        <w:jc w:val="left"/>
        <w:rPr/>
      </w:pPr>
      <w:r>
        <w:rPr/>
      </w:r>
    </w:p>
    <w:p>
      <w:pPr>
        <w:pStyle w:val="TextBody"/>
        <w:bidi w:val="0"/>
        <w:spacing w:lineRule="auto" w:line="288" w:before="0" w:after="240"/>
        <w:ind w:left="0" w:right="0" w:firstLine="363"/>
        <w:jc w:val="left"/>
        <w:rPr>
          <w:rFonts w:ascii="Arial;sans-serif" w:hAnsi="Arial;sans-serif"/>
          <w:b/>
          <w:color w:val="000000"/>
          <w:sz w:val="20"/>
        </w:rPr>
      </w:pPr>
      <w:r>
        <w:rPr>
          <w:rFonts w:ascii="Arial;sans-serif" w:hAnsi="Arial;sans-serif"/>
          <w:b/>
          <w:color w:val="000000"/>
          <w:sz w:val="20"/>
        </w:rPr>
        <w:t>Where You Can Find More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Investors and others should note that we may announce material business and financial information to our investors using our investor relations website (https://investors.tenable.com), our filings with the Securities and Exchange Commission (SEC), our website, webcasts, press releases, and conference calls. We use these mediums, including our website, to communicate with investors and the general public about our company, our products, and other issues, and for complying with our disclosure obligations under Regulation FD. It is possible that the information that we make available on our website may be deemed to be material information. We therefore encourage investors and others interested in our company to review the information that we make available on our website, in addition to following our SEC filings, our webcasts, press releases, and conference calls. The information we post through these channels is not a part of this Quarterly Report on Form 10-Q. These channels may be updated from time to time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648"/>
        <w:gridCol w:w="2146"/>
        <w:gridCol w:w="2159"/>
        <w:gridCol w:w="211"/>
        <w:gridCol w:w="1021"/>
        <w:gridCol w:w="109"/>
        <w:gridCol w:w="109"/>
        <w:gridCol w:w="109"/>
        <w:gridCol w:w="109"/>
        <w:gridCol w:w="240"/>
        <w:gridCol w:w="1166"/>
        <w:gridCol w:w="178"/>
      </w:tblGrid>
      <w:tr>
        <w:trPr/>
        <w:tc>
          <w:tcPr>
            <w:tcW w:w="264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6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Assets </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 of $691 and $525 at June 30, 2025 and December 31, 2024,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assets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940,745 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Property and equipment, net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541,292 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assets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assets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1,742,119 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liabilities: </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650,372 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liabilities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738,092 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Deferred revenue (net of current portion)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356,705 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liabilities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liabilities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1,342,165 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(par value: $0.01; 500,000 shares authorized; 127,352 and 122,371 shares issued at June 30, 2025 and December 31, 2024,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1,374,659 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6,365 and 2,673 shares at June 30, 2025 and December 31, 2024,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(861,336)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399,954 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1,742,119 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79"/>
        <w:gridCol w:w="1344"/>
        <w:gridCol w:w="135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77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Weighted-average shares used to compute net loss per share, basic and diluted</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118,681 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LOSS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85"/>
        <w:gridCol w:w="1471"/>
        <w:gridCol w:w="1480"/>
        <w:gridCol w:w="213"/>
        <w:gridCol w:w="818"/>
        <w:gridCol w:w="109"/>
        <w:gridCol w:w="109"/>
        <w:gridCol w:w="109"/>
        <w:gridCol w:w="109"/>
        <w:gridCol w:w="213"/>
        <w:gridCol w:w="818"/>
        <w:gridCol w:w="109"/>
        <w:gridCol w:w="109"/>
        <w:gridCol w:w="109"/>
        <w:gridCol w:w="109"/>
        <w:gridCol w:w="211"/>
        <w:gridCol w:w="807"/>
        <w:gridCol w:w="109"/>
        <w:gridCol w:w="109"/>
        <w:gridCol w:w="109"/>
        <w:gridCol w:w="109"/>
        <w:gridCol w:w="211"/>
        <w:gridCol w:w="807"/>
        <w:gridCol w:w="163"/>
      </w:tblGrid>
      <w:tr>
        <w:trPr/>
        <w:tc>
          <w:tcPr>
            <w:tcW w:w="168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Unrealized losses on available-for-sale securities, net </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(29,267)</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670"/>
        <w:gridCol w:w="365"/>
        <w:gridCol w:w="367"/>
        <w:gridCol w:w="323"/>
        <w:gridCol w:w="323"/>
        <w:gridCol w:w="186"/>
        <w:gridCol w:w="109"/>
        <w:gridCol w:w="109"/>
        <w:gridCol w:w="109"/>
        <w:gridCol w:w="181"/>
        <w:gridCol w:w="496"/>
        <w:gridCol w:w="109"/>
        <w:gridCol w:w="109"/>
        <w:gridCol w:w="109"/>
        <w:gridCol w:w="109"/>
        <w:gridCol w:w="181"/>
        <w:gridCol w:w="766"/>
        <w:gridCol w:w="109"/>
        <w:gridCol w:w="109"/>
        <w:gridCol w:w="109"/>
        <w:gridCol w:w="109"/>
        <w:gridCol w:w="182"/>
        <w:gridCol w:w="657"/>
        <w:gridCol w:w="110"/>
        <w:gridCol w:w="109"/>
        <w:gridCol w:w="109"/>
        <w:gridCol w:w="109"/>
        <w:gridCol w:w="323"/>
        <w:gridCol w:w="673"/>
        <w:gridCol w:w="197"/>
        <w:gridCol w:w="109"/>
        <w:gridCol w:w="109"/>
        <w:gridCol w:w="109"/>
        <w:gridCol w:w="188"/>
        <w:gridCol w:w="681"/>
        <w:gridCol w:w="113"/>
        <w:gridCol w:w="109"/>
        <w:gridCol w:w="109"/>
        <w:gridCol w:w="109"/>
        <w:gridCol w:w="191"/>
        <w:gridCol w:w="682"/>
        <w:gridCol w:w="170"/>
      </w:tblGrid>
      <w:tr>
        <w:trPr/>
        <w:tc>
          <w:tcPr>
            <w:tcW w:w="67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br/>
              <w:t>Stockholders’</w:t>
              <w:br/>
              <w:t>Equity</w:t>
            </w:r>
          </w:p>
        </w:tc>
      </w:tr>
      <w:tr>
        <w:trPr/>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(in thousands)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124,484 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1,440,770 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(174,911)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(884,271)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383,161 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Vesting of performance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restricted stock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Taxes paid related to net share settlement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Purchase of treasury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(64,999)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(64,999)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Fair value of replacement equity attributable to pre-acquisition service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46,676 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(14,706)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(14,706)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June 30,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127,352 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1,489,379 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(241,239)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(898,977)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350,699 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December 31, 2024</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122,371 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1,374,659 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(114,911)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(861,336)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399,954 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Vesting of performance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restricted stock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Taxes paid related to net share settlement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Purchase of treasury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(124,999)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(124,999)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Fair value of replacement equity attributable to pre-acquisition service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102,725 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(37,641)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(37,641)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June 30,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127,352 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1,489,379 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(241,239)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(898,977)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350,699 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March 31, 2024</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119,625 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1,237,283 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(39,925)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(839,421)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358,948 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Vesting of performance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Purchase of treasury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(25,000)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Fair value of replacement equity attributable to pre-acquisition service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41,974 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(14,572)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(14,572)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June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120,461 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1,281,545 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(64,925)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(271)</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(853,993)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363,561 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December 31, 2023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117,504 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1,185,100 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(14,934)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(825,035)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346,344 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Vesting of performance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Purchase of treasury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(49,991)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(49,991)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Fair value of replacement equity attributable to pre-acquisition service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82,420 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(28,958)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(28,958)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June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120,461 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1,281,545 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(64,925)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(271)</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(853,993)</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363,561 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12"/>
        <w:gridCol w:w="2183"/>
        <w:gridCol w:w="2187"/>
        <w:gridCol w:w="317"/>
        <w:gridCol w:w="1291"/>
        <w:gridCol w:w="164"/>
        <w:gridCol w:w="109"/>
        <w:gridCol w:w="109"/>
        <w:gridCol w:w="109"/>
        <w:gridCol w:w="211"/>
        <w:gridCol w:w="856"/>
        <w:gridCol w:w="157"/>
      </w:tblGrid>
      <w:tr>
        <w:trPr/>
        <w:tc>
          <w:tcPr>
            <w:tcW w:w="2512"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accretion of discounts and amortization of premiums on short-term investments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accrued expenses and accrued compensation</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(83,338)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maturities of short-term investments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other investments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other investments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combinations, net of cash acquired</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(196,182)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(168,766)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term loan</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stock issued in connection with the employee stock purchase plan</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taxes related to net share settlement of equity awards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(124,999)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(116,304)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and restricted cash</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 and restricted cash</w:t>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(153,622)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period</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and restricted cash at end of period</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175,025 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 net of refunds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cash flow information related to leases:</w:t>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payments for operating leases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1. Business and Summary of Significant Accounting Policies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Business Description</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Tenable Holdings, Inc. (the “Company,” “we,” "us," or “our”) is a provider of exposure management solutions. Exposure management </w:t>
      </w:r>
      <w:r>
        <w:rPr>
          <w:rFonts w:ascii="sans-serif" w:hAnsi="sans-serif"/>
          <w:b w:val="false"/>
          <w:color w:val="000000"/>
          <w:sz w:val="22"/>
        </w:rPr>
        <w:t>i</w:t>
      </w:r>
      <w:r>
        <w:rPr>
          <w:rFonts w:ascii="Arial;sans-serif" w:hAnsi="Arial;sans-serif"/>
          <w:b w:val="false"/>
          <w:color w:val="000000"/>
          <w:sz w:val="20"/>
        </w:rPr>
        <w:t>s the evolution of vulnerability management, advancing risk assessment and prioritization across the entire attack surface – from IT infrastructure to cloud environments to critical infrastructure. We unify security visibility, insight and action across this attack surface, equipping modern organizations to expose and close the cybersecurity gaps that erode business value, reputation and trust.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accompanying consolidated financial statements include the accounts of Tenable Holdings, Inc. and our wholly owned subsidiaries and have been prepared in conformity with United States generally accepted accounting principles (“GAAP”) for interim financial information. All intercompany accounts and transactions have been eliminated in consolidation.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consolidated statements are unaudited and should be read in conjunction with the consolidated financial statements and related notes included in our 2024 Annual Report on Form 10-K ("10-K") filed with the Securities and Exchange Commission on February 24, 2025.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results for the three and six months ended June 30, 2025 are not necessarily indicative of the operating results expected for the year ending December 31, 2025 or any other future period.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significant accounting policies are described in our 10-K. During the six months ended June 30, 2025, there were no material changes to our significant accounting policies from those described in our 10-K.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December 2023, the Financial Accounting Standards Board ("FASB") issued Accounting Standards Update ("ASU") 2023-09 - Income Taxes (Topic 740): Improvements to Income Tax Disclosures, which requires public entities to provide greater disaggregation within their annual rate reconciliation, including new requirements to present reconciling items on a gross basis in specified categories, disclose both percentages and dollar amounts, and disaggregate individual reconciling items by jurisdiction and nature when the effect of the items meet a quantitative threshold. The guidance also requires disaggregating the annual disclosure of income taxes paid, net of refunds received, by federal (national), state,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foreign taxes, with separate presentation of individual jurisdictions that meet a quantitative threshold. The guidance is effective for our annual periods beginning January 1, 2025 on a prospective basis, with a retrospective option. Adopting this guidance will result in additional annual tax disclosures but will not impact our provision for income taxes, deferred tax assets or deferred tax liabilities.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November 2024, the FASB issued ASU 2024-03 - Income Statement - Reporting Comprehensive Income - Expense Disaggregation Disclosures (Subtopic 220-40): Disaggregation of Income Statement Expenses, which requires public entities to disclose, on an annual and interim basis, disaggregated information about certain income statement expense line items. The ASU also requires disclosure of the total amount of selling expenses recognized in continuing operations on an annual and interim basis and disclosure of a public business entity’s definition of selling expenses on an annual basis (or in interim reporting periods if the definition is changed). In January 2025, the FASB issued ASU 2025-01 - Income Statement - Reporting Comprehensive Income - Expense Disaggregation Disclosures (Subtopic 220-40): Clarifying the Effective Date to highlight the effective date of ASU 2024-03. The guidance is effective for our annual periods beginning on January 1, 2027 on a prospective basis, with a retrospective option, and interim reporting periods beginning on January 1, 2028. Early adoption is permitted. We are currently evaluating the impact of adopting this standard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2.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summary of revenue:</w:t>
      </w:r>
    </w:p>
    <w:tbl>
      <w:tblPr>
        <w:tblW w:w="9645" w:type="dxa"/>
        <w:jc w:val="left"/>
        <w:tblInd w:w="0" w:type="dxa"/>
        <w:tblLayout w:type="fixed"/>
        <w:tblCellMar>
          <w:top w:w="28" w:type="dxa"/>
          <w:left w:w="28" w:type="dxa"/>
          <w:bottom w:w="28" w:type="dxa"/>
          <w:right w:w="28" w:type="dxa"/>
        </w:tblCellMar>
      </w:tblPr>
      <w:tblGrid>
        <w:gridCol w:w="1419"/>
        <w:gridCol w:w="1247"/>
        <w:gridCol w:w="124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437,202 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i/>
          <w:color w:val="000000"/>
          <w:sz w:val="20"/>
        </w:rPr>
      </w:pPr>
      <w:r>
        <w:rPr>
          <w:rFonts w:ascii="Arial;sans-serif" w:hAnsi="Arial;sans-serif"/>
          <w:b/>
          <w:i/>
          <w:color w:val="000000"/>
          <w:sz w:val="20"/>
        </w:rPr>
        <w:t xml:space="preserve">Concentrations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94% of revenue in the three and six months ended June 30, 2025 and 94% and 92% of revenue in the three and six months ended June 30, 2024, respectively. One of our distributors accounted for 32% of revenue in the three and six months ended June 30, 2025 and 34% of revenue in the three and six months ended June 30, 2024. That same distributor accounted for 31% and 29% of accounts receivable at June 30, 2025 and December 31, 2024, respectively.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June 30, 2025 and 2024 and the six months ended June 30, 2025 and 2024, we recognized revenue of $231.1 million, $205.1 million, $412.0 million and $368.7 million, respectively, that was included in the deferred revenue balance at the beginning of each respective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Remaining Performance Obligations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summarizes the future estimated revenue related to unsatisfied performance obligations:</w:t>
      </w:r>
    </w:p>
    <w:tbl>
      <w:tblPr>
        <w:tblW w:w="6893" w:type="dxa"/>
        <w:jc w:val="left"/>
        <w:tblInd w:w="0" w:type="dxa"/>
        <w:tblLayout w:type="fixed"/>
        <w:tblCellMar>
          <w:top w:w="28" w:type="dxa"/>
          <w:left w:w="28" w:type="dxa"/>
          <w:bottom w:w="28" w:type="dxa"/>
          <w:right w:w="28" w:type="dxa"/>
        </w:tblCellMar>
      </w:tblPr>
      <w:tblGrid>
        <w:gridCol w:w="1512"/>
        <w:gridCol w:w="1327"/>
        <w:gridCol w:w="1330"/>
        <w:gridCol w:w="211"/>
        <w:gridCol w:w="856"/>
        <w:gridCol w:w="109"/>
        <w:gridCol w:w="109"/>
        <w:gridCol w:w="109"/>
        <w:gridCol w:w="109"/>
        <w:gridCol w:w="211"/>
        <w:gridCol w:w="856"/>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 short-term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 long-term</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Deferred Commissions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summarizes the activity of deferred incremental costs of obtaining a contract:</w:t>
      </w:r>
    </w:p>
    <w:tbl>
      <w:tblPr>
        <w:tblW w:w="10205" w:type="dxa"/>
        <w:jc w:val="center"/>
        <w:tblInd w:w="0" w:type="dxa"/>
        <w:tblLayout w:type="fixed"/>
        <w:tblCellMar>
          <w:top w:w="28" w:type="dxa"/>
          <w:left w:w="28" w:type="dxa"/>
          <w:bottom w:w="28" w:type="dxa"/>
          <w:right w:w="28" w:type="dxa"/>
        </w:tblCellMar>
      </w:tblPr>
      <w:tblGrid>
        <w:gridCol w:w="1624"/>
        <w:gridCol w:w="1423"/>
        <w:gridCol w:w="142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Capitalization of contract acquisition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115,529 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3. Cash Equivalents and Short-Term Investments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summarize the amortized cost, unrealized gain and loss and estimated fair value of cash equivalents and short-term investments:</w:t>
      </w:r>
    </w:p>
    <w:tbl>
      <w:tblPr>
        <w:tblW w:w="10205" w:type="dxa"/>
        <w:jc w:val="center"/>
        <w:tblInd w:w="0" w:type="dxa"/>
        <w:tblLayout w:type="fixed"/>
        <w:tblCellMar>
          <w:top w:w="28" w:type="dxa"/>
          <w:left w:w="28" w:type="dxa"/>
          <w:bottom w:w="28" w:type="dxa"/>
          <w:right w:w="28" w:type="dxa"/>
        </w:tblCellMar>
      </w:tblPr>
      <w:tblGrid>
        <w:gridCol w:w="1150"/>
        <w:gridCol w:w="996"/>
        <w:gridCol w:w="993"/>
        <w:gridCol w:w="252"/>
        <w:gridCol w:w="1025"/>
        <w:gridCol w:w="130"/>
        <w:gridCol w:w="109"/>
        <w:gridCol w:w="109"/>
        <w:gridCol w:w="109"/>
        <w:gridCol w:w="368"/>
        <w:gridCol w:w="843"/>
        <w:gridCol w:w="192"/>
        <w:gridCol w:w="109"/>
        <w:gridCol w:w="109"/>
        <w:gridCol w:w="109"/>
        <w:gridCol w:w="414"/>
        <w:gridCol w:w="799"/>
        <w:gridCol w:w="216"/>
        <w:gridCol w:w="109"/>
        <w:gridCol w:w="109"/>
        <w:gridCol w:w="109"/>
        <w:gridCol w:w="317"/>
        <w:gridCol w:w="1289"/>
        <w:gridCol w:w="240"/>
      </w:tblGrid>
      <w:tr>
        <w:trPr/>
        <w:tc>
          <w:tcPr>
            <w:tcW w:w="115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94,204 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Yankee bonds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79,864 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211,489 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150"/>
        <w:gridCol w:w="996"/>
        <w:gridCol w:w="993"/>
        <w:gridCol w:w="252"/>
        <w:gridCol w:w="1025"/>
        <w:gridCol w:w="130"/>
        <w:gridCol w:w="109"/>
        <w:gridCol w:w="109"/>
        <w:gridCol w:w="109"/>
        <w:gridCol w:w="368"/>
        <w:gridCol w:w="843"/>
        <w:gridCol w:w="192"/>
        <w:gridCol w:w="109"/>
        <w:gridCol w:w="109"/>
        <w:gridCol w:w="109"/>
        <w:gridCol w:w="375"/>
        <w:gridCol w:w="859"/>
        <w:gridCol w:w="195"/>
        <w:gridCol w:w="109"/>
        <w:gridCol w:w="109"/>
        <w:gridCol w:w="109"/>
        <w:gridCol w:w="317"/>
        <w:gridCol w:w="1289"/>
        <w:gridCol w:w="240"/>
      </w:tblGrid>
      <w:tr>
        <w:trPr/>
        <w:tc>
          <w:tcPr>
            <w:tcW w:w="115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190,750 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190,750 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41,604 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95,410 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30,796 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Yankee bonds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248,547 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June 30, 2025 and December 31, 2024, our unrealized losses were due to rising market interest rates compared to when the investments were initiated. We do not believe any unrealized losses represent credit losses, and it is unlikely we would sell the investments before we would recover their amortized cost basis.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contractual maturities of our short-term investments are as follows:</w:t>
      </w:r>
    </w:p>
    <w:tbl>
      <w:tblPr>
        <w:tblW w:w="10205" w:type="dxa"/>
        <w:jc w:val="left"/>
        <w:tblInd w:w="0" w:type="dxa"/>
        <w:tblLayout w:type="fixed"/>
        <w:tblCellMar>
          <w:top w:w="28" w:type="dxa"/>
          <w:left w:w="28" w:type="dxa"/>
          <w:bottom w:w="28" w:type="dxa"/>
          <w:right w:w="28" w:type="dxa"/>
        </w:tblCellMar>
      </w:tblPr>
      <w:tblGrid>
        <w:gridCol w:w="1000"/>
        <w:gridCol w:w="865"/>
        <w:gridCol w:w="867"/>
        <w:gridCol w:w="253"/>
        <w:gridCol w:w="1029"/>
        <w:gridCol w:w="130"/>
        <w:gridCol w:w="109"/>
        <w:gridCol w:w="109"/>
        <w:gridCol w:w="109"/>
        <w:gridCol w:w="324"/>
        <w:gridCol w:w="1317"/>
        <w:gridCol w:w="166"/>
        <w:gridCol w:w="109"/>
        <w:gridCol w:w="109"/>
        <w:gridCol w:w="109"/>
        <w:gridCol w:w="253"/>
        <w:gridCol w:w="1029"/>
        <w:gridCol w:w="130"/>
        <w:gridCol w:w="109"/>
        <w:gridCol w:w="109"/>
        <w:gridCol w:w="109"/>
        <w:gridCol w:w="319"/>
        <w:gridCol w:w="1299"/>
        <w:gridCol w:w="243"/>
      </w:tblGrid>
      <w:tr>
        <w:trPr/>
        <w:tc>
          <w:tcPr>
            <w:tcW w:w="100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within one year</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204,532 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between one and two years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44,015 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211,489 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248,547 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June 30, 2025 and December 31, 2024, cash and cash equivalents included $8.5 million and $8.2 million, respectively, of restricted cash related to collateral for outstanding letters of credit and an operating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4. Fair Value Measurements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We measure certain financial instruments at fair value using a fair value hierarchy. In the hierarchy, assets are classified based on the lowest level inputs used in valuation into the following categories:</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Level 1</w:t>
      </w:r>
      <w:r>
        <w:rPr>
          <w:color w:val="000000"/>
        </w:rPr>
        <w:t xml:space="preserve"> — </w:t>
      </w:r>
      <w:r>
        <w:rPr>
          <w:rFonts w:ascii="Arial;sans-serif" w:hAnsi="Arial;sans-serif"/>
          <w:b w:val="false"/>
          <w:color w:val="000000"/>
          <w:sz w:val="20"/>
        </w:rPr>
        <w:t>Quoted prices in active markets for identical assets and liabilities;</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Level 2</w:t>
      </w:r>
      <w:r>
        <w:rPr>
          <w:color w:val="000000"/>
        </w:rPr>
        <w:t xml:space="preserve"> — </w:t>
      </w:r>
      <w:r>
        <w:rPr>
          <w:rFonts w:ascii="Arial;sans-serif" w:hAnsi="Arial;sans-serif"/>
          <w:b w:val="false"/>
          <w:color w:val="000000"/>
          <w:sz w:val="20"/>
        </w:rPr>
        <w:t>Observable inputs including quoted market prices for similar assets and liabilities in active markets, quoted prices for identical assets and liabilities in inactive markets, or inputs that are corroborated by observable market data; and</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Level 3</w:t>
      </w:r>
      <w:r>
        <w:rPr>
          <w:color w:val="000000"/>
        </w:rPr>
        <w:t xml:space="preserve"> — </w:t>
      </w:r>
      <w:r>
        <w:rPr>
          <w:rFonts w:ascii="Arial;sans-serif" w:hAnsi="Arial;sans-serif"/>
          <w:b w:val="false"/>
          <w:color w:val="000000"/>
          <w:sz w:val="20"/>
        </w:rPr>
        <w:t>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summarize assets that are measured at fair value on a recurring basis:</w:t>
      </w:r>
    </w:p>
    <w:tbl>
      <w:tblPr>
        <w:tblW w:w="8564" w:type="dxa"/>
        <w:jc w:val="center"/>
        <w:tblInd w:w="0" w:type="dxa"/>
        <w:tblLayout w:type="fixed"/>
        <w:tblCellMar>
          <w:top w:w="28" w:type="dxa"/>
          <w:left w:w="28" w:type="dxa"/>
          <w:bottom w:w="28" w:type="dxa"/>
          <w:right w:w="28" w:type="dxa"/>
        </w:tblCellMar>
      </w:tblPr>
      <w:tblGrid>
        <w:gridCol w:w="1230"/>
        <w:gridCol w:w="1078"/>
        <w:gridCol w:w="1081"/>
        <w:gridCol w:w="211"/>
        <w:gridCol w:w="751"/>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Yankee bonds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69" w:type="dxa"/>
        <w:jc w:val="center"/>
        <w:tblInd w:w="0" w:type="dxa"/>
        <w:tblLayout w:type="fixed"/>
        <w:tblCellMar>
          <w:top w:w="28" w:type="dxa"/>
          <w:left w:w="28" w:type="dxa"/>
          <w:bottom w:w="28" w:type="dxa"/>
          <w:right w:w="28" w:type="dxa"/>
        </w:tblCellMar>
      </w:tblPr>
      <w:tblGrid>
        <w:gridCol w:w="1230"/>
        <w:gridCol w:w="1078"/>
        <w:gridCol w:w="1081"/>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Yankee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Other Investments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investments in privately held securities were as follows:</w:t>
      </w:r>
    </w:p>
    <w:tbl>
      <w:tblPr>
        <w:tblW w:w="5725" w:type="dxa"/>
        <w:jc w:val="center"/>
        <w:tblInd w:w="0" w:type="dxa"/>
        <w:tblLayout w:type="fixed"/>
        <w:tblCellMar>
          <w:top w:w="28" w:type="dxa"/>
          <w:left w:w="28" w:type="dxa"/>
          <w:bottom w:w="28" w:type="dxa"/>
          <w:right w:w="28" w:type="dxa"/>
        </w:tblCellMar>
      </w:tblPr>
      <w:tblGrid>
        <w:gridCol w:w="832"/>
        <w:gridCol w:w="730"/>
        <w:gridCol w:w="732"/>
        <w:gridCol w:w="281"/>
        <w:gridCol w:w="863"/>
        <w:gridCol w:w="145"/>
        <w:gridCol w:w="109"/>
        <w:gridCol w:w="109"/>
        <w:gridCol w:w="109"/>
        <w:gridCol w:w="377"/>
        <w:gridCol w:w="1160"/>
        <w:gridCol w:w="278"/>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and other securities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investments</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Other investments are classified as Level 3 as they do not have readily determinable market values.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2025, we received $0.7 million in proceeds from one of our SAFE investments and subsequently collected the remaining $0.2 million.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did not have any liabilities measured and recorded at fair value on a recurring basis at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5. Property and Equipment, Net</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Property and equipment, net consisted of the following:</w:t>
      </w:r>
    </w:p>
    <w:tbl>
      <w:tblPr>
        <w:tblW w:w="7844" w:type="dxa"/>
        <w:jc w:val="left"/>
        <w:tblInd w:w="0" w:type="dxa"/>
        <w:tblLayout w:type="fixed"/>
        <w:tblCellMar>
          <w:top w:w="28" w:type="dxa"/>
          <w:left w:w="28" w:type="dxa"/>
          <w:bottom w:w="28" w:type="dxa"/>
          <w:right w:w="28" w:type="dxa"/>
        </w:tblCellMar>
      </w:tblPr>
      <w:tblGrid>
        <w:gridCol w:w="1582"/>
        <w:gridCol w:w="1395"/>
        <w:gridCol w:w="1402"/>
        <w:gridCol w:w="633"/>
        <w:gridCol w:w="342"/>
        <w:gridCol w:w="349"/>
        <w:gridCol w:w="109"/>
        <w:gridCol w:w="109"/>
        <w:gridCol w:w="109"/>
        <w:gridCol w:w="807"/>
        <w:gridCol w:w="416"/>
        <w:gridCol w:w="591"/>
      </w:tblGrid>
      <w:tr>
        <w:trPr/>
        <w:tc>
          <w:tcPr>
            <w:tcW w:w="15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Computer software and equipment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21,051</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Internally developed software</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39,944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90,659</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(57,889)</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(51,394)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39,265</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Depreciation and amortization related to property and equipment was $4.3 million, $2.8 million, $8.3 million and $6.4 million in the three months ended June 30, 2025 and 2024 and the six months ended June 30, 2025 and 2024, respectively.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three months ended June 30, 2024, we recorded a $4.5 million impairment for furniture and fixtures and leasehold improvements. See Note 7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6. Acquisitions, Goodwill and Intangible Assets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Acquisitions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June 2025, we acquired Apex Security, Inc. ("Apex"), an innovator in securing the rapidly expanding AI attack surface. This acquisition is expected to strengthen our ability to help organizations identify and reduce cyber risk, adding the ability to govern usage, enforce policy, and control exposure across both the AI that organizations use and the AI they build. We acquired 100% of Apex's equity through a share purchase agreement for total consideration of $47.8 million, including $47.7 million in cash, net of $2.0 million cash acquired, and $0.1 million fair value of replacement equity.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February 2025, we acquired Vulcan Cyber Ltd. ("Vulcan"), an innovator in cyber risk management. This acquisition is expected to add enhanced visibility, extended third-party data flows, risk prioritization and optimized remediation to strengthen our Tenable One Exposure Management platform. We acquired 100% of Vulcan's equity through a share purchase agreement for total cash consideration of $148.5 million, net of $2.3 million cash acquired.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Cash consideration, net of cash acquired, was preliminarily allocated as follows:</w:t>
      </w:r>
    </w:p>
    <w:tbl>
      <w:tblPr>
        <w:tblW w:w="4509" w:type="dxa"/>
        <w:jc w:val="left"/>
        <w:tblInd w:w="0" w:type="dxa"/>
        <w:tblLayout w:type="fixed"/>
        <w:tblCellMar>
          <w:top w:w="28" w:type="dxa"/>
          <w:left w:w="28" w:type="dxa"/>
          <w:bottom w:w="28" w:type="dxa"/>
          <w:right w:w="28" w:type="dxa"/>
        </w:tblCellMar>
      </w:tblPr>
      <w:tblGrid>
        <w:gridCol w:w="683"/>
        <w:gridCol w:w="602"/>
        <w:gridCol w:w="605"/>
        <w:gridCol w:w="211"/>
        <w:gridCol w:w="751"/>
        <w:gridCol w:w="109"/>
        <w:gridCol w:w="109"/>
        <w:gridCol w:w="109"/>
        <w:gridCol w:w="109"/>
        <w:gridCol w:w="211"/>
        <w:gridCol w:w="85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Vulcan</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purchase price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Intangible assets acquired during the six months ended June 30, 2025 included Apex's proprietary technology for $6.8 million with an estimated useful life of 5 years and Vulcan's proprietary technology for $40.0 million with an estimated useful life of 7 years.</w:t>
      </w:r>
    </w:p>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still finalizing the allocation of the purchase price for Vulcan and Apex, which may change as additional information becomes available, including the valuation of acquired intangible assets, working capital and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The results of operations of Vulcan and Apex are included in our consolidated statements of operations from the acquisition date and were not material. Pro forma results of operations are not presented as they are not material to the consolidated statement of operations.</w:t>
      </w:r>
    </w:p>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Acquisition-related expenses are included in our consolidated statements of operations as follows:</w:t>
      </w:r>
    </w:p>
    <w:tbl>
      <w:tblPr>
        <w:tblW w:w="8479" w:type="dxa"/>
        <w:jc w:val="left"/>
        <w:tblInd w:w="0" w:type="dxa"/>
        <w:tblLayout w:type="fixed"/>
        <w:tblCellMar>
          <w:top w:w="28" w:type="dxa"/>
          <w:left w:w="28" w:type="dxa"/>
          <w:bottom w:w="28" w:type="dxa"/>
          <w:right w:w="28" w:type="dxa"/>
        </w:tblCellMar>
      </w:tblPr>
      <w:tblGrid>
        <w:gridCol w:w="1116"/>
        <w:gridCol w:w="984"/>
        <w:gridCol w:w="989"/>
        <w:gridCol w:w="264"/>
        <w:gridCol w:w="810"/>
        <w:gridCol w:w="136"/>
        <w:gridCol w:w="136"/>
        <w:gridCol w:w="136"/>
        <w:gridCol w:w="136"/>
        <w:gridCol w:w="264"/>
        <w:gridCol w:w="603"/>
        <w:gridCol w:w="136"/>
        <w:gridCol w:w="109"/>
        <w:gridCol w:w="109"/>
        <w:gridCol w:w="109"/>
        <w:gridCol w:w="241"/>
        <w:gridCol w:w="738"/>
        <w:gridCol w:w="124"/>
        <w:gridCol w:w="124"/>
        <w:gridCol w:w="124"/>
        <w:gridCol w:w="124"/>
        <w:gridCol w:w="241"/>
        <w:gridCol w:w="550"/>
        <w:gridCol w:w="176"/>
      </w:tblGrid>
      <w:tr>
        <w:trPr/>
        <w:tc>
          <w:tcPr>
            <w:tcW w:w="111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Sales and marketing</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acquisition-related expenses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Goodwill and Acquired Intangible Assets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changes in the carrying amount of goodwill are as follows:</w:t>
      </w:r>
    </w:p>
    <w:tbl>
      <w:tblPr>
        <w:tblW w:w="3856" w:type="dxa"/>
        <w:jc w:val="left"/>
        <w:tblInd w:w="0" w:type="dxa"/>
        <w:tblLayout w:type="fixed"/>
        <w:tblCellMar>
          <w:top w:w="28" w:type="dxa"/>
          <w:left w:w="28" w:type="dxa"/>
          <w:bottom w:w="28" w:type="dxa"/>
          <w:right w:w="28" w:type="dxa"/>
        </w:tblCellMar>
      </w:tblPr>
      <w:tblGrid>
        <w:gridCol w:w="1016"/>
        <w:gridCol w:w="892"/>
        <w:gridCol w:w="896"/>
        <w:gridCol w:w="211"/>
        <w:gridCol w:w="348"/>
        <w:gridCol w:w="493"/>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541,292</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goodwill</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156,477</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697,769</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excess purchase consideration over the fair value of acquired assets and liabilities is recorded as goodwill. The acquired goodwill reflects the synergies we expect from marketing and selling new capabilities from Vulcan and Apex to our customers. Acquired goodwill is generally not tax deductible.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Acquired intangible assets subject to amortization are as follows:</w:t>
      </w:r>
    </w:p>
    <w:tbl>
      <w:tblPr>
        <w:tblW w:w="10205" w:type="dxa"/>
        <w:jc w:val="left"/>
        <w:tblInd w:w="0" w:type="dxa"/>
        <w:tblLayout w:type="fixed"/>
        <w:tblCellMar>
          <w:top w:w="28" w:type="dxa"/>
          <w:left w:w="28" w:type="dxa"/>
          <w:bottom w:w="28" w:type="dxa"/>
          <w:right w:w="28" w:type="dxa"/>
        </w:tblCellMar>
      </w:tblPr>
      <w:tblGrid>
        <w:gridCol w:w="429"/>
        <w:gridCol w:w="340"/>
        <w:gridCol w:w="341"/>
        <w:gridCol w:w="220"/>
        <w:gridCol w:w="895"/>
        <w:gridCol w:w="113"/>
        <w:gridCol w:w="109"/>
        <w:gridCol w:w="109"/>
        <w:gridCol w:w="109"/>
        <w:gridCol w:w="257"/>
        <w:gridCol w:w="917"/>
        <w:gridCol w:w="134"/>
        <w:gridCol w:w="109"/>
        <w:gridCol w:w="109"/>
        <w:gridCol w:w="109"/>
        <w:gridCol w:w="218"/>
        <w:gridCol w:w="886"/>
        <w:gridCol w:w="112"/>
        <w:gridCol w:w="109"/>
        <w:gridCol w:w="109"/>
        <w:gridCol w:w="109"/>
        <w:gridCol w:w="220"/>
        <w:gridCol w:w="895"/>
        <w:gridCol w:w="113"/>
        <w:gridCol w:w="109"/>
        <w:gridCol w:w="109"/>
        <w:gridCol w:w="109"/>
        <w:gridCol w:w="257"/>
        <w:gridCol w:w="917"/>
        <w:gridCol w:w="134"/>
        <w:gridCol w:w="109"/>
        <w:gridCol w:w="109"/>
        <w:gridCol w:w="109"/>
        <w:gridCol w:w="219"/>
        <w:gridCol w:w="782"/>
        <w:gridCol w:w="171"/>
      </w:tblGrid>
      <w:tr>
        <w:trPr/>
        <w:tc>
          <w:tcPr>
            <w:tcW w:w="42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technology</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(67,377)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(54,976)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196,727 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(67,867)</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128,860 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149,927 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(55,466)</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94,461 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Amortization of acquired intangible assets was $6.5 million, $4.8 million, $12.4 million and $9.4 million in the three months ended June 30, 2025 and 2024, and the six months ended June 30, 2025 and 2024, respectively. At June 30, 2025, our acquired intangible assets are expected to be amortized over an estimated remaining weighted average period of 5.4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At June 30, 2025, estimated future amortization of acquired intangible assets is as follows:</w:t>
      </w:r>
    </w:p>
    <w:tbl>
      <w:tblPr>
        <w:tblW w:w="3651" w:type="dxa"/>
        <w:jc w:val="center"/>
        <w:tblInd w:w="0" w:type="dxa"/>
        <w:tblLayout w:type="fixed"/>
        <w:tblCellMar>
          <w:top w:w="28" w:type="dxa"/>
          <w:left w:w="28" w:type="dxa"/>
          <w:bottom w:w="28" w:type="dxa"/>
          <w:right w:w="28" w:type="dxa"/>
        </w:tblCellMar>
      </w:tblPr>
      <w:tblGrid>
        <w:gridCol w:w="878"/>
        <w:gridCol w:w="774"/>
        <w:gridCol w:w="778"/>
        <w:gridCol w:w="211"/>
        <w:gridCol w:w="85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20"/>
              </w:rPr>
              <w:t>2025</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rPr>
        <w:t>Represents the six months ending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7. Leases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components of lease expense were as follows:</w:t>
      </w:r>
    </w:p>
    <w:tbl>
      <w:tblPr>
        <w:tblW w:w="7472" w:type="dxa"/>
        <w:jc w:val="left"/>
        <w:tblInd w:w="0" w:type="dxa"/>
        <w:tblLayout w:type="fixed"/>
        <w:tblCellMar>
          <w:top w:w="28" w:type="dxa"/>
          <w:left w:w="28" w:type="dxa"/>
          <w:bottom w:w="28" w:type="dxa"/>
          <w:right w:w="28" w:type="dxa"/>
        </w:tblCellMar>
      </w:tblPr>
      <w:tblGrid>
        <w:gridCol w:w="753"/>
        <w:gridCol w:w="664"/>
        <w:gridCol w:w="667"/>
        <w:gridCol w:w="245"/>
        <w:gridCol w:w="750"/>
        <w:gridCol w:w="126"/>
        <w:gridCol w:w="126"/>
        <w:gridCol w:w="126"/>
        <w:gridCol w:w="126"/>
        <w:gridCol w:w="245"/>
        <w:gridCol w:w="750"/>
        <w:gridCol w:w="126"/>
        <w:gridCol w:w="109"/>
        <w:gridCol w:w="109"/>
        <w:gridCol w:w="109"/>
        <w:gridCol w:w="224"/>
        <w:gridCol w:w="685"/>
        <w:gridCol w:w="115"/>
        <w:gridCol w:w="115"/>
        <w:gridCol w:w="115"/>
        <w:gridCol w:w="115"/>
        <w:gridCol w:w="224"/>
        <w:gridCol w:w="685"/>
        <w:gridCol w:w="163"/>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lease cost</w:t>
            </w:r>
            <w:r>
              <w:rPr>
                <w:rFonts w:ascii="Arial;sans-serif" w:hAnsi="Arial;sans-serif"/>
                <w:b w:val="false"/>
                <w:color w:val="000000"/>
                <w:sz w:val="13"/>
              </w:rPr>
              <w:t>(1)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rPr>
        <w:t>Excludes sublease income.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June 2024, we executed a sublease of a portion of our corporate headquarters through February 2032 and recognized $4.5 million of restructuring expense related to the associated impairment of leasehold improvements and furniture and fixtures.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Sublease income, which is recorded as a reduction of rent expense, was $0.4 million and $0.8 million for the three and six months ended June 30, 2025, respectively.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Rent expense for short-term leases in the three and six months ended June 30, 2025 and 2024 was not material.</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information related to leases was as follows:</w:t>
      </w:r>
    </w:p>
    <w:tbl>
      <w:tblPr>
        <w:tblW w:w="6984" w:type="dxa"/>
        <w:jc w:val="center"/>
        <w:tblInd w:w="0" w:type="dxa"/>
        <w:tblLayout w:type="fixed"/>
        <w:tblCellMar>
          <w:top w:w="28" w:type="dxa"/>
          <w:left w:w="28" w:type="dxa"/>
          <w:bottom w:w="28" w:type="dxa"/>
          <w:right w:w="28" w:type="dxa"/>
        </w:tblCellMar>
      </w:tblPr>
      <w:tblGrid>
        <w:gridCol w:w="1289"/>
        <w:gridCol w:w="1128"/>
        <w:gridCol w:w="1137"/>
        <w:gridCol w:w="429"/>
        <w:gridCol w:w="429"/>
        <w:gridCol w:w="431"/>
        <w:gridCol w:w="109"/>
        <w:gridCol w:w="109"/>
        <w:gridCol w:w="109"/>
        <w:gridCol w:w="530"/>
        <w:gridCol w:w="530"/>
        <w:gridCol w:w="754"/>
      </w:tblGrid>
      <w:tr>
        <w:trPr/>
        <w:tc>
          <w:tcPr>
            <w:tcW w:w="128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Operating leases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 years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w:t>
            </w:r>
          </w:p>
        </w:tc>
      </w:tr>
    </w:tbl>
    <w:tbl>
      <w:tblPr>
        <w:tblW w:w="10177" w:type="dxa"/>
        <w:jc w:val="left"/>
        <w:tblInd w:w="0" w:type="dxa"/>
        <w:tblLayout w:type="fixed"/>
        <w:tblCellMar>
          <w:top w:w="28" w:type="dxa"/>
          <w:left w:w="28" w:type="dxa"/>
          <w:bottom w:w="28" w:type="dxa"/>
          <w:right w:w="28" w:type="dxa"/>
        </w:tblCellMar>
      </w:tblPr>
      <w:tblGrid>
        <w:gridCol w:w="1729"/>
        <w:gridCol w:w="1524"/>
        <w:gridCol w:w="1531"/>
        <w:gridCol w:w="287"/>
        <w:gridCol w:w="654"/>
        <w:gridCol w:w="148"/>
        <w:gridCol w:w="148"/>
        <w:gridCol w:w="148"/>
        <w:gridCol w:w="148"/>
        <w:gridCol w:w="287"/>
        <w:gridCol w:w="654"/>
        <w:gridCol w:w="148"/>
        <w:gridCol w:w="109"/>
        <w:gridCol w:w="109"/>
        <w:gridCol w:w="109"/>
        <w:gridCol w:w="261"/>
        <w:gridCol w:w="596"/>
        <w:gridCol w:w="135"/>
        <w:gridCol w:w="135"/>
        <w:gridCol w:w="135"/>
        <w:gridCol w:w="135"/>
        <w:gridCol w:w="261"/>
        <w:gridCol w:w="596"/>
        <w:gridCol w:w="190"/>
      </w:tblGrid>
      <w:tr>
        <w:trPr/>
        <w:tc>
          <w:tcPr>
            <w:tcW w:w="172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ROU assets obtained in exchange for lease obligations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leases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Maturities of operating lease liabilities at June 30, 2025 were as follows:</w:t>
      </w:r>
    </w:p>
    <w:tbl>
      <w:tblPr>
        <w:tblW w:w="3546" w:type="dxa"/>
        <w:jc w:val="left"/>
        <w:tblInd w:w="0" w:type="dxa"/>
        <w:tblLayout w:type="fixed"/>
        <w:tblCellMar>
          <w:top w:w="28" w:type="dxa"/>
          <w:left w:w="28" w:type="dxa"/>
          <w:bottom w:w="28" w:type="dxa"/>
          <w:right w:w="28" w:type="dxa"/>
        </w:tblCellMar>
      </w:tblPr>
      <w:tblGrid>
        <w:gridCol w:w="878"/>
        <w:gridCol w:w="774"/>
        <w:gridCol w:w="778"/>
        <w:gridCol w:w="211"/>
        <w:gridCol w:w="751"/>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20"/>
              </w:rPr>
              <w:t>2025</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lease payments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Imputed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rPr>
        <w:t>Represents the six months ending December 31, 2025.</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Operating lease payments in the table above do not include $0.9 million, $1.7 million, $1.8 million, $1.9 million, $1.9 million and $4.5 million of sublease payments we expect to receive in 2025, 2026, 2027, 2028, 2029 and thereafter,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8. Debt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Credit Agreement</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a credit agreement ("Credit Agreement") which is comprised of:</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$375.0 million senior secured term loan facility ("Term Loan");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$50.0 million senior secured revolving credit facility ("Revolving Credit Facility").</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table below summarizes the carrying value of the Term Loan:</w:t>
      </w:r>
    </w:p>
    <w:tbl>
      <w:tblPr>
        <w:tblW w:w="6299" w:type="dxa"/>
        <w:jc w:val="left"/>
        <w:tblInd w:w="0" w:type="dxa"/>
        <w:tblLayout w:type="fixed"/>
        <w:tblCellMar>
          <w:top w:w="28" w:type="dxa"/>
          <w:left w:w="28" w:type="dxa"/>
          <w:bottom w:w="28" w:type="dxa"/>
          <w:right w:w="28" w:type="dxa"/>
        </w:tblCellMar>
      </w:tblPr>
      <w:tblGrid>
        <w:gridCol w:w="1800"/>
        <w:gridCol w:w="1581"/>
        <w:gridCol w:w="1584"/>
        <w:gridCol w:w="230"/>
        <w:gridCol w:w="936"/>
        <w:gridCol w:w="168"/>
      </w:tblGrid>
      <w:tr>
        <w:trPr/>
        <w:tc>
          <w:tcPr>
            <w:tcW w:w="180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361,875 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discount and issuance costs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357,981 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Less: Term loan, net, current </w:t>
            </w:r>
            <w:r>
              <w:rPr>
                <w:rFonts w:ascii="Arial;sans-serif" w:hAnsi="Arial;sans-serif"/>
                <w:b w:val="false"/>
                <w:color w:val="000000"/>
                <w:sz w:val="13"/>
              </w:rPr>
              <w:t>(1)</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355,439 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shd w:fill="FFFFFF" w:val="clear"/>
        </w:rPr>
        <w:t xml:space="preserve">Term loan, net current is included in other current liabilities </w:t>
      </w:r>
      <w:r>
        <w:rPr>
          <w:rFonts w:ascii="Arial;sans-serif" w:hAnsi="Arial;sans-serif"/>
          <w:b w:val="false"/>
          <w:color w:val="000000"/>
          <w:sz w:val="18"/>
        </w:rPr>
        <w:t>on our consolidated balance sheets.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Term Loan bears interest at a rate of 2.75% per annum over the Secured Overnight Financing Rate ("SOFR"), subject to a 0.50% floor, plus a credit spread adjustment depending on the interest period. The Term Loan is being amortized at 1% per annum in equal quarterly installments until the final payment of $350.6 million on the July 7, 2028 maturity date.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Term Loan is recorded at its carrying value. At June 30, 2025, the fair value of our Term Loan was approximately $361.9 million. In the fair value hierarchy, our Term Loan is classified as Level 2 as it is traded in less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maturities of the Term Loan at June 30, 2025 were as follows:</w:t>
      </w:r>
    </w:p>
    <w:tbl>
      <w:tblPr>
        <w:tblW w:w="3651" w:type="dxa"/>
        <w:jc w:val="left"/>
        <w:tblInd w:w="0" w:type="dxa"/>
        <w:tblLayout w:type="fixed"/>
        <w:tblCellMar>
          <w:top w:w="28" w:type="dxa"/>
          <w:left w:w="28" w:type="dxa"/>
          <w:bottom w:w="28" w:type="dxa"/>
          <w:right w:w="28" w:type="dxa"/>
        </w:tblCellMar>
      </w:tblPr>
      <w:tblGrid>
        <w:gridCol w:w="878"/>
        <w:gridCol w:w="774"/>
        <w:gridCol w:w="778"/>
        <w:gridCol w:w="211"/>
        <w:gridCol w:w="85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Arial;sans-serif" w:hAnsi="Arial;sans-serif"/>
                <w:b w:val="false"/>
                <w:color w:val="000000"/>
                <w:sz w:val="20"/>
              </w:rPr>
              <w:t>2025</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rPr>
        <w:t>Represents the six months ending December 31, 2025.</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may be subject to mandatory Term Loan prepayments related to the excess cash flow provisions. These prepayments would only be required if our first lien net leverage ratio (as defined in our Credit Agreement) exceeds 3.5 at the end of each year. At June 30, 2025, our first lien net leverage ratio was 0.88.</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June 30, 2025, we had $0.2 million of standby letters of credit outstanding under our Revolving Credit Facility related to one of our operating leases. At June 30, 2025, we were in compliance with the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9. Commitments and Contingencies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Commitments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December 2023, we entered into a contract with Microsoft for cloud services from February 2024 through January 2027. Under the terms of the contract we committed to spend €28.5 million. If we do not meet our commitment by the end of the term, we will be required to pay the difference. As of June 30, 2025, we have spent €10.5 million of our commitment.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2024, we entered into a new contract with Amazon Web Services, Inc. ("AWS") for cloud services, in which we committed to spend $59.7 million, $77.6 million and $93.0 million in years one, two and three, respectively, for a total commitment of $230.3 million from August 2024 to July 2027. As of June 30, 2025, we have met our first year commitment.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Letters of Credit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June 30, 2025, we had $5.7 million of standby letters of credit related to our grant agreements with the State of Maryland and our operating leases. Collateral for $5.5 million of our letters of credit was classified as restricted cash in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10. Stock-Based Compensation</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Stock-based compensation expense included in the consolidated statements of operations was as follows: </w:t>
      </w:r>
    </w:p>
    <w:tbl>
      <w:tblPr>
        <w:tblW w:w="10134" w:type="dxa"/>
        <w:jc w:val="left"/>
        <w:tblInd w:w="0" w:type="dxa"/>
        <w:tblLayout w:type="fixed"/>
        <w:tblCellMar>
          <w:top w:w="28" w:type="dxa"/>
          <w:left w:w="28" w:type="dxa"/>
          <w:bottom w:w="28" w:type="dxa"/>
          <w:right w:w="28" w:type="dxa"/>
        </w:tblCellMar>
      </w:tblPr>
      <w:tblGrid>
        <w:gridCol w:w="1361"/>
        <w:gridCol w:w="1193"/>
        <w:gridCol w:w="1196"/>
        <w:gridCol w:w="467"/>
        <w:gridCol w:w="345"/>
        <w:gridCol w:w="346"/>
        <w:gridCol w:w="241"/>
        <w:gridCol w:w="241"/>
        <w:gridCol w:w="241"/>
        <w:gridCol w:w="467"/>
        <w:gridCol w:w="345"/>
        <w:gridCol w:w="346"/>
        <w:gridCol w:w="109"/>
        <w:gridCol w:w="109"/>
        <w:gridCol w:w="109"/>
        <w:gridCol w:w="419"/>
        <w:gridCol w:w="398"/>
        <w:gridCol w:w="398"/>
        <w:gridCol w:w="216"/>
        <w:gridCol w:w="216"/>
        <w:gridCol w:w="216"/>
        <w:gridCol w:w="419"/>
        <w:gridCol w:w="304"/>
        <w:gridCol w:w="432"/>
      </w:tblGrid>
      <w:tr>
        <w:trPr/>
        <w:tc>
          <w:tcPr>
            <w:tcW w:w="13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6,270</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17,818</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34,448</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15,300</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28,267</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22,960</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9,948</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32,939</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20,311</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81,117</w:t>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3"/>
          <w:shd w:fill="FFFFFF" w:val="clear"/>
        </w:rPr>
        <w:t>(1)</w:t>
      </w:r>
      <w:r>
        <w:rPr>
          <w:color w:val="000000"/>
          <w:shd w:fill="FFFFFF" w:val="clear"/>
        </w:rPr>
        <w:t>    </w:t>
      </w:r>
      <w:r>
        <w:rPr>
          <w:rFonts w:ascii="Arial;sans-serif" w:hAnsi="Arial;sans-serif"/>
          <w:b w:val="false"/>
          <w:color w:val="000000"/>
          <w:sz w:val="20"/>
        </w:rPr>
        <w:t>Stock-based compensation in the six months ended June 30, 2025 includes $14.6 million of expense related to the accelerated vesting of equity awards for our late CEO.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the unrecognized stock-based compensation expense related to unvested stock at June 30, 2025 is presented below:</w:t>
      </w:r>
    </w:p>
    <w:tbl>
      <w:tblPr>
        <w:tblW w:w="10205" w:type="dxa"/>
        <w:jc w:val="left"/>
        <w:tblInd w:w="0" w:type="dxa"/>
        <w:tblLayout w:type="fixed"/>
        <w:tblCellMar>
          <w:top w:w="28" w:type="dxa"/>
          <w:left w:w="28" w:type="dxa"/>
          <w:bottom w:w="28" w:type="dxa"/>
          <w:right w:w="28" w:type="dxa"/>
        </w:tblCellMar>
      </w:tblPr>
      <w:tblGrid>
        <w:gridCol w:w="1372"/>
        <w:gridCol w:w="1145"/>
        <w:gridCol w:w="1154"/>
        <w:gridCol w:w="645"/>
        <w:gridCol w:w="2622"/>
        <w:gridCol w:w="335"/>
        <w:gridCol w:w="109"/>
        <w:gridCol w:w="109"/>
        <w:gridCol w:w="109"/>
        <w:gridCol w:w="762"/>
        <w:gridCol w:w="762"/>
        <w:gridCol w:w="1081"/>
      </w:tblGrid>
      <w:tr>
        <w:trPr/>
        <w:tc>
          <w:tcPr>
            <w:tcW w:w="137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Unrecognized Stock-Based Compensation Expense </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Estimated Weighted Average Period </w:t>
              <w:br/>
              <w:t>(in years)</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("RSUs")</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372,658 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stock units ("PSUs")</w:t>
            </w:r>
          </w:p>
        </w:tc>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w:t>
            </w:r>
          </w:p>
        </w:tc>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2018 Employee Stock Purchase Plan ("2018 ESPP")</w:t>
            </w:r>
          </w:p>
        </w:tc>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Restricted Stock, RSUs and PSUs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our restricted stock, RSU and PSU activity is presented below:</w:t>
      </w:r>
    </w:p>
    <w:tbl>
      <w:tblPr>
        <w:tblW w:w="10205" w:type="dxa"/>
        <w:jc w:val="center"/>
        <w:tblInd w:w="0" w:type="dxa"/>
        <w:tblLayout w:type="fixed"/>
        <w:tblCellMar>
          <w:top w:w="28" w:type="dxa"/>
          <w:left w:w="28" w:type="dxa"/>
          <w:bottom w:w="28" w:type="dxa"/>
          <w:right w:w="28" w:type="dxa"/>
        </w:tblCellMar>
      </w:tblPr>
      <w:tblGrid>
        <w:gridCol w:w="810"/>
        <w:gridCol w:w="530"/>
        <w:gridCol w:w="533"/>
        <w:gridCol w:w="331"/>
        <w:gridCol w:w="331"/>
        <w:gridCol w:w="333"/>
        <w:gridCol w:w="109"/>
        <w:gridCol w:w="109"/>
        <w:gridCol w:w="109"/>
        <w:gridCol w:w="259"/>
        <w:gridCol w:w="796"/>
        <w:gridCol w:w="134"/>
        <w:gridCol w:w="109"/>
        <w:gridCol w:w="109"/>
        <w:gridCol w:w="109"/>
        <w:gridCol w:w="421"/>
        <w:gridCol w:w="331"/>
        <w:gridCol w:w="333"/>
        <w:gridCol w:w="109"/>
        <w:gridCol w:w="109"/>
        <w:gridCol w:w="109"/>
        <w:gridCol w:w="259"/>
        <w:gridCol w:w="796"/>
        <w:gridCol w:w="134"/>
        <w:gridCol w:w="109"/>
        <w:gridCol w:w="109"/>
        <w:gridCol w:w="109"/>
        <w:gridCol w:w="331"/>
        <w:gridCol w:w="331"/>
        <w:gridCol w:w="333"/>
        <w:gridCol w:w="109"/>
        <w:gridCol w:w="109"/>
        <w:gridCol w:w="109"/>
        <w:gridCol w:w="257"/>
        <w:gridCol w:w="789"/>
        <w:gridCol w:w="198"/>
      </w:tblGrid>
      <w:tr>
        <w:trPr/>
        <w:tc>
          <w:tcPr>
            <w:tcW w:w="8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PSUs</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 except for per share data)</w:t>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 Fair Value</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at December 31, 2024</w:t>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Performance adjustment</w:t>
            </w:r>
            <w:r>
              <w:rPr>
                <w:rFonts w:ascii="Arial;sans-serif" w:hAnsi="Arial;sans-serif"/>
                <w:b w:val="false"/>
                <w:color w:val="000000"/>
                <w:sz w:val="13"/>
              </w:rPr>
              <w:t>(1)</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at June 30, 2025</w:t>
            </w:r>
          </w:p>
        </w:tc>
        <w:tc>
          <w:tcPr>
            <w:tcW w:w="9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3"/>
          <w:shd w:fill="FFFFFF" w:val="clear"/>
        </w:rPr>
        <w:t>(1)</w:t>
      </w:r>
      <w:r>
        <w:rPr>
          <w:color w:val="000000"/>
          <w:shd w:fill="FFFFFF" w:val="clear"/>
        </w:rPr>
        <w:t>    </w:t>
      </w:r>
      <w:r>
        <w:rPr>
          <w:rFonts w:ascii="Arial;sans-serif" w:hAnsi="Arial;sans-serif"/>
          <w:b w:val="false"/>
          <w:color w:val="000000"/>
          <w:sz w:val="20"/>
          <w:shd w:fill="FFFFFF" w:val="clear"/>
        </w:rPr>
        <w:t>Represents adjustments due to the achievement of predefined financial performance targets.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January 2025, under the evergreen provision in our 2018 Equity Incentive Plan we reserved an additional 6.0 million shares of our common stock. At June 30, 2025, there were 27.2 million shares available for grant under the plan.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our stock option activity is presented below:</w:t>
      </w:r>
    </w:p>
    <w:tbl>
      <w:tblPr>
        <w:tblW w:w="10205" w:type="dxa"/>
        <w:jc w:val="left"/>
        <w:tblInd w:w="0" w:type="dxa"/>
        <w:tblLayout w:type="fixed"/>
        <w:tblCellMar>
          <w:top w:w="28" w:type="dxa"/>
          <w:left w:w="28" w:type="dxa"/>
          <w:bottom w:w="28" w:type="dxa"/>
          <w:right w:w="28" w:type="dxa"/>
        </w:tblCellMar>
      </w:tblPr>
      <w:tblGrid>
        <w:gridCol w:w="1044"/>
        <w:gridCol w:w="773"/>
        <w:gridCol w:w="777"/>
        <w:gridCol w:w="282"/>
        <w:gridCol w:w="282"/>
        <w:gridCol w:w="283"/>
        <w:gridCol w:w="109"/>
        <w:gridCol w:w="109"/>
        <w:gridCol w:w="109"/>
        <w:gridCol w:w="263"/>
        <w:gridCol w:w="679"/>
        <w:gridCol w:w="137"/>
        <w:gridCol w:w="109"/>
        <w:gridCol w:w="109"/>
        <w:gridCol w:w="109"/>
        <w:gridCol w:w="1000"/>
        <w:gridCol w:w="1000"/>
        <w:gridCol w:w="1001"/>
        <w:gridCol w:w="109"/>
        <w:gridCol w:w="109"/>
        <w:gridCol w:w="109"/>
        <w:gridCol w:w="684"/>
        <w:gridCol w:w="510"/>
        <w:gridCol w:w="509"/>
      </w:tblGrid>
      <w:tr>
        <w:trPr/>
        <w:tc>
          <w:tcPr>
            <w:tcW w:w="104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 except for exercise prices and years)</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Remaining Contractual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8"/>
              </w:rPr>
              <w:br/>
            </w:r>
            <w:r>
              <w:rPr>
                <w:rFonts w:ascii="Arial;sans-serif" w:hAnsi="Arial;sans-serif"/>
                <w:b/>
                <w:color w:val="000000"/>
                <w:sz w:val="18"/>
              </w:rPr>
              <w:t>Aggregate Intrinsic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2024</w:t>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122,024</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Exercised</w:t>
            </w:r>
            <w:r>
              <w:rPr>
                <w:rFonts w:ascii="Arial;sans-serif" w:hAnsi="Arial;sans-serif"/>
                <w:b w:val="false"/>
                <w:color w:val="000000"/>
                <w:sz w:val="13"/>
              </w:rPr>
              <w:t>(1)</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64,874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Forfeited/canceled</w:t>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and exercisable at June 30, 2025</w:t>
            </w:r>
          </w:p>
        </w:tc>
        <w:tc>
          <w:tcPr>
            <w:tcW w:w="8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33,095</w:t>
            </w:r>
          </w:p>
        </w:tc>
      </w:tr>
    </w:tbl>
    <w:p>
      <w:pPr>
        <w:pStyle w:val="TextBody"/>
        <w:bidi w:val="0"/>
        <w:spacing w:lineRule="auto" w:line="288" w:before="100" w:after="60"/>
        <w:jc w:val="left"/>
        <w:rPr>
          <w:rFonts w:ascii="Arial;sans-serif" w:hAnsi="Arial;sans-serif"/>
          <w:b w:val="false"/>
          <w:color w:val="000000"/>
          <w:sz w:val="12"/>
        </w:rPr>
      </w:pPr>
      <w:r>
        <w:rPr>
          <w:rFonts w:ascii="Arial;sans-serif" w:hAnsi="Arial;sans-serif"/>
          <w:b w:val="false"/>
          <w:color w:val="000000"/>
          <w:sz w:val="12"/>
        </w:rPr>
        <w:t>_______________</w:t>
      </w:r>
    </w:p>
    <w:p>
      <w:pPr>
        <w:pStyle w:val="TextBody"/>
        <w:bidi w:val="0"/>
        <w:spacing w:lineRule="auto" w:line="288" w:before="0" w:after="240"/>
        <w:jc w:val="left"/>
        <w:rPr/>
      </w:pPr>
      <w:r>
        <w:rPr>
          <w:rFonts w:ascii="Arial;sans-serif" w:hAnsi="Arial;sans-serif"/>
          <w:b w:val="false"/>
          <w:color w:val="000000"/>
          <w:sz w:val="13"/>
        </w:rPr>
        <w:t>(1)</w:t>
      </w:r>
      <w:r>
        <w:rPr>
          <w:color w:val="000000"/>
        </w:rPr>
        <w:t>    </w:t>
      </w:r>
      <w:r>
        <w:rPr>
          <w:rFonts w:ascii="Arial;sans-serif" w:hAnsi="Arial;sans-serif"/>
          <w:b w:val="false"/>
          <w:color w:val="000000"/>
          <w:sz w:val="20"/>
        </w:rPr>
        <w:t>Includes 485 options netted for option costs and 40 shares repurchased to cover taxes.</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2018 Employee Stock Purchase Plan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2025, employees purchased 0.3 million shares of our common stock at a weighted average price of $32.42 per share, resulting in $9.7 million of cash proceeds. At June 30, 2025, there was $6.4 million of employee contributions to the 2018 ESPP included in accrued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the 2018 ESPP purchase rights was estimated on the offering or modification dates using a Black-Scholes option-pricing model and the following assumptions:</w:t>
      </w:r>
    </w:p>
    <w:tbl>
      <w:tblPr>
        <w:tblW w:w="6147" w:type="dxa"/>
        <w:jc w:val="left"/>
        <w:tblInd w:w="0" w:type="dxa"/>
        <w:tblLayout w:type="fixed"/>
        <w:tblCellMar>
          <w:top w:w="28" w:type="dxa"/>
          <w:left w:w="28" w:type="dxa"/>
          <w:bottom w:w="28" w:type="dxa"/>
          <w:right w:w="28" w:type="dxa"/>
        </w:tblCellMar>
      </w:tblPr>
      <w:tblGrid>
        <w:gridCol w:w="819"/>
        <w:gridCol w:w="721"/>
        <w:gridCol w:w="725"/>
        <w:gridCol w:w="510"/>
        <w:gridCol w:w="510"/>
        <w:gridCol w:w="510"/>
        <w:gridCol w:w="259"/>
        <w:gridCol w:w="259"/>
        <w:gridCol w:w="259"/>
        <w:gridCol w:w="461"/>
        <w:gridCol w:w="461"/>
        <w:gridCol w:w="653"/>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30.6% — 38.2%</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41.1% — 51.4%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 — 4.2%</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 — 5.1%</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Under the evergreen provision in our 2018 ESPP, in January 2025 we reserved an additional 1.8 million shares of our common stock. At June 30, 2025, there were 11.5 million shares reserved for issuance under our 2018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11.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2025, the provision for income taxes included $5.1 million of income taxes in foreign jurisdictions in which we conduct business and $2.7 million of discrete items primarily related to withholding taxes on sales to 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2024, the provision for income taxes included $2.1 million of income taxes in foreign jurisdictions in which we conduct business, $1.7 million of Base Erosion and Anti-Abuse Tax and $1.6 million of discrete items primarily related to withholding taxes on sales to 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Recent legislation enacted in the United States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the impact of this legislation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12. Net Loss Per Share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885"/>
        <w:gridCol w:w="1423"/>
        <w:gridCol w:w="1430"/>
        <w:gridCol w:w="212"/>
        <w:gridCol w:w="791"/>
        <w:gridCol w:w="109"/>
        <w:gridCol w:w="109"/>
        <w:gridCol w:w="109"/>
        <w:gridCol w:w="109"/>
        <w:gridCol w:w="212"/>
        <w:gridCol w:w="791"/>
        <w:gridCol w:w="109"/>
        <w:gridCol w:w="109"/>
        <w:gridCol w:w="109"/>
        <w:gridCol w:w="109"/>
        <w:gridCol w:w="211"/>
        <w:gridCol w:w="785"/>
        <w:gridCol w:w="109"/>
        <w:gridCol w:w="109"/>
        <w:gridCol w:w="109"/>
        <w:gridCol w:w="109"/>
        <w:gridCol w:w="211"/>
        <w:gridCol w:w="785"/>
        <w:gridCol w:w="161"/>
      </w:tblGrid>
      <w:tr>
        <w:trPr/>
        <w:tc>
          <w:tcPr>
            <w:tcW w:w="188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loss per share, basic and diluted</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6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potentially dilutive securities have been excluded from the diluted per share calculations because they would have been antidilutive:</w:t>
      </w:r>
    </w:p>
    <w:tbl>
      <w:tblPr>
        <w:tblW w:w="6052" w:type="dxa"/>
        <w:jc w:val="left"/>
        <w:tblInd w:w="0" w:type="dxa"/>
        <w:tblLayout w:type="fixed"/>
        <w:tblCellMar>
          <w:top w:w="28" w:type="dxa"/>
          <w:left w:w="28" w:type="dxa"/>
          <w:bottom w:w="28" w:type="dxa"/>
          <w:right w:w="28" w:type="dxa"/>
        </w:tblCellMar>
      </w:tblPr>
      <w:tblGrid>
        <w:gridCol w:w="1381"/>
        <w:gridCol w:w="1213"/>
        <w:gridCol w:w="1216"/>
        <w:gridCol w:w="375"/>
        <w:gridCol w:w="376"/>
        <w:gridCol w:w="176"/>
        <w:gridCol w:w="109"/>
        <w:gridCol w:w="109"/>
        <w:gridCol w:w="109"/>
        <w:gridCol w:w="375"/>
        <w:gridCol w:w="376"/>
        <w:gridCol w:w="237"/>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to be issued under the 2018 ESPP</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PSUs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13,497 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13. Segment and Geographic Information</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Segment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operate as one operating segment. Our chief operating decision makers ("CODMs") are our Co-Chief Executive Officers. Our CODMs review GAAP and non-GAAP financial information on a consolidated basis for purposes of making operating decisions, allocating resources and evaluating financial performance, including cost of sales expense, sales and marketing expense, research and development expense, general and administrative expense, income (loss) from operations and net income (loss) to assess our operating performance. Significant segment expenses are inherently reflected in the consolidated financial statements.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Geographic Information</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Revenue by region, based on the address of the end user as specified in our subscription, license or service agreements, was as follows:</w:t>
      </w:r>
    </w:p>
    <w:tbl>
      <w:tblPr>
        <w:tblW w:w="8564" w:type="dxa"/>
        <w:jc w:val="left"/>
        <w:tblInd w:w="0" w:type="dxa"/>
        <w:tblLayout w:type="fixed"/>
        <w:tblCellMar>
          <w:top w:w="28" w:type="dxa"/>
          <w:left w:w="28" w:type="dxa"/>
          <w:bottom w:w="28" w:type="dxa"/>
          <w:right w:w="28" w:type="dxa"/>
        </w:tblCellMar>
      </w:tblPr>
      <w:tblGrid>
        <w:gridCol w:w="1028"/>
        <w:gridCol w:w="902"/>
        <w:gridCol w:w="90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Customers located in the United States accounted for 53% of revenue in the three and six months ended June 30, 2025 and 54% of revenue in the three and six months ended June 30, 2024. No other country accounted for 10% or more of revenue in the periods presented.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property and equipment, net by geographic area is summarized as follows:</w:t>
      </w:r>
    </w:p>
    <w:tbl>
      <w:tblPr>
        <w:tblW w:w="6010" w:type="dxa"/>
        <w:jc w:val="left"/>
        <w:tblInd w:w="0" w:type="dxa"/>
        <w:tblLayout w:type="fixed"/>
        <w:tblCellMar>
          <w:top w:w="28" w:type="dxa"/>
          <w:left w:w="28" w:type="dxa"/>
          <w:bottom w:w="28" w:type="dxa"/>
          <w:right w:w="28" w:type="dxa"/>
        </w:tblCellMar>
      </w:tblPr>
      <w:tblGrid>
        <w:gridCol w:w="935"/>
        <w:gridCol w:w="821"/>
        <w:gridCol w:w="823"/>
        <w:gridCol w:w="254"/>
        <w:gridCol w:w="905"/>
        <w:gridCol w:w="131"/>
        <w:gridCol w:w="109"/>
        <w:gridCol w:w="109"/>
        <w:gridCol w:w="109"/>
        <w:gridCol w:w="342"/>
        <w:gridCol w:w="1221"/>
        <w:gridCol w:w="251"/>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33,101 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39,265 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2024, or the 10-K, filed with the Securities and Exchange Commission, or the SEC, on February 24, 2025.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IA of the 10-K,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We are a leading provider of exposure management solutions. Exposure management </w:t>
      </w:r>
      <w:r>
        <w:rPr>
          <w:rFonts w:ascii="sans-serif" w:hAnsi="sans-serif"/>
          <w:b w:val="false"/>
          <w:color w:val="000000"/>
          <w:sz w:val="22"/>
        </w:rPr>
        <w:t>i</w:t>
      </w:r>
      <w:r>
        <w:rPr>
          <w:rFonts w:ascii="Arial;sans-serif" w:hAnsi="Arial;sans-serif"/>
          <w:b w:val="false"/>
          <w:color w:val="000000"/>
          <w:sz w:val="20"/>
        </w:rPr>
        <w:t>s the evolution of vulnerability management, advancing risk assessment and prioritization across the entire attack surface – from IT infrastructure to cloud environments to critical infrastructure. Tenable unifies security visibility, insight and action across this attack surface, equipping modern organizations to expose and close the cybersecurity gaps that erode business value, reputation and trust.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Tenable One is an AI-powered exposure management platform that gives enterprises a single, unified view of risk across all types of assets and attack pathways. The platform combines broad, industry-leading vulnerability coverage, spanning IT assets, cloud resources, containers, web apps, identity systems and third-party data connectors. Tenable One builds on the speed and breadth of vulnerability coverage from our research team of cybersecurity and data science experts, or Tenable Research, and adds aggregated exposure view analytics, guidance on mitigating attack pathways and a centralized asset inventory. It leverages AI, and machine learning, or ML, rapidly analyzing and interpreting vast data sets to pinpoint priority weaknesses and high-risk attack paths, deliver recommendations and automate routine tasks.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 One integrates Tenable Vulnerability Management, Tenable Web App Scanning, Tenable Cloud Security, Tenable Identity Exposure, Tenable OT Security, Tenable Attack Surface Management, Tenable One Connectors and Tenable Security Center. Our products, including Nessus are also offered on a standalone basis.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platform offerings are primarily sold on a subscription basis with a one-year term. Our subscription terms are generally not longer than three years. These subscriptions are typically invoiced in advance at the beginning of the term. In some instances, multi-year subscriptions are invoiced annually in installments.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sell and market our products and services through our field sales force that works closely with our channel network of distributors, resellers and managed security service providers (MSSPs), in developing sales opportunities. We typically use a two-tiered channel model whereby we sell our enterprise platform offerings to our distributors, who in turn sell to our resellers, who then sell to end users, who we call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Financial Highlights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Below are our key financial results:</w:t>
      </w:r>
    </w:p>
    <w:tbl>
      <w:tblPr>
        <w:tblW w:w="9390" w:type="dxa"/>
        <w:jc w:val="left"/>
        <w:tblInd w:w="0" w:type="dxa"/>
        <w:tblLayout w:type="fixed"/>
        <w:tblCellMar>
          <w:top w:w="28" w:type="dxa"/>
          <w:left w:w="28" w:type="dxa"/>
          <w:bottom w:w="28" w:type="dxa"/>
          <w:right w:w="28" w:type="dxa"/>
        </w:tblCellMar>
      </w:tblPr>
      <w:tblGrid>
        <w:gridCol w:w="1326"/>
        <w:gridCol w:w="1164"/>
        <w:gridCol w:w="117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Recurring revenue, which includes revenue from subscription arrangements for software (both recognized ratably over the subscription term and upon delivery) and cloud-based solutions and maintenance associated with perpetual licenses, represented 96% of revenue in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Key Operating and Financial Metrics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Calculated Current Billings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Calculated current billings may vary from period-to-period for a number of reasons, and therefore has a number of limitations as a quarter-to-quarter or year-over-year comparative measure. Calculated current billings in any one period may be impacted by the timing and amount of new sales transactions, the timing and amount of renewal transactions, including early renewals, the mix of the amount of subscriptions and perpetual licenses and the timing of billing professional services,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revenue, the most directly comparable financial measure calculated in accordance with GAAP, to calculated current billings:</w:t>
      </w:r>
    </w:p>
    <w:tbl>
      <w:tblPr>
        <w:tblW w:w="10035" w:type="dxa"/>
        <w:jc w:val="left"/>
        <w:tblInd w:w="0" w:type="dxa"/>
        <w:tblLayout w:type="fixed"/>
        <w:tblCellMar>
          <w:top w:w="28" w:type="dxa"/>
          <w:left w:w="28" w:type="dxa"/>
          <w:bottom w:w="28" w:type="dxa"/>
          <w:right w:w="28" w:type="dxa"/>
        </w:tblCellMar>
      </w:tblPr>
      <w:tblGrid>
        <w:gridCol w:w="1561"/>
        <w:gridCol w:w="1370"/>
        <w:gridCol w:w="137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 end of period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Deferred revenue (current), beginning of period</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Calculated current billings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418,902 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rPr>
        <w:t>(1)    </w:t>
      </w:r>
      <w:r>
        <w:rPr>
          <w:rFonts w:ascii="Arial;sans-serif" w:hAnsi="Arial;sans-serif"/>
          <w:b w:val="false"/>
          <w:color w:val="000000"/>
          <w:sz w:val="18"/>
        </w:rPr>
        <w:t>Deferred revenue (current), beginning of period for the three months ended June 30, 2025 and 2024, and the six months ended June 30, 2025 and 2024 includes $0.1 million, $0.1 million, $6.7 million and $0.1 million, respectively, related to acquired deferred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Free Cash Flow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the non-GAAP measure of free cash flow, which we define as GAAP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cash.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a reconciliation of net cash provided by operating activities, the most directly comparable financial measure calculated in accordance with GAAP, to free cash flow: </w:t>
      </w:r>
    </w:p>
    <w:tbl>
      <w:tblPr>
        <w:tblW w:w="9225" w:type="dxa"/>
        <w:jc w:val="left"/>
        <w:tblInd w:w="0" w:type="dxa"/>
        <w:tblLayout w:type="fixed"/>
        <w:tblCellMar>
          <w:top w:w="28" w:type="dxa"/>
          <w:left w:w="28" w:type="dxa"/>
          <w:bottom w:w="28" w:type="dxa"/>
          <w:right w:w="28" w:type="dxa"/>
        </w:tblCellMar>
      </w:tblPr>
      <w:tblGrid>
        <w:gridCol w:w="1327"/>
        <w:gridCol w:w="1165"/>
        <w:gridCol w:w="1168"/>
        <w:gridCol w:w="224"/>
        <w:gridCol w:w="798"/>
        <w:gridCol w:w="115"/>
        <w:gridCol w:w="115"/>
        <w:gridCol w:w="115"/>
        <w:gridCol w:w="115"/>
        <w:gridCol w:w="224"/>
        <w:gridCol w:w="798"/>
        <w:gridCol w:w="115"/>
        <w:gridCol w:w="109"/>
        <w:gridCol w:w="109"/>
        <w:gridCol w:w="109"/>
        <w:gridCol w:w="211"/>
        <w:gridCol w:w="856"/>
        <w:gridCol w:w="109"/>
        <w:gridCol w:w="109"/>
        <w:gridCol w:w="109"/>
        <w:gridCol w:w="109"/>
        <w:gridCol w:w="211"/>
        <w:gridCol w:w="75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Free cash flow</w:t>
            </w:r>
            <w:r>
              <w:rPr>
                <w:rFonts w:ascii="Arial;sans-serif" w:hAnsi="Arial;sans-serif"/>
                <w:b w:val="false"/>
                <w:color w:val="000000"/>
                <w:sz w:val="13"/>
              </w:rPr>
              <w:t>(1)</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37,416 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28,663 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75,792 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shd w:fill="FFFFFF" w:val="clear"/>
        </w:rPr>
        <w:t>Free cash flow for the periods presented was impacted by:</w:t>
      </w:r>
    </w:p>
    <w:tbl>
      <w:tblPr>
        <w:tblW w:w="9812" w:type="dxa"/>
        <w:jc w:val="left"/>
        <w:tblInd w:w="0" w:type="dxa"/>
        <w:tblLayout w:type="fixed"/>
        <w:tblCellMar>
          <w:top w:w="28" w:type="dxa"/>
          <w:left w:w="28" w:type="dxa"/>
          <w:bottom w:w="28" w:type="dxa"/>
          <w:right w:w="28" w:type="dxa"/>
        </w:tblCellMar>
      </w:tblPr>
      <w:tblGrid>
        <w:gridCol w:w="1533"/>
        <w:gridCol w:w="1346"/>
        <w:gridCol w:w="1350"/>
        <w:gridCol w:w="232"/>
        <w:gridCol w:w="779"/>
        <w:gridCol w:w="120"/>
        <w:gridCol w:w="120"/>
        <w:gridCol w:w="120"/>
        <w:gridCol w:w="120"/>
        <w:gridCol w:w="232"/>
        <w:gridCol w:w="779"/>
        <w:gridCol w:w="120"/>
        <w:gridCol w:w="109"/>
        <w:gridCol w:w="109"/>
        <w:gridCol w:w="109"/>
        <w:gridCol w:w="211"/>
        <w:gridCol w:w="811"/>
        <w:gridCol w:w="109"/>
        <w:gridCol w:w="109"/>
        <w:gridCol w:w="109"/>
        <w:gridCol w:w="109"/>
        <w:gridCol w:w="211"/>
        <w:gridCol w:w="81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and other financing costs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 activity</w:t>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Customer Metrics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believe that our customer base provides a significant opportunity to expand sales of our enterprise platform offerings. We define an enterprise platform customer as a customer that has licensed Tenable One, Tenable Vulnerability Management, Tenable Cloud Security, Tenable Identity Exposure, Tenable OT Security or Tenable Security Center for an annual amount of $5,000 or greater. New enterprise platform customers represent new customer logos during the periods presented and do not include customer conversions from Tenable Nessus Expert to enterprise platforms. The following tables summarize key components of our customer base:</w:t>
      </w:r>
    </w:p>
    <w:tbl>
      <w:tblPr>
        <w:tblW w:w="8689" w:type="dxa"/>
        <w:jc w:val="left"/>
        <w:tblInd w:w="0" w:type="dxa"/>
        <w:tblLayout w:type="fixed"/>
        <w:tblCellMar>
          <w:top w:w="28" w:type="dxa"/>
          <w:left w:w="28" w:type="dxa"/>
          <w:bottom w:w="28" w:type="dxa"/>
          <w:right w:w="28" w:type="dxa"/>
        </w:tblCellMar>
      </w:tblPr>
      <w:tblGrid>
        <w:gridCol w:w="1976"/>
        <w:gridCol w:w="1739"/>
        <w:gridCol w:w="1744"/>
        <w:gridCol w:w="175"/>
        <w:gridCol w:w="175"/>
        <w:gridCol w:w="176"/>
        <w:gridCol w:w="173"/>
        <w:gridCol w:w="173"/>
        <w:gridCol w:w="173"/>
        <w:gridCol w:w="175"/>
        <w:gridCol w:w="175"/>
        <w:gridCol w:w="176"/>
        <w:gridCol w:w="173"/>
        <w:gridCol w:w="173"/>
        <w:gridCol w:w="173"/>
        <w:gridCol w:w="333"/>
        <w:gridCol w:w="333"/>
        <w:gridCol w:w="474"/>
      </w:tblGrid>
      <w:tr>
        <w:trPr/>
        <w:tc>
          <w:tcPr>
            <w:tcW w:w="197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new enterprise platform customers added in period</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408</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bl>
    <w:tbl>
      <w:tblPr>
        <w:tblW w:w="10205" w:type="dxa"/>
        <w:jc w:val="center"/>
        <w:tblInd w:w="0" w:type="dxa"/>
        <w:tblLayout w:type="fixed"/>
        <w:tblCellMar>
          <w:top w:w="28" w:type="dxa"/>
          <w:left w:w="28" w:type="dxa"/>
          <w:bottom w:w="28" w:type="dxa"/>
          <w:right w:w="28" w:type="dxa"/>
        </w:tblCellMar>
      </w:tblPr>
      <w:tblGrid>
        <w:gridCol w:w="2627"/>
        <w:gridCol w:w="2311"/>
        <w:gridCol w:w="2327"/>
        <w:gridCol w:w="194"/>
        <w:gridCol w:w="194"/>
        <w:gridCol w:w="198"/>
        <w:gridCol w:w="109"/>
        <w:gridCol w:w="109"/>
        <w:gridCol w:w="109"/>
        <w:gridCol w:w="194"/>
        <w:gridCol w:w="194"/>
        <w:gridCol w:w="198"/>
        <w:gridCol w:w="109"/>
        <w:gridCol w:w="109"/>
        <w:gridCol w:w="109"/>
        <w:gridCol w:w="325"/>
        <w:gridCol w:w="325"/>
        <w:gridCol w:w="464"/>
      </w:tblGrid>
      <w:tr>
        <w:trPr/>
        <w:tc>
          <w:tcPr>
            <w:tcW w:w="2627"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Number of customers with $100,000 and greater in annual contract value at end of period</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r>
    </w:tbl>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Dollar-Based Net Expansion Rate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dollar-based net expansion rate is evaluated on a last twelve months, or LTM, basis, and is calculated as follows: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Numerator: We measure the ARR for that same cohort of customers representing all subscriptions and maintenance from perpetual licenses based on customer orders as of the end of the reporting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calculate dollar-based net expansion rate by dividing the numerator by the denominator.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dollar-based net expansion rate:</w:t>
      </w:r>
    </w:p>
    <w:tbl>
      <w:tblPr>
        <w:tblW w:w="4799" w:type="dxa"/>
        <w:jc w:val="left"/>
        <w:tblInd w:w="0" w:type="dxa"/>
        <w:tblLayout w:type="fixed"/>
        <w:tblCellMar>
          <w:top w:w="28" w:type="dxa"/>
          <w:left w:w="28" w:type="dxa"/>
          <w:bottom w:w="28" w:type="dxa"/>
          <w:right w:w="28" w:type="dxa"/>
        </w:tblCellMar>
      </w:tblPr>
      <w:tblGrid>
        <w:gridCol w:w="1038"/>
        <w:gridCol w:w="911"/>
        <w:gridCol w:w="916"/>
        <w:gridCol w:w="240"/>
        <w:gridCol w:w="241"/>
        <w:gridCol w:w="300"/>
        <w:gridCol w:w="109"/>
        <w:gridCol w:w="109"/>
        <w:gridCol w:w="109"/>
        <w:gridCol w:w="240"/>
        <w:gridCol w:w="241"/>
        <w:gridCol w:w="34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Dollar-based net expansion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pPr>
      <w:r>
        <w:rPr>
          <w:rFonts w:ascii="Arial;sans-serif" w:hAnsi="Arial;sans-serif"/>
          <w:b/>
          <w:i/>
          <w:color w:val="000000"/>
          <w:sz w:val="20"/>
        </w:rPr>
        <w:t>Non-GAAP Income from Operations and Non-GAAP Operating Margin</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non-GAAP income from operations along with non-GAAP operating margin as key indicators of our financial performance. We define these non-GAAP financial measures as their respective GAAP measures, excluding the effects of 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transfer of acquired intellectual property. Restructuring expenses include non-ordinary course severance, employee related benefits and other charges to reorganize business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from operations and non-GAAP operating margin exclude stock-based compensation expense, which has been, and will continue to be, a significant recurring expense in our business and an important part of our compensation strategy.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loss from operations, the most directly comparable financial measure calculated in accordance with GAAP, to non-GAAP income from operations, and operating margin, the most directly comparable financial measure calculated in accordance with GAAP, to non-GAAP operating margin:</w:t>
      </w:r>
    </w:p>
    <w:tbl>
      <w:tblPr>
        <w:tblW w:w="9782" w:type="dxa"/>
        <w:jc w:val="left"/>
        <w:tblInd w:w="0" w:type="dxa"/>
        <w:tblLayout w:type="fixed"/>
        <w:tblCellMar>
          <w:top w:w="28" w:type="dxa"/>
          <w:left w:w="28" w:type="dxa"/>
          <w:bottom w:w="28" w:type="dxa"/>
          <w:right w:w="28" w:type="dxa"/>
        </w:tblCellMar>
      </w:tblPr>
      <w:tblGrid>
        <w:gridCol w:w="1365"/>
        <w:gridCol w:w="1197"/>
        <w:gridCol w:w="1202"/>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1"/>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42,784 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96,373 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79,792 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Non-GAAP Net Income and Non-GAAP Earnings Per Share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non-GAAP net income, which excludes stock-based compensation, acquisition-related expenses, restructuring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 We believe that these non-GAAP measures provide important information because they facilitate comparisons of our core operating results over multiple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loss and net loss per share, the most comparable financial measures calculated in accordance with GAAP, to non-GAAP net income and non-GAAP earnings per share:</w:t>
      </w:r>
    </w:p>
    <w:tbl>
      <w:tblPr>
        <w:tblW w:w="10205" w:type="dxa"/>
        <w:jc w:val="left"/>
        <w:tblInd w:w="0" w:type="dxa"/>
        <w:tblLayout w:type="fixed"/>
        <w:tblCellMar>
          <w:top w:w="28" w:type="dxa"/>
          <w:left w:w="28" w:type="dxa"/>
          <w:bottom w:w="28" w:type="dxa"/>
          <w:right w:w="28" w:type="dxa"/>
        </w:tblCellMar>
      </w:tblPr>
      <w:tblGrid>
        <w:gridCol w:w="1906"/>
        <w:gridCol w:w="1414"/>
        <w:gridCol w:w="1423"/>
        <w:gridCol w:w="212"/>
        <w:gridCol w:w="790"/>
        <w:gridCol w:w="109"/>
        <w:gridCol w:w="109"/>
        <w:gridCol w:w="109"/>
        <w:gridCol w:w="109"/>
        <w:gridCol w:w="212"/>
        <w:gridCol w:w="790"/>
        <w:gridCol w:w="109"/>
        <w:gridCol w:w="109"/>
        <w:gridCol w:w="109"/>
        <w:gridCol w:w="109"/>
        <w:gridCol w:w="211"/>
        <w:gridCol w:w="784"/>
        <w:gridCol w:w="109"/>
        <w:gridCol w:w="109"/>
        <w:gridCol w:w="109"/>
        <w:gridCol w:w="109"/>
        <w:gridCol w:w="211"/>
        <w:gridCol w:w="784"/>
        <w:gridCol w:w="160"/>
      </w:tblGrid>
      <w:tr>
        <w:trPr/>
        <w:tc>
          <w:tcPr>
            <w:tcW w:w="19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for per share amounts)</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acquisitions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diluted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(2)</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acquisitions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 to diluted earnings per share</w:t>
            </w:r>
            <w:r>
              <w:rPr>
                <w:rFonts w:ascii="Arial;sans-serif" w:hAnsi="Arial;sans-serif"/>
                <w:b w:val="false"/>
                <w:color w:val="000000"/>
                <w:sz w:val="13"/>
              </w:rPr>
              <w:t>(3)</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earnings per share, diluted</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GAAP net loss per share, diluted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non-GAAP earnings per share, diluted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123,161</w:t>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60"/>
        <w:jc w:val="left"/>
        <w:rPr/>
      </w:pPr>
      <w:r>
        <w:rPr>
          <w:rFonts w:ascii="Arial;sans-serif" w:hAnsi="Arial;sans-serif"/>
          <w:b w:val="false"/>
          <w:color w:val="000000"/>
          <w:sz w:val="18"/>
          <w:shd w:fill="FFFFFF" w:val="clear"/>
        </w:rPr>
        <w:t>(1)    </w:t>
      </w:r>
      <w:r>
        <w:rPr>
          <w:rFonts w:ascii="Arial;sans-serif" w:hAnsi="Arial;sans-serif"/>
          <w:b w:val="false"/>
          <w:color w:val="000000"/>
          <w:sz w:val="18"/>
        </w:rPr>
        <w:t>The tax impact of stock-based compensation is based on the tax treatment for the applicable tax jurisdictions.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(2)    The tax impact of acquisition-related expenses, restructuring and the amortization of acquired intangible assets are not material.</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(3)    An adjustment to reconcile GAAP net loss per share, which excludes potentially dilutive shares, to non-GAAP earnings per share, which includes potentially dilutive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Revenue </w:t>
      </w:r>
    </w:p>
    <w:p>
      <w:pPr>
        <w:pStyle w:val="TextBody"/>
        <w:bidi w:val="0"/>
        <w:spacing w:lineRule="auto" w:line="25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generate revenue from subscription arrangements for our software and cloud-based solutions, perpetual licenses, maintenance associated with perpetual licenses and professional services. We begin to recognize revenue when control of our software or services is transferred to the customer, which for sales made through our channel network is typically concurrent with the transfer to the end user.</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When the critical utility of our software does not depend on ongoing updates, we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revenue attributable to the license at the time of delivery and the revenue attributable to the maintenance and support ratably over the contract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We anticipate that these historical trends will be impacted by current macroeconomic conditions and U.S. policy decisions related to the funding of government agencies and the imposition of tariffs, which may lengthen purchasing and approval phases of our sales cycle in 2025. The ratable nature of our subscription revenue makes this seasonality less apparent in our overall financial results.</w:t>
      </w:r>
    </w:p>
    <w:p>
      <w:pPr>
        <w:pStyle w:val="TextBody"/>
        <w:bidi w:val="0"/>
        <w:spacing w:lineRule="auto" w:line="288" w:before="0" w:after="240"/>
        <w:ind w:left="0" w:right="0" w:firstLine="360"/>
        <w:jc w:val="left"/>
        <w:rPr/>
      </w:pPr>
      <w:r>
        <w:rPr>
          <w:rFonts w:ascii="Arial;sans-serif" w:hAnsi="Arial;sans-serif"/>
          <w:b/>
          <w:i/>
          <w:color w:val="000000"/>
          <w:sz w:val="20"/>
        </w:rPr>
        <w:t>Cost of Revenue, Gross Profit and Gross Margin</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Cost of revenue includes personnel costs related to our technical support group that provides assistance to customers, including salaries, benefits, bonuses, payroll taxes, stock-based compensation and any ordinary course severance. Cost of revenue also includes cloud infrastructure costs, the costs related to professional services and training, depreciation, amortization of acquired and developed technology, hardware costs and allocated overhead costs, which consist of information technology, facilities and insurance.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intend to continue to invest additional resources in our cloud-based platform and customer support team as we grow our business. The level and timing of investment in these areas could affect our cost of revenue in the future.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gross profit to increase in absolute dollars but our gross margin may fluctuate from period to period depending on the interplay of all of these factors, particularly as it relates to cloud infrastructure costs, as we expect revenue from our cloud-based subscriptions to increase as a percentage of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operating expenses consist of sales and marketing, research and development, general and administrative and restructuring expenses. Personnel costs are the most significant component of operating expenses and consist of salaries, benefits, bonuses, payroll taxes, stock-based compensation and ordinary course severance. Operating expenses also include depreciation and amortization, allocated overhead costs, including IT and facilities costs, as well as acquisition-related expenses.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Sales and Marketing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Sales and marketing expense consists of personnel costs, sales commissions, marketing programs, travel and entertainment, expenses for conferences, meetings and events, allocated overhead costs and acquisition-related expenses. We capitalize sales commissions, including related fringe benefit costs, and recognize the expense over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estimated period of benefit, which ranges 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intend to continue to make investments in our sales and marketing teams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in the second half of 2025 and over the long term. Our sales and marketing expense may fluctuate from period to period due to the timing and extent of these expenses, including sales commissions, which may fluctuate depending on the mix of sales and related expense recognition.</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Research and Development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Research and development expense consists of personnel costs, software used to develop our products, travel and entertainment, consulting and professional fees for third-party development resources, allocated overhead and acquisition-related expenses. Our research and development expense supports our efforts to continue to add capabilities to our existing products and enable the continued detection of new network vulnerabilities.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General and Administrative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General and administrative expense consists of personnel costs for our executive, finance, legal, human resources and administrative departments. Additional expenses include travel and entertainment, professional fees, insurance, allocated overhead and acquisition-related expenses.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general and administrative expense to continue to increase in absolute dollars and decrease as a percentage of our revenue over the long term, although our general and administrative expense may fluctuate from period to period due to the timing and extent of these expenses. In the six months ended June 30, 2025 our general and administrative expense included $15.5 million of termination benefits, including cash compensation and accelerated equity award vesting, related to the passing of our Chairman and Chief Executive Officer.</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Restructuring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Restructuring expenses consist of non-ordinary course severance, employee related benefits and other charges to reorganize business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Income (Expense), Net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Interest income consists of income earned on cash and cash equivalents and short-term investments. Interest expense consists primarily of interest expense in connection with our Term Loan, unused commitment fees on our Revolving Credit Facility, and letter of credit fees. Other income (expense), net consists primarily of foreign currency remeasurement and transaction gains and losses and any realized and unrealized gains and losses, including impairment losses and gains related to our non-marketable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Provision for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Provision for income taxes consists of income taxes in all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set forth our consolidated results of operations for the periods presented: </w:t>
      </w:r>
    </w:p>
    <w:tbl>
      <w:tblPr>
        <w:tblW w:w="8384" w:type="dxa"/>
        <w:jc w:val="left"/>
        <w:tblInd w:w="0" w:type="dxa"/>
        <w:tblLayout w:type="fixed"/>
        <w:tblCellMar>
          <w:top w:w="28" w:type="dxa"/>
          <w:left w:w="28" w:type="dxa"/>
          <w:bottom w:w="28" w:type="dxa"/>
          <w:right w:w="28" w:type="dxa"/>
        </w:tblCellMar>
      </w:tblPr>
      <w:tblGrid>
        <w:gridCol w:w="963"/>
        <w:gridCol w:w="845"/>
        <w:gridCol w:w="84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9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 of revenue</w:t>
            </w:r>
            <w:r>
              <w:rPr>
                <w:rFonts w:ascii="Arial;sans-serif" w:hAnsi="Arial;sans-serif"/>
                <w:b w:val="false"/>
                <w:color w:val="000000"/>
                <w:sz w:val="13"/>
              </w:rPr>
              <w:t>(1)</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Sales and marketing</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0"/>
        <w:jc w:val="left"/>
        <w:rPr/>
      </w:pPr>
      <w:r>
        <w:rPr>
          <w:rFonts w:ascii="Arial;sans-serif" w:hAnsi="Arial;sans-serif"/>
          <w:b w:val="false"/>
          <w:color w:val="000000"/>
          <w:sz w:val="13"/>
          <w:shd w:fill="FFFFFF" w:val="clear"/>
        </w:rPr>
        <w:t>(1)</w:t>
      </w:r>
      <w:r>
        <w:rPr>
          <w:color w:val="000000"/>
          <w:shd w:fill="FFFFFF" w:val="clear"/>
        </w:rPr>
        <w:t>    </w:t>
      </w:r>
      <w:r>
        <w:rPr>
          <w:rFonts w:ascii="Arial;sans-serif" w:hAnsi="Arial;sans-serif"/>
          <w:b w:val="false"/>
          <w:color w:val="000000"/>
          <w:sz w:val="20"/>
          <w:shd w:fill="FFFFFF" w:val="clear"/>
        </w:rPr>
        <w:t>Includes stock-based compensation expense as follows:</w:t>
      </w:r>
    </w:p>
    <w:tbl>
      <w:tblPr>
        <w:tblW w:w="10134" w:type="dxa"/>
        <w:jc w:val="left"/>
        <w:tblInd w:w="0" w:type="dxa"/>
        <w:tblLayout w:type="fixed"/>
        <w:tblCellMar>
          <w:top w:w="28" w:type="dxa"/>
          <w:left w:w="28" w:type="dxa"/>
          <w:bottom w:w="28" w:type="dxa"/>
          <w:right w:w="28" w:type="dxa"/>
        </w:tblCellMar>
      </w:tblPr>
      <w:tblGrid>
        <w:gridCol w:w="1361"/>
        <w:gridCol w:w="1193"/>
        <w:gridCol w:w="1196"/>
        <w:gridCol w:w="467"/>
        <w:gridCol w:w="345"/>
        <w:gridCol w:w="346"/>
        <w:gridCol w:w="241"/>
        <w:gridCol w:w="241"/>
        <w:gridCol w:w="241"/>
        <w:gridCol w:w="467"/>
        <w:gridCol w:w="345"/>
        <w:gridCol w:w="346"/>
        <w:gridCol w:w="109"/>
        <w:gridCol w:w="109"/>
        <w:gridCol w:w="109"/>
        <w:gridCol w:w="419"/>
        <w:gridCol w:w="398"/>
        <w:gridCol w:w="398"/>
        <w:gridCol w:w="216"/>
        <w:gridCol w:w="216"/>
        <w:gridCol w:w="216"/>
        <w:gridCol w:w="419"/>
        <w:gridCol w:w="304"/>
        <w:gridCol w:w="432"/>
      </w:tblGrid>
      <w:tr>
        <w:trPr/>
        <w:tc>
          <w:tcPr>
            <w:tcW w:w="13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6,270</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17,818</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34,448</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15,300</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28,267</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22,960</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(2)</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9,948</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32,939</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20,311</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81,117</w:t>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3"/>
          <w:shd w:fill="FFFFFF" w:val="clear"/>
        </w:rPr>
        <w:t>(2)</w:t>
      </w:r>
      <w:r>
        <w:rPr>
          <w:color w:val="000000"/>
          <w:shd w:fill="FFFFFF" w:val="clear"/>
        </w:rPr>
        <w:t>    </w:t>
      </w:r>
      <w:r>
        <w:rPr>
          <w:rFonts w:ascii="Arial;sans-serif" w:hAnsi="Arial;sans-serif"/>
          <w:b w:val="false"/>
          <w:color w:val="000000"/>
          <w:sz w:val="20"/>
        </w:rPr>
        <w:t>Stock-based compensation in the six months ended June 30, 2025 includes $14.6 million of expense related to the accelerated equity award vesting of our late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Comparison of the Three Months Ended June 30, 2025 and 2024</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increase in revenue:</w:t>
      </w:r>
    </w:p>
    <w:tbl>
      <w:tblPr>
        <w:tblW w:w="9026" w:type="dxa"/>
        <w:jc w:val="left"/>
        <w:tblInd w:w="0" w:type="dxa"/>
        <w:tblLayout w:type="fixed"/>
        <w:tblCellMar>
          <w:top w:w="28" w:type="dxa"/>
          <w:left w:w="28" w:type="dxa"/>
          <w:bottom w:w="28" w:type="dxa"/>
          <w:right w:w="28" w:type="dxa"/>
        </w:tblCellMar>
      </w:tblPr>
      <w:tblGrid>
        <w:gridCol w:w="1419"/>
        <w:gridCol w:w="1246"/>
        <w:gridCol w:w="1250"/>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8"/>
        <w:gridCol w:w="188"/>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revenue of $26.1 million included $24.1 million from existing customers as of July 1, 2024 and $2.0 million from new customers. U.S. revenue increased $12.7 million, or 11%. International revenue increased $13.4 million, or 13%.</w:t>
      </w:r>
    </w:p>
    <w:p>
      <w:pPr>
        <w:pStyle w:val="TextBody"/>
        <w:bidi w:val="0"/>
        <w:spacing w:lineRule="auto" w:line="288" w:before="0" w:after="60"/>
        <w:ind w:left="0" w:right="0" w:firstLine="360"/>
        <w:jc w:val="left"/>
        <w:rPr>
          <w:rFonts w:ascii="Arial;sans-serif" w:hAnsi="Arial;sans-serif"/>
          <w:b/>
          <w:i/>
          <w:color w:val="000000"/>
          <w:sz w:val="20"/>
        </w:rPr>
      </w:pPr>
      <w:r>
        <w:rPr>
          <w:rFonts w:ascii="Arial;sans-serif" w:hAnsi="Arial;sans-serif"/>
          <w:b/>
          <w:i/>
          <w:color w:val="000000"/>
          <w:sz w:val="20"/>
        </w:rPr>
        <w:t>Cost of Revenue, Gross Profit and Gross Margin</w:t>
      </w:r>
    </w:p>
    <w:tbl>
      <w:tblPr>
        <w:tblW w:w="7114" w:type="dxa"/>
        <w:jc w:val="left"/>
        <w:tblInd w:w="0" w:type="dxa"/>
        <w:tblLayout w:type="fixed"/>
        <w:tblCellMar>
          <w:top w:w="28" w:type="dxa"/>
          <w:left w:w="28" w:type="dxa"/>
          <w:bottom w:w="28" w:type="dxa"/>
          <w:right w:w="28" w:type="dxa"/>
        </w:tblCellMar>
      </w:tblPr>
      <w:tblGrid>
        <w:gridCol w:w="712"/>
        <w:gridCol w:w="625"/>
        <w:gridCol w:w="627"/>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88"/>
        <w:gridCol w:w="188"/>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cost of revenue of $5.6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$1.8 million increase in amortization of intangible assets due to acquired intangible assets;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$1.3 million increase in depreciation and amortization expense;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$1.1 million increase in third-party cloud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$0.6 million increase in personnel costs, including $0.2 million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$0.3 million increase in subscription costs;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$0.2 million increase in allocated overhead.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Sales and Marketing</w:t>
      </w:r>
    </w:p>
    <w:tbl>
      <w:tblPr>
        <w:tblW w:w="6865" w:type="dxa"/>
        <w:jc w:val="left"/>
        <w:tblInd w:w="0" w:type="dxa"/>
        <w:tblLayout w:type="fixed"/>
        <w:tblCellMar>
          <w:top w:w="28" w:type="dxa"/>
          <w:left w:w="28" w:type="dxa"/>
          <w:bottom w:w="28" w:type="dxa"/>
          <w:right w:w="28" w:type="dxa"/>
        </w:tblCellMar>
      </w:tblPr>
      <w:tblGrid>
        <w:gridCol w:w="712"/>
        <w:gridCol w:w="625"/>
        <w:gridCol w:w="627"/>
        <w:gridCol w:w="211"/>
        <w:gridCol w:w="856"/>
        <w:gridCol w:w="109"/>
        <w:gridCol w:w="109"/>
        <w:gridCol w:w="109"/>
        <w:gridCol w:w="109"/>
        <w:gridCol w:w="211"/>
        <w:gridCol w:w="856"/>
        <w:gridCol w:w="109"/>
        <w:gridCol w:w="109"/>
        <w:gridCol w:w="109"/>
        <w:gridCol w:w="109"/>
        <w:gridCol w:w="211"/>
        <w:gridCol w:w="646"/>
        <w:gridCol w:w="109"/>
        <w:gridCol w:w="109"/>
        <w:gridCol w:w="109"/>
        <w:gridCol w:w="109"/>
        <w:gridCol w:w="135"/>
        <w:gridCol w:w="136"/>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sales and marketing expense of $6.0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$2.2 million increase in personnel costs, including $1.5 million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$1.3 million increase in expenses for demand generation programs, including advertising, sponsorships and brand awareness efforts;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$1.2 million increase in sales commissions;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$1.0 million increase in selling expenses;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$0.2 million increase in acquisition-related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Research and Development</w:t>
      </w:r>
    </w:p>
    <w:tbl>
      <w:tblPr>
        <w:tblW w:w="7541" w:type="dxa"/>
        <w:jc w:val="left"/>
        <w:tblInd w:w="0" w:type="dxa"/>
        <w:tblLayout w:type="fixed"/>
        <w:tblCellMar>
          <w:top w:w="28" w:type="dxa"/>
          <w:left w:w="28" w:type="dxa"/>
          <w:bottom w:w="28" w:type="dxa"/>
          <w:right w:w="28" w:type="dxa"/>
        </w:tblCellMar>
      </w:tblPr>
      <w:tblGrid>
        <w:gridCol w:w="903"/>
        <w:gridCol w:w="792"/>
        <w:gridCol w:w="795"/>
        <w:gridCol w:w="224"/>
        <w:gridCol w:w="798"/>
        <w:gridCol w:w="115"/>
        <w:gridCol w:w="115"/>
        <w:gridCol w:w="115"/>
        <w:gridCol w:w="115"/>
        <w:gridCol w:w="224"/>
        <w:gridCol w:w="798"/>
        <w:gridCol w:w="115"/>
        <w:gridCol w:w="109"/>
        <w:gridCol w:w="109"/>
        <w:gridCol w:w="109"/>
        <w:gridCol w:w="211"/>
        <w:gridCol w:w="751"/>
        <w:gridCol w:w="109"/>
        <w:gridCol w:w="109"/>
        <w:gridCol w:w="109"/>
        <w:gridCol w:w="109"/>
        <w:gridCol w:w="188"/>
        <w:gridCol w:w="188"/>
        <w:gridCol w:w="331"/>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research and development expense of $14.1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$12.0 million increase in personnel costs, including a $3.5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$1.0 million increase in allocated overhead;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$0.5 million increase in acquisition-related expenses;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$0.4 million increase in third-party cloud infrastructure costs;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$0.3 million increase in software subscription costs.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General and Administrative</w:t>
      </w:r>
    </w:p>
    <w:tbl>
      <w:tblPr>
        <w:tblW w:w="7390" w:type="dxa"/>
        <w:jc w:val="left"/>
        <w:tblInd w:w="0" w:type="dxa"/>
        <w:tblLayout w:type="fixed"/>
        <w:tblCellMar>
          <w:top w:w="28" w:type="dxa"/>
          <w:left w:w="28" w:type="dxa"/>
          <w:bottom w:w="28" w:type="dxa"/>
          <w:right w:w="28" w:type="dxa"/>
        </w:tblCellMar>
      </w:tblPr>
      <w:tblGrid>
        <w:gridCol w:w="886"/>
        <w:gridCol w:w="778"/>
        <w:gridCol w:w="780"/>
        <w:gridCol w:w="224"/>
        <w:gridCol w:w="798"/>
        <w:gridCol w:w="115"/>
        <w:gridCol w:w="115"/>
        <w:gridCol w:w="115"/>
        <w:gridCol w:w="115"/>
        <w:gridCol w:w="224"/>
        <w:gridCol w:w="798"/>
        <w:gridCol w:w="115"/>
        <w:gridCol w:w="109"/>
        <w:gridCol w:w="109"/>
        <w:gridCol w:w="109"/>
        <w:gridCol w:w="211"/>
        <w:gridCol w:w="646"/>
        <w:gridCol w:w="109"/>
        <w:gridCol w:w="109"/>
        <w:gridCol w:w="109"/>
        <w:gridCol w:w="109"/>
        <w:gridCol w:w="188"/>
        <w:gridCol w:w="18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increase in general and administrative expense of $3.7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$1.9 million increase in personnel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$0.6 million increase in acquisition-related expenses;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$0.6 million increase in professional fees;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$0.3 million increase in travel and meeting costs;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$0.2 million increase in indirect taxes such as VAT.</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Restructuring</w:t>
      </w:r>
    </w:p>
    <w:tbl>
      <w:tblPr>
        <w:tblW w:w="7136" w:type="dxa"/>
        <w:jc w:val="left"/>
        <w:tblInd w:w="0" w:type="dxa"/>
        <w:tblLayout w:type="fixed"/>
        <w:tblCellMar>
          <w:top w:w="28" w:type="dxa"/>
          <w:left w:w="28" w:type="dxa"/>
          <w:bottom w:w="28" w:type="dxa"/>
          <w:right w:w="28" w:type="dxa"/>
        </w:tblCellMar>
      </w:tblPr>
      <w:tblGrid>
        <w:gridCol w:w="712"/>
        <w:gridCol w:w="625"/>
        <w:gridCol w:w="627"/>
        <w:gridCol w:w="274"/>
        <w:gridCol w:w="528"/>
        <w:gridCol w:w="141"/>
        <w:gridCol w:w="141"/>
        <w:gridCol w:w="141"/>
        <w:gridCol w:w="141"/>
        <w:gridCol w:w="274"/>
        <w:gridCol w:w="840"/>
        <w:gridCol w:w="141"/>
        <w:gridCol w:w="109"/>
        <w:gridCol w:w="109"/>
        <w:gridCol w:w="109"/>
        <w:gridCol w:w="211"/>
        <w:gridCol w:w="706"/>
        <w:gridCol w:w="109"/>
        <w:gridCol w:w="109"/>
        <w:gridCol w:w="109"/>
        <w:gridCol w:w="109"/>
        <w:gridCol w:w="269"/>
        <w:gridCol w:w="271"/>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Restructuring in the prior year included a $4.5 million non-cash impairment of leasehold improvements and furniture and fixtures that was recorded in connection with the sublease of a portion of our headquarters.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Income, Net</w:t>
      </w:r>
    </w:p>
    <w:tbl>
      <w:tblPr>
        <w:tblW w:w="7031" w:type="dxa"/>
        <w:jc w:val="left"/>
        <w:tblInd w:w="0" w:type="dxa"/>
        <w:tblLayout w:type="fixed"/>
        <w:tblCellMar>
          <w:top w:w="28" w:type="dxa"/>
          <w:left w:w="28" w:type="dxa"/>
          <w:bottom w:w="28" w:type="dxa"/>
          <w:right w:w="28" w:type="dxa"/>
        </w:tblCellMar>
      </w:tblPr>
      <w:tblGrid>
        <w:gridCol w:w="712"/>
        <w:gridCol w:w="625"/>
        <w:gridCol w:w="627"/>
        <w:gridCol w:w="245"/>
        <w:gridCol w:w="750"/>
        <w:gridCol w:w="126"/>
        <w:gridCol w:w="126"/>
        <w:gridCol w:w="126"/>
        <w:gridCol w:w="126"/>
        <w:gridCol w:w="245"/>
        <w:gridCol w:w="750"/>
        <w:gridCol w:w="126"/>
        <w:gridCol w:w="109"/>
        <w:gridCol w:w="109"/>
        <w:gridCol w:w="109"/>
        <w:gridCol w:w="211"/>
        <w:gridCol w:w="706"/>
        <w:gridCol w:w="109"/>
        <w:gridCol w:w="109"/>
        <w:gridCol w:w="109"/>
        <w:gridCol w:w="109"/>
        <w:gridCol w:w="218"/>
        <w:gridCol w:w="218"/>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$1.9 million decrease in interest income was due to a decrease in short-term investments. Interest expense decreased $0.9 million due to a decrease in the interest rate on our Term Loan. The $0.1 million decrease in Other income, net was primarily due to lower foreign exchange losses of $1.2 million and a $1.5 million gain on conversion of one of our SAFE investments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Provision for Income Taxes</w:t>
      </w:r>
    </w:p>
    <w:tbl>
      <w:tblPr>
        <w:tblW w:w="7226" w:type="dxa"/>
        <w:jc w:val="left"/>
        <w:tblInd w:w="0" w:type="dxa"/>
        <w:tblLayout w:type="fixed"/>
        <w:tblCellMar>
          <w:top w:w="28" w:type="dxa"/>
          <w:left w:w="28" w:type="dxa"/>
          <w:bottom w:w="28" w:type="dxa"/>
          <w:right w:w="28" w:type="dxa"/>
        </w:tblCellMar>
      </w:tblPr>
      <w:tblGrid>
        <w:gridCol w:w="886"/>
        <w:gridCol w:w="778"/>
        <w:gridCol w:w="780"/>
        <w:gridCol w:w="245"/>
        <w:gridCol w:w="750"/>
        <w:gridCol w:w="126"/>
        <w:gridCol w:w="126"/>
        <w:gridCol w:w="126"/>
        <w:gridCol w:w="126"/>
        <w:gridCol w:w="245"/>
        <w:gridCol w:w="750"/>
        <w:gridCol w:w="126"/>
        <w:gridCol w:w="109"/>
        <w:gridCol w:w="109"/>
        <w:gridCol w:w="109"/>
        <w:gridCol w:w="211"/>
        <w:gridCol w:w="481"/>
        <w:gridCol w:w="109"/>
        <w:gridCol w:w="109"/>
        <w:gridCol w:w="109"/>
        <w:gridCol w:w="109"/>
        <w:gridCol w:w="188"/>
        <w:gridCol w:w="18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the three months ended June 30, 2025,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$3.0 million of income taxes in foreign jurisdictions in which we conduct business;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$1.2 million of discrete items primarily related to withholding taxes on sales to customers.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the three months ended June 30, 2024,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$1.7 million of income taxes in foreign jurisdictions in which we conduct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$1.2 million related to Base Erosion and Anti-Abuse Tax;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$0.8 million of discrete items primarily related to withholding taxes on sales to customers.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Comparison of the Six Months Ended June 30, 2025 and 2024</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increase in revenue:</w:t>
      </w:r>
    </w:p>
    <w:tbl>
      <w:tblPr>
        <w:tblW w:w="9026" w:type="dxa"/>
        <w:jc w:val="left"/>
        <w:tblInd w:w="0" w:type="dxa"/>
        <w:tblLayout w:type="fixed"/>
        <w:tblCellMar>
          <w:top w:w="28" w:type="dxa"/>
          <w:left w:w="28" w:type="dxa"/>
          <w:bottom w:w="28" w:type="dxa"/>
          <w:right w:w="28" w:type="dxa"/>
        </w:tblCellMar>
      </w:tblPr>
      <w:tblGrid>
        <w:gridCol w:w="1419"/>
        <w:gridCol w:w="1246"/>
        <w:gridCol w:w="1250"/>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8"/>
        <w:gridCol w:w="188"/>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revenue of $49.2 million included $46.6 million from existing customers as of July 1, 2024, and $2.6 million from new customers. U.S. revenue increased $22.6 million, or 10%. International revenue increased $26.6 million, or 13%.</w:t>
      </w:r>
    </w:p>
    <w:p>
      <w:pPr>
        <w:pStyle w:val="TextBody"/>
        <w:bidi w:val="0"/>
        <w:spacing w:lineRule="auto" w:line="288" w:before="60" w:after="60"/>
        <w:ind w:left="0" w:right="0" w:firstLine="360"/>
        <w:jc w:val="left"/>
        <w:rPr>
          <w:rFonts w:ascii="Arial;sans-serif" w:hAnsi="Arial;sans-serif"/>
          <w:b/>
          <w:i/>
          <w:color w:val="000000"/>
          <w:sz w:val="20"/>
        </w:rPr>
      </w:pPr>
      <w:r>
        <w:rPr>
          <w:rFonts w:ascii="Arial;sans-serif" w:hAnsi="Arial;sans-serif"/>
          <w:b/>
          <w:i/>
          <w:color w:val="000000"/>
          <w:sz w:val="20"/>
        </w:rPr>
        <w:t>Cost of Revenue, Gross Profit and Gross Margin</w:t>
      </w:r>
    </w:p>
    <w:tbl>
      <w:tblPr>
        <w:tblW w:w="7219" w:type="dxa"/>
        <w:jc w:val="left"/>
        <w:tblInd w:w="0" w:type="dxa"/>
        <w:tblLayout w:type="fixed"/>
        <w:tblCellMar>
          <w:top w:w="28" w:type="dxa"/>
          <w:left w:w="28" w:type="dxa"/>
          <w:bottom w:w="28" w:type="dxa"/>
          <w:right w:w="28" w:type="dxa"/>
        </w:tblCellMar>
      </w:tblPr>
      <w:tblGrid>
        <w:gridCol w:w="712"/>
        <w:gridCol w:w="625"/>
        <w:gridCol w:w="627"/>
        <w:gridCol w:w="211"/>
        <w:gridCol w:w="856"/>
        <w:gridCol w:w="286"/>
        <w:gridCol w:w="109"/>
        <w:gridCol w:w="109"/>
        <w:gridCol w:w="109"/>
        <w:gridCol w:w="211"/>
        <w:gridCol w:w="751"/>
        <w:gridCol w:w="286"/>
        <w:gridCol w:w="109"/>
        <w:gridCol w:w="109"/>
        <w:gridCol w:w="109"/>
        <w:gridCol w:w="211"/>
        <w:gridCol w:w="646"/>
        <w:gridCol w:w="109"/>
        <w:gridCol w:w="109"/>
        <w:gridCol w:w="109"/>
        <w:gridCol w:w="109"/>
        <w:gridCol w:w="187"/>
        <w:gridCol w:w="189"/>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cost of revenue of $9.2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$3.0 million increase in amortization of intangible assets due to acquired intangible assets;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$2.4 million increase in depreciation and amortization expenses;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$1.6 million increase in personnel costs, including a $0.5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$1.2 million increase in third-party cloud infrastructure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$0.5 million increase in software subscription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$0.2 million increase in allocated overhead;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$0.2 million increase in professional fees.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Sales and Marketing</w:t>
      </w:r>
    </w:p>
    <w:tbl>
      <w:tblPr>
        <w:tblW w:w="6865" w:type="dxa"/>
        <w:jc w:val="left"/>
        <w:tblInd w:w="0" w:type="dxa"/>
        <w:tblLayout w:type="fixed"/>
        <w:tblCellMar>
          <w:top w:w="28" w:type="dxa"/>
          <w:left w:w="28" w:type="dxa"/>
          <w:bottom w:w="28" w:type="dxa"/>
          <w:right w:w="28" w:type="dxa"/>
        </w:tblCellMar>
      </w:tblPr>
      <w:tblGrid>
        <w:gridCol w:w="712"/>
        <w:gridCol w:w="625"/>
        <w:gridCol w:w="627"/>
        <w:gridCol w:w="211"/>
        <w:gridCol w:w="856"/>
        <w:gridCol w:w="109"/>
        <w:gridCol w:w="109"/>
        <w:gridCol w:w="109"/>
        <w:gridCol w:w="109"/>
        <w:gridCol w:w="211"/>
        <w:gridCol w:w="856"/>
        <w:gridCol w:w="109"/>
        <w:gridCol w:w="109"/>
        <w:gridCol w:w="109"/>
        <w:gridCol w:w="109"/>
        <w:gridCol w:w="211"/>
        <w:gridCol w:w="646"/>
        <w:gridCol w:w="109"/>
        <w:gridCol w:w="109"/>
        <w:gridCol w:w="109"/>
        <w:gridCol w:w="109"/>
        <w:gridCol w:w="135"/>
        <w:gridCol w:w="136"/>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sales and marketing expense of $9.3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$2.7 million increase in expenses for demand generation programs, including advertising, sponsorships and brand awareness efforts;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$2.4 million increase in personnel costs, primarily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$2.1 million increase in sales commissions;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$1.5 million increase in selling expenses;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$1.3 million increase in acquisition-related expenses; partially offset by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$0.4 million decrease in depreciation expense;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$0.3 million decrease in allocated overhead.</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Research and Development</w:t>
      </w:r>
    </w:p>
    <w:tbl>
      <w:tblPr>
        <w:tblW w:w="7496" w:type="dxa"/>
        <w:jc w:val="left"/>
        <w:tblInd w:w="0" w:type="dxa"/>
        <w:tblLayout w:type="fixed"/>
        <w:tblCellMar>
          <w:top w:w="28" w:type="dxa"/>
          <w:left w:w="28" w:type="dxa"/>
          <w:bottom w:w="28" w:type="dxa"/>
          <w:right w:w="28" w:type="dxa"/>
        </w:tblCellMar>
      </w:tblPr>
      <w:tblGrid>
        <w:gridCol w:w="903"/>
        <w:gridCol w:w="792"/>
        <w:gridCol w:w="795"/>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188"/>
        <w:gridCol w:w="188"/>
        <w:gridCol w:w="331"/>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research and development expense of $23.6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$20.4 million increase in personnel costs, largely due to an increase in headcount from recent acquisitions, and including a $5.3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$1.8 million increase in acquisition-related expenses;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$1.4 million increase in allocated overhead;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$0.5 million increase in software subscription costs; partially offset by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$0.2 million decrease in travel and meeting costs.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General and Administrative</w:t>
      </w:r>
    </w:p>
    <w:tbl>
      <w:tblPr>
        <w:tblW w:w="7345" w:type="dxa"/>
        <w:jc w:val="left"/>
        <w:tblInd w:w="0" w:type="dxa"/>
        <w:tblLayout w:type="fixed"/>
        <w:tblCellMar>
          <w:top w:w="28" w:type="dxa"/>
          <w:left w:w="28" w:type="dxa"/>
          <w:bottom w:w="28" w:type="dxa"/>
          <w:right w:w="28" w:type="dxa"/>
        </w:tblCellMar>
      </w:tblPr>
      <w:tblGrid>
        <w:gridCol w:w="886"/>
        <w:gridCol w:w="778"/>
        <w:gridCol w:w="780"/>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188"/>
        <w:gridCol w:w="18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increase in general and administrative expense of $20.6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$15.8 million increase in personnel costs, including $15.5 million in termination benefits including cash compensation and accelerated equity award vesting related to the passing of our Chairman and Chief Executive Officer;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$2.7 million increase in acquisition-related expenses;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$1.2 million increase in professional fees;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$0.4 million increase in travel and meeting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$0.1 million increase in indirect taxes such as VAT;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$0.1 million increase in software subscription costs.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Restructuring</w:t>
      </w:r>
    </w:p>
    <w:tbl>
      <w:tblPr>
        <w:tblW w:w="6910" w:type="dxa"/>
        <w:jc w:val="left"/>
        <w:tblInd w:w="0" w:type="dxa"/>
        <w:tblLayout w:type="fixed"/>
        <w:tblCellMar>
          <w:top w:w="28" w:type="dxa"/>
          <w:left w:w="28" w:type="dxa"/>
          <w:bottom w:w="28" w:type="dxa"/>
          <w:right w:w="28" w:type="dxa"/>
        </w:tblCellMar>
      </w:tblPr>
      <w:tblGrid>
        <w:gridCol w:w="712"/>
        <w:gridCol w:w="625"/>
        <w:gridCol w:w="627"/>
        <w:gridCol w:w="250"/>
        <w:gridCol w:w="482"/>
        <w:gridCol w:w="129"/>
        <w:gridCol w:w="129"/>
        <w:gridCol w:w="129"/>
        <w:gridCol w:w="129"/>
        <w:gridCol w:w="250"/>
        <w:gridCol w:w="768"/>
        <w:gridCol w:w="129"/>
        <w:gridCol w:w="109"/>
        <w:gridCol w:w="109"/>
        <w:gridCol w:w="109"/>
        <w:gridCol w:w="211"/>
        <w:gridCol w:w="706"/>
        <w:gridCol w:w="109"/>
        <w:gridCol w:w="109"/>
        <w:gridCol w:w="109"/>
        <w:gridCol w:w="109"/>
        <w:gridCol w:w="269"/>
        <w:gridCol w:w="271"/>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Restructuring in the prior year included a $4.5 million non-cash impairment of leasehold improvements and furniture and fixtures that was recorded in connection with the sublease of a portion of our headquarters and $1.6 million in non-ordinary course severance and employee related benefits.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Income (Expense), Net</w:t>
      </w:r>
    </w:p>
    <w:tbl>
      <w:tblPr>
        <w:tblW w:w="7542" w:type="dxa"/>
        <w:jc w:val="left"/>
        <w:tblInd w:w="0" w:type="dxa"/>
        <w:tblLayout w:type="fixed"/>
        <w:tblCellMar>
          <w:top w:w="28" w:type="dxa"/>
          <w:left w:w="28" w:type="dxa"/>
          <w:bottom w:w="28" w:type="dxa"/>
          <w:right w:w="28" w:type="dxa"/>
        </w:tblCellMar>
      </w:tblPr>
      <w:tblGrid>
        <w:gridCol w:w="941"/>
        <w:gridCol w:w="826"/>
        <w:gridCol w:w="828"/>
        <w:gridCol w:w="214"/>
        <w:gridCol w:w="656"/>
        <w:gridCol w:w="110"/>
        <w:gridCol w:w="110"/>
        <w:gridCol w:w="110"/>
        <w:gridCol w:w="110"/>
        <w:gridCol w:w="214"/>
        <w:gridCol w:w="762"/>
        <w:gridCol w:w="110"/>
        <w:gridCol w:w="109"/>
        <w:gridCol w:w="109"/>
        <w:gridCol w:w="109"/>
        <w:gridCol w:w="211"/>
        <w:gridCol w:w="706"/>
        <w:gridCol w:w="109"/>
        <w:gridCol w:w="109"/>
        <w:gridCol w:w="109"/>
        <w:gridCol w:w="109"/>
        <w:gridCol w:w="269"/>
        <w:gridCol w:w="271"/>
        <w:gridCol w:w="331"/>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$2.6 million decrease in interest income was due to a decrease in short-term investments. Interest expense decreased $2.0 million due to a decrease in the interest rate on our Term Loan. Other income (expense), net increased $1.7 million primarily due to an increase in foreign exchange gains partially offset by a $1.5 million gain on conversion of one of our SAFE investments in the prior year.</w:t>
      </w:r>
    </w:p>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Provision for Income Taxes</w:t>
      </w:r>
    </w:p>
    <w:tbl>
      <w:tblPr>
        <w:tblW w:w="7166" w:type="dxa"/>
        <w:jc w:val="left"/>
        <w:tblInd w:w="0" w:type="dxa"/>
        <w:tblLayout w:type="fixed"/>
        <w:tblCellMar>
          <w:top w:w="28" w:type="dxa"/>
          <w:left w:w="28" w:type="dxa"/>
          <w:bottom w:w="28" w:type="dxa"/>
          <w:right w:w="28" w:type="dxa"/>
        </w:tblCellMar>
      </w:tblPr>
      <w:tblGrid>
        <w:gridCol w:w="886"/>
        <w:gridCol w:w="778"/>
        <w:gridCol w:w="780"/>
        <w:gridCol w:w="224"/>
        <w:gridCol w:w="686"/>
        <w:gridCol w:w="115"/>
        <w:gridCol w:w="115"/>
        <w:gridCol w:w="115"/>
        <w:gridCol w:w="115"/>
        <w:gridCol w:w="224"/>
        <w:gridCol w:w="686"/>
        <w:gridCol w:w="115"/>
        <w:gridCol w:w="109"/>
        <w:gridCol w:w="109"/>
        <w:gridCol w:w="109"/>
        <w:gridCol w:w="211"/>
        <w:gridCol w:w="646"/>
        <w:gridCol w:w="109"/>
        <w:gridCol w:w="109"/>
        <w:gridCol w:w="109"/>
        <w:gridCol w:w="109"/>
        <w:gridCol w:w="188"/>
        <w:gridCol w:w="18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2025,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$5.1 million of income taxes in foreign jurisdictions in which we conduct business;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$2.7 million of discrete items primarily related to withholding taxes on sales to customers.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2024,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$2.1 million of income taxes in foreign jurisdictions in which we conduct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$1.7 million related to Base Erosion and Anti-Abuse Tax;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$1.6 million of discrete items primarily related to withholding taxes on sales to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June 30, 2025, we had $175.0 million of cash and cash equivalents, which consisted of cash deposits and money market funds, and $211.5 million of short-term investments, which consisted of commercial paper, asset backed securities, U.S. Treasury and agency obligations and corporate and Yankee bonds.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Since our inception, we have primarily financed our operations through cash provided by operations, including payments received from customers using our software products and services. Prior to our IPO, we did not raise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primary institutional capital, and the proceeds of our Series A and Series B redeemable convertible preferred stock financings were used to repurchase shares of capital stock from former stockholders. We have generated significant operating losses as reflected by our accumulated deficit of $899.0 million at June 30, 2025.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typically invoice our customers annually in advance and, to a lesser extent, multi-years in advance. Therefore, a substantial source of our cash is from such prepayments, which are included in deferred revenue on our consolidated balance sheets. Deferred revenue consists primarily of the unearned portion of billed fees for our subscriptions and perpetual licenses, which is subsequently recognized as revenue in accordance with our revenue recognition policy. At June 30, 2025, we had deferred revenue of $797.8 million, of which $624.5 million was recorded as a current liability and is expected to be recognized as revenue in the next 12 months, provided all other revenue recognition criteria are met.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principal uses of cash in recent periods have been funding our operations, expansion of our sales and marketing and research and development activities, investments in infrastructure, acquiring complementary businesses and technology, and repurchasing shares of our common stock. In 2025, we acquired both Vulcan and Apex for a combined $196.2 million in cash. We expect to enter into arrangements to acquire or invest in other complementary businesses, services and technologies, including intellectual property rights, in the future.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expect to continue incurring operating losses in the near term. Even though we generated positive cash flows from operations and free cash flow in the six months ended June 30, 2025, we may not be able to sustain these cash flows. We believe that our existing cash and cash equivalents and short-term investments will be sufficient to fund our operating and capital needs for at least the next 12 months and for the foreseeable future.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 Repurchase Plan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November 2023, our Board of Directors authorized the repurchase of up to $100 million of our common stock. In October 2024, our Board of Directors increased the repurchase authorization by $200 million. In July 2025, our Board of Directors increased the repurchase authorization by $250 million. Since the inception of the repurchase program and through June 30, 2025, we have purchased a total of 6.3 million shares for $239.9 million.</w:t>
      </w:r>
    </w:p>
    <w:p>
      <w:pPr>
        <w:pStyle w:val="TextBody"/>
        <w:bidi w:val="0"/>
        <w:spacing w:lineRule="auto" w:line="288" w:before="0" w:after="240"/>
        <w:ind w:left="0" w:right="0" w:firstLine="360"/>
        <w:jc w:val="left"/>
        <w:rPr/>
      </w:pPr>
      <w:r>
        <w:rPr>
          <w:rFonts w:ascii="Arial;sans-serif" w:hAnsi="Arial;sans-serif"/>
          <w:b/>
          <w:i/>
          <w:color w:val="000000"/>
          <w:sz w:val="20"/>
        </w:rPr>
        <w:t>Term Loan and Revolving Credit Facility</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a credit agreement, or the Credit Agreement, which is comprised of a $375.0 million Term Loan and a $50.0 million Revolving Credit Facility, with a $15.0 million letter of credit sublimit. The Term Loan bears interest at a rate of 2.75% per annum over SOFR, subject to a 0.50% floor, plus a credit spread adjustment depending on the interest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From January to June 2025, interest rates on our Term Loan were between 7.18% and 7.22%. The Term Loan is being amortized at 1% per annum in equal quarterly installments until the final payment of $350.6 million on the July 7, 2028 maturity date. We may be subject to mandatory Term Loan prepayments related to the excess cash provisions in the Credit Agreement if our first lien net leverage ratio (as defined in the Credit Agreement) exceeds 3.5. At June 30, 2025, our first lien net leverage ratio was 0.88.</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Revolving Credit Facility bears interest at a rate, depending on first lien net leverage, ranging from 2.00% to 2.50% over SOFR and matures on July 7, 2026. We pay a commitment fee during the term ranging from 0.25% to 0.375% per annum of the average daily undrawn portion of our Revolving Credit Facility. At June 30, 2025, we were in compliance with the covenants and had $0.2 million of standby letters of credit outstanding under the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pPr>
      <w:r>
        <w:rPr>
          <w:rFonts w:ascii="Arial;sans-serif" w:hAnsi="Arial;sans-serif"/>
          <w:b/>
          <w:i/>
          <w:color w:val="000000"/>
          <w:sz w:val="20"/>
        </w:rPr>
        <w:t>Cash Flows</w:t>
      </w:r>
      <w:r>
        <w:rPr>
          <w:color w:val="000000"/>
        </w:rPr>
        <w:t xml:space="preserve">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w:t>
      </w:r>
    </w:p>
    <w:tbl>
      <w:tblPr>
        <w:tblW w:w="10014" w:type="dxa"/>
        <w:jc w:val="left"/>
        <w:tblInd w:w="0" w:type="dxa"/>
        <w:tblLayout w:type="fixed"/>
        <w:tblCellMar>
          <w:top w:w="28" w:type="dxa"/>
          <w:left w:w="28" w:type="dxa"/>
          <w:bottom w:w="28" w:type="dxa"/>
          <w:right w:w="28" w:type="dxa"/>
        </w:tblCellMar>
      </w:tblPr>
      <w:tblGrid>
        <w:gridCol w:w="2659"/>
        <w:gridCol w:w="2335"/>
        <w:gridCol w:w="2341"/>
        <w:gridCol w:w="211"/>
        <w:gridCol w:w="916"/>
        <w:gridCol w:w="109"/>
        <w:gridCol w:w="109"/>
        <w:gridCol w:w="109"/>
        <w:gridCol w:w="109"/>
        <w:gridCol w:w="211"/>
        <w:gridCol w:w="751"/>
        <w:gridCol w:w="154"/>
      </w:tblGrid>
      <w:tr>
        <w:trPr/>
        <w:tc>
          <w:tcPr>
            <w:tcW w:w="265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and restricted cash</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Net cash used in investing activities increased by $124.3 million, primarily due to a $167.0 million increase in cash paid for acquisitions, a $9.7 million net increase in purchases of property and equipment and a $2.6 million net decrease in proceeds from other investments, partially offset by a $51.6 million net decrease in purchases of short-term investments and a $3.4 million decrease in capitalized software development costs in the six months ended June 30, 2025.</w:t>
      </w:r>
    </w:p>
    <w:p>
      <w:pPr>
        <w:pStyle w:val="TextBody"/>
        <w:bidi w:val="0"/>
        <w:spacing w:lineRule="auto" w:line="288" w:before="0" w:after="240"/>
        <w:ind w:left="0" w:right="0" w:firstLine="360"/>
        <w:jc w:val="left"/>
        <w:rPr/>
      </w:pPr>
      <w:r>
        <w:rPr>
          <w:rFonts w:ascii="Arial;sans-serif" w:hAnsi="Arial;sans-serif"/>
          <w:b w:val="false"/>
          <w:i/>
          <w:color w:val="000000"/>
          <w:sz w:val="20"/>
        </w:rPr>
        <w:t>Financing Activities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Net cash used in financing activities increased by $78.5 million, primarily due to a $75.0 million increase in repurchases of our common stock under our repurchase program, a $1.9 million decrease in proceeds from the exercise of stock options, a $1.3 million increase in cash paid for taxes related to net share settlement of equity awards and a $0.2 million decrease in proceeds from stock issued in connection with our employee stock purchase program.</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certain contractual obligations for future payments. Refer to Note 7 to our consolidated financial statements for our required operating lease payments and Note 9 for our required payments to Microsoft and AWS for cloud services.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June 30, 2025, there were no other material changes in our contractual obligations and commitments from those disclosed in our 10-K.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described in our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exposed to market risks in the ordinary course of our business, including interest rate, foreign currency exchange and inflation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pPr>
      <w:r>
        <w:rPr>
          <w:rFonts w:ascii="Arial;sans-serif" w:hAnsi="Arial;sans-serif"/>
          <w:b/>
          <w:i/>
          <w:color w:val="000000"/>
          <w:sz w:val="20"/>
        </w:rPr>
        <w:t>Interest Rate Risk</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June 30, 2025, we had $175.0 million of cash and cash equivalents, which consisted of cash deposits and money market funds. We also had $211.5 million of short-term investments, which consisted of commercial paper, asset backed securities, U.S. treasury and agency securities and corporate and Yankee bonds. Our investments are carried at their fair market values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the Credit Agreement comprised of a $375.0 million Term Loan and a $50.0 million Revolving Credit Facility. From January to June 2025, interest rates on our Term Loan have been between 7.18% and 7.22%. In July and August 2025, the Term Loan has an interest rate of 7.19% and 7.22%, respectively. A one percentage point increase in the rate would increase 2025 interest expense by $1.2 million.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Foreign Currency Exchange Risk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Indian Rupee and Brazilian Real. Strengthening of the U.S. dollar compared to other currencies could result in lower international sales as our products would seem more expensive and could result in lower international operating costs as the U.S. dollar is the functional currency for all of our international subsidiaries.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currencies becomes more significant. </w:t>
      </w:r>
    </w:p>
    <w:p>
      <w:pPr>
        <w:pStyle w:val="TextBody"/>
        <w:bidi w:val="0"/>
        <w:spacing w:lineRule="auto" w:line="288" w:before="0" w:after="240"/>
        <w:ind w:left="0" w:right="0" w:firstLine="360"/>
        <w:jc w:val="left"/>
        <w:rPr/>
      </w:pPr>
      <w:r>
        <w:rPr>
          <w:rFonts w:ascii="Arial;sans-serif" w:hAnsi="Arial;sans-serif"/>
          <w:b/>
          <w:i/>
          <w:color w:val="000000"/>
          <w:sz w:val="20"/>
        </w:rPr>
        <w:t>Inflation Risk</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While we do not believe that inflation has had a material effect on our business, results of operations, or financial condition through June 30, 2025, our costs, specifically employee-related and third-party cloud infrastructure costs, may become subject to significant inflationary pressures, and our inability or failure to fully offset such higher costs could harm our business, results of operations,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Co-Chief Executive Officers, have evaluated the effectiveness of our disclosure controls and procedures (as defined in Rules 13a-15(e) and 15d-15(e) under the Exchange Act), as of the end of the period covered by this Form 10-Q. Based on such evaluation, our Co-Chief Executive Officers have concluded that at June 30, 2025, our disclosure controls and procedures were effective to provide reasonable assurance that the information required to be disclosed by us in this Form 10-Q was (a) reported within the time periods specified by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rules and regulations, and (b) communicated to our management, including our Co-Chief Executive Officer and Chief Financial Officer, to allow timely decisions regarding any required disclosure.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Inherent Limitations on Effectiveness of Internal Controls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Co-Chief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Except for the risk factors disclosed below, there have been no material changes to the risk factors disclosed in Part 1, Item 1A. "Risk Factors" of our Form 10-K for the year ended December 31, 2024 filed with the United States Securities and Exchange Commission ("SEC") on February 24, 2025. Our business is subject to risks and events that, if they occur, could adversely affect our financial condition and results of operations and trading price of our securities. In addition to the other information set forth in this Form 10-Q, you should carefully consider the factors described in Part I, Item 1A. “Risk Factors” of our Form 10-K for the year ended December 31, 2024. We may disclose additional changes to risk factors or disclose additional factors from time to time in our future filings with the SEC. Additional risks and uncertainties not presently known to us or that we currently deem immaterial also may impair our business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have incorporated and may in the future further incorporate generative and other types of AI processes, algorithms, and technologies into certain of our products and services. This technology is new and developing, and may generate output that is inaccurate or flawed or may not achieve market acceptance, which could result in operational, financial, regulatory, and reputational harm and other adverse consequences to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incorporated and may in the future further incorporate AI features in certain of our products and services, including ExposureAI and Tenable AI Assistant. The use of generative AI processes at scale is relatively new, and may lead to challenges, concerns and risks, including various privacy and security risks that are significant or that we may not be able to predict, especially if our use of these technologies in our products and services becomes more important to our operations over time. The technologies underpinning these features are in the early stages of commercial use and exist in an emerging regulatory environment, which presents regulatory, litigation, ethical, reputational, operational and financial risks. AI in our products and services may be difficult to deploy successfully due to operational issues inherent to the nature of such technologies, including the development, maintenance and operation of deep learning datasets.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Additionally, if we do not have adequate rights to utilize the data or other materials and content that our AI technologies depend on, we may face legal consequences for violating applicable laws, third-party intellectual property, privacy or other rights, or contracts to which we are a party.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Uncertainty in the legal regulatory regime relating to AI and emerging ethical issues surrounding the use of AI may require significant resources to modify and maintain business practices to comply with U.S. and non-U.S. laws, the nature of which cannot be determined at this time. Existing laws and regulations may apply to us or our suppliers, vendors, partners and customers in new ways, and new laws and regulations may be instituted. Many U.S. and international governmental bodies and regulators have proposed, enacted or are in the process of developing new regulations related to the use of AI and machine learning technologies. For example, the European Union authorities recently adopted a legal framework on AI regulation, the Artificial Intelligence Act, which applies beyond the European Union’s borders and establishes obligations for AI providers and those deploying AI systems. Other jurisdictions may adopt similar or potentially more restrictive laws, which may render the use of such technologies challenging. The final form of these may impose obligations related to our development, offering and use of AI technologies and expose us to increased risk of regulatory enforcement and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Any sensitive information (including confidential, competitive, proprietary, or personal data) that we input into a third-party generative AI platform could be leaked or disclosed to others, including if sensitive information is used to train the third party’s AI model. Additionally, where an AI model ingests personal data and makes connections using such data, those technologies may reveal other personal or sensitive information generated by the model.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AI technology features may also generate output that is misleading, insecure, inaccurate, harmful or otherwise flawed. Agentic AI solutions may compound those risks by taking or implementing actions or outputs, which themselves may be based on flawed outputs, that further increase the risk of misleading, insecure, inaccurate, harmful or otherwise flawed outcomes. Our customers or others may rely on or use such misleading, insecure, harmful or otherwise flawed content to their detriment, which may harm our brand, reputation, business or customers, cause competitive harm or expose us to legal liability. For example, AI algorithms use machine learning and predictive analytics, which may be insufficient or of poor quality and reflect inherent biases and could lead to flawed, biased, and inaccurate results. Deficient or inaccurate recommendations, forecasts, or analyses that generative AI applications assist in producing could lead to customer rejection or skepticism of our products, affect our reputation or brand, and negatively affect our financial results. Further, unauthorized use or misuse of AI by our employees or others may result in disclosure of confidential company and customer data, reputational harm, privacy law violations and legal liability. Our use of generative AI may also lead to novel and urgent cybersecurity risks, including those related to personal data, which may adversely affect our operations and reputation.</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We rely on our third-party channel partner network of distributors and resellers to generate a substantial amount of our 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success is dependent in part upon establishing and maintaining relationships with a variety of channel partners that we utilize to extend our geographic reach and market penetration. We typically use a two-tiered channel model whereby we sell our products and services to our distributors, who in turn sell to our resellers, who then sell to our end users, who we call customers. We anticipate that we will continue to rely on this two-tiered sales model in order to help facilitate sales of our offerings as part of larger purchases in the United States and to grow our business internationally. Revenue derived through our channel network comprised 94% of revenue in the three and six months ended June 30, 2025 and 94% and 92% of revenue in the three and six months ended June 30, 2024, respectively, and the percentage of revenue derived from channel partners may continue to increase in future periods. Ingram Micro, one of our distributors, accounted for 32% of revenue in the three and six months ended June 30, 2025 and 34% of revenue, respectively, in the three and six months ended June 30, 2024 and 31% and 29% of accounts receivable at June 30, 2025 and December 31, 2024. Our reliance on these channel partners also means that any significant interruption to their systems could harm our business. For example, a major distributor experiencing a significant operational failure or cybersecurity incident, such as the recent ransomware attack that impacted Ingram Micro, could disrupt their ability to take orders and distribute products. Any such interruption could negatively affect our ability to sell and distribute our products through that partner, which could materially and adversely impact our business, financial position, and results of operations.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at their discretion upon 30 days’ written notice to us. If our channel partners choose to place greater emphasis on products of their own or those offered by our competitors or as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economic uncertainty, legal or regulatory actions, such as government investigations or law enforcement activities, impacting their business,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 portion of our revenue is generated from subscriptions and perpetual licenses sold to domestic governmental entities, foreign governmental entities and other heavily regulated organizations, which are subject to a number of challenges and risks.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the operational stability of federal agencies, and the prioritization of cybersecurity and digital infrastructure initiatives. Funding reductions or delays, removal of agency operating budgets or deprioritization of cybersecurity digital infrastructure related initiatives would adversely affect public sector demand for our enterprise platform. For example, the new U.S. presidential administration’s commitment and actions to reduce government spending, including, but not limited to, those driven by the Department of Government Efficiency (DOGE), may impact the availability of funding for U.S. government customers as a result of the elimination of departments and personnel. These actions may lead to elongated sales cycles and procurement decisions in the second half of 2025 and could result in fewer contract opportunities or reduced funding for existing initiatives, all of which would adversely affect our business and financial performance. In addition, governmental entities have the authority to terminate contracts at any time for the convenience of the government, which creates risk regarding revenue anticipated under our existing government contracts.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Some of our revenue is derived from contracts with U.S. government entities, as well as subcontracts with higher-tier contractors and customers who receive government funding. As a result, we are subject to federal contracting regulations, including the Federal Acquisition Regulation, or the FAR. Under the FAR, certain types of contracts require pricing that is based on estimated direct and indirect costs, which are subject to change.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Moreover, as a U.S. government contractor, we maintain plans to ensure compliance with nondiscrimination and regulatory requirements for qualified employees on the basis of gender, race, disability and veteran status. Consequently, we may be subject to executive orders and regulatory changes affecting various aspects of our operations, including compliance with nondiscrimination plans. Any required elimination or modification of such plans in response to new executive orders could pose challenges in hiring or retaining employees and may lead to other adverse operational impacts. Failure to comply with these requirements could expose us to administrative, civil, or criminal liabilities, including fines, penalties, repayments or suspension or debarment from eligibility for future U.S. government contracts. Further, as a U.S. government contractor, we are subject to an increased risk of investigations, criminal prosecution, civil fraud, whistleblower lawsuits and other legal actions and liabilities as compared to solely private sector commercial companies.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Unstable market and economic conditions may have material adverse consequences on our business, financial condition and share price.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global economy, including credit and financial markets, recently experienced extreme volatility and disruptions, including severely diminished liquidity and credit availability, declines in consumer confidence, declines in economic growth, increases in unemployment rates, inflation, interest rate fluctuations, increased global trade barriers, and uncertainty about economic stability. For example, in recent years the high rates of inflation, high interest rates and concerns about an economic recession in the United States or other major markets resulted in widespread unemployment, economic slowdown and extreme volatility in the capital markets. In 2022 and 2023, the Federal Reserve raised interest rates multiple times in response to concerns about inflation. While the Federal Reserve decreased interest rates in 2024, interest rates remain high and the Federal Reserve is not expected to significantly decrease interest rates in the immediate future. Higher interest rates, coupled with reduced government spending and volatility in financial markets, including with respect to foreign exchange, may increase economic uncertainty and affect consumer spending. For example, during periods with a relatively strong U.S. dollar, our products are more expensive for existing and prospective international customers, which has impacted, and in the future could impact the budgets and purchasing decisions of certain of our existing and prospective international 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Increased inflation rates can adversely affect us by increasing our costs, including labor and employee benefit costs. In addition, higher inflation could also increase our customers’ operating costs, which could result in reduced budgets for our customers, longer sales cycles and potentially less demand for our products. Any significant increases in inflation and related increases in interest rates could have a material adverse effect on our business, results of operations and financial condition.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recent tariff actions and escalating trade tensions have contributed to heightened market uncertainty and increased operating costs for certain customers, which may cause private-sector customers to defer or reprioritize purchasing decisions as they assess potential impacts from ongoing trade negotiations and regulatory developments, which could extend enterprise procurement cycles and would adversely impact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retaliatory trade policies or anti-U.S. sentiment in certain regions whether driven by trade tensions, political disagreements, or regulatory concerns may make customers more hesitant to adopt solutions offered by U.S.-based providers.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digital services, which may result in heightened international legal and operational risks and difficulties in attracting and retaining non-U.S. customers, suppliers, employees, partners and investors.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negatively impact our business and operations. Ongoing tariff and macroeconomic uncertainty has and may continue to contribute to volatility in the price of our common stock. Furthermore, if the equity and credit markets deteriorate, including as a result of political unrest or war, it may make any necessary debt or equity financing more difficult to obtain in a timely manner or on favorable terms, more costly or more dilutive.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 and in our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Unregistered Sales of Equity Securities and Issuer Purchases of Equity Securities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Unregistered Sales of Equity Securities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Use of Proceeds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Issuer Purchases of Equity Securities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stock repurchases during the three months ended June 30, 2025 is presented below:</w:t>
      </w:r>
    </w:p>
    <w:tbl>
      <w:tblPr>
        <w:tblW w:w="10205" w:type="dxa"/>
        <w:jc w:val="left"/>
        <w:tblInd w:w="0" w:type="dxa"/>
        <w:tblLayout w:type="fixed"/>
        <w:tblCellMar>
          <w:top w:w="28" w:type="dxa"/>
          <w:left w:w="28" w:type="dxa"/>
          <w:bottom w:w="28" w:type="dxa"/>
          <w:right w:w="28" w:type="dxa"/>
        </w:tblCellMar>
      </w:tblPr>
      <w:tblGrid>
        <w:gridCol w:w="606"/>
        <w:gridCol w:w="532"/>
        <w:gridCol w:w="535"/>
        <w:gridCol w:w="109"/>
        <w:gridCol w:w="109"/>
        <w:gridCol w:w="109"/>
        <w:gridCol w:w="388"/>
        <w:gridCol w:w="388"/>
        <w:gridCol w:w="389"/>
        <w:gridCol w:w="109"/>
        <w:gridCol w:w="109"/>
        <w:gridCol w:w="109"/>
        <w:gridCol w:w="109"/>
        <w:gridCol w:w="109"/>
        <w:gridCol w:w="109"/>
        <w:gridCol w:w="287"/>
        <w:gridCol w:w="839"/>
        <w:gridCol w:w="148"/>
        <w:gridCol w:w="109"/>
        <w:gridCol w:w="109"/>
        <w:gridCol w:w="109"/>
        <w:gridCol w:w="703"/>
        <w:gridCol w:w="703"/>
        <w:gridCol w:w="705"/>
        <w:gridCol w:w="109"/>
        <w:gridCol w:w="109"/>
        <w:gridCol w:w="109"/>
        <w:gridCol w:w="414"/>
        <w:gridCol w:w="1623"/>
        <w:gridCol w:w="310"/>
      </w:tblGrid>
      <w:tr>
        <w:trPr/>
        <w:tc>
          <w:tcPr>
            <w:tcW w:w="60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for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Approximate Dollar Value of Shares that May Yet Be Purchased Under Plan</w:t>
            </w:r>
            <w:r>
              <w:rPr>
                <w:rFonts w:ascii="Arial;sans-serif" w:hAnsi="Arial;sans-serif"/>
                <w:b/>
                <w:color w:val="000000"/>
                <w:sz w:val="12"/>
              </w:rPr>
              <w:t>(1)</w:t>
            </w:r>
          </w:p>
        </w:tc>
      </w:tr>
      <w:tr>
        <w:trPr/>
        <w:tc>
          <w:tcPr>
            <w:tcW w:w="167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April 1, 2025 to April 30, 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8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33.17 </w:t>
            </w:r>
          </w:p>
        </w:tc>
        <w:tc>
          <w:tcPr>
            <w:tcW w:w="14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2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125,089 </w:t>
            </w:r>
          </w:p>
        </w:tc>
        <w:tc>
          <w:tcPr>
            <w:tcW w:w="31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May 1, 2025 to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86,090 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June 1, 2025 to June 30, 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38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32.48 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7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60,090 </w:t>
            </w:r>
          </w:p>
        </w:tc>
        <w:tc>
          <w:tcPr>
            <w:tcW w:w="3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3"/>
        </w:rPr>
        <w:t>(1)</w:t>
      </w:r>
      <w:r>
        <w:rPr>
          <w:color w:val="000000"/>
        </w:rPr>
        <w:t>    </w:t>
      </w:r>
      <w:r>
        <w:rPr>
          <w:rFonts w:ascii="Arial;sans-serif" w:hAnsi="Arial;sans-serif"/>
          <w:b w:val="false"/>
          <w:color w:val="000000"/>
          <w:sz w:val="20"/>
        </w:rPr>
        <w:t>In November 2023, our Board of Directors authorized the repurchase of up to $100 million of our common stock. In October 2024, our Board of Directors increased the repurchase authorization by $200 million. In July 2025, our Board of Directors increased the repurchase authorization by $250 million. Repurchases under the share repurchase program may be made in the open market, in privately negotiated transactions, or in such other manner as determined by us, including through repurchase plans complying with the rules and regulations of the Securities and Exchange Commission. The authorization has no expiration date.</w:t>
      </w:r>
    </w:p>
    <w:p>
      <w:pPr>
        <w:pStyle w:val="TextBody"/>
        <w:bidi w:val="0"/>
        <w:spacing w:lineRule="auto" w:line="288" w:before="0" w:after="240"/>
        <w:jc w:val="left"/>
        <w:rPr/>
      </w:pPr>
      <w:r>
        <w:rPr>
          <w:rFonts w:ascii="Arial;sans-serif" w:hAnsi="Arial;sans-serif"/>
          <w:b w:val="false"/>
          <w:color w:val="000000"/>
          <w:sz w:val="13"/>
        </w:rPr>
        <w:t>(2)</w:t>
      </w:r>
      <w:r>
        <w:rPr>
          <w:color w:val="000000"/>
        </w:rPr>
        <w:t>    </w:t>
      </w:r>
      <w:r>
        <w:rPr>
          <w:rFonts w:ascii="Arial;sans-serif" w:hAnsi="Arial;sans-serif"/>
          <w:b w:val="false"/>
          <w:color w:val="000000"/>
          <w:sz w:val="20"/>
        </w:rPr>
        <w:t>Includes 40,061 shares withheld to cover taxes paid related to net share settlement of equity awards.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Items 3 and 4 are not 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Amendments to Employment Agreements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Following the appointment of Mr. Vintz and Mr. Thurmond as co-Chief Executive Officers on a permanent basis in April of 2025, the Compensation Committee of our Board of Directors approved on August 5, 2025, and we entered into, amendments to the amended and restated employment agreement (the “Vintz A&amp;R Employment Agreement”) with Mr. Vintz, our Co-Chief Executive Officer (the “Vintz Amendment”), and the employment agreement (the “Thurmond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Employment Agreement” and together with the Vintz A&amp;R Employment Agreement, the “Co-CEO Employment Agreements”) with Mr. Thurmond, our Co-Chief Executive Officer (the “Thurmond Amendment” and, together with the Vintz Amendment, the “Co-CEO Employment Agreement Amendments”).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Co-CEO Employment Agreement Amendments, upon termination without cause or resignation for good reason (each as defined in the Co-CEO Employment Agreements, as amended by the Co-CEO Employment Agreement Amendments) outside of the three months prior to or 12 months following a change in control of our company, provided that Mr. Vintz or Mr. Thurmond, as applicable, signed and did not revoke a separation agreement that included a release of claims, such executive is eligible to receive 18 months of continued base salary, increased from 12 months under the Co-CEO Employment Agreements prior to the Co-CEO Employment Agreement Amendments, payment by the company of the employer-portion of premiums for continued group health coverage for up to 12 months following termination, a lump sum cash payment equal to such executive’s target annual bonus for the year in which the termination occurred, prorated based on the last day of employment and reduced by the amount of any quarterly bonuses previously paid or due for the year in which the termination occurred, and prorated accelerated vesting of outstanding equity awards.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the Co-CEO Employment Agreement Amendments revise the definition of, “good reason” in the Co-CEO Employment Agreements to generally include any of the following occurring without the executive's express prior written consent: (i) a material reduction in the executive's base salary (other than a general reduction in base salary that affects all other members of our company’s executive management); (ii) a material reduction in the executive's target bonus opportunity (applicable only in the event of a change in control of our company); (iii) a material relocation in the geographic location at which the executive is required to perform services for us, including any requirement that the executive regularly report to a company office or relocate from their home office location, except as may be reasonably required for travel that is consistent with the executive’s position and responsibilities; (iv) any material breach by our company of any material provision of the executive's employment agreement, or any material provision of any other agreement between the executive and our company concerning the terms and conditions of such executive’s employment; (v) our failure to obtain an agreement from any successor to our company to assume and agree to perform the executive’s employment agreement in the same manner and to the same extent that we would be required to perform if no succession had taken place, except where such assumption occurs by operation of law; and (vi) a material, adverse diminution in the executive's title, authority, duties, responsibilities, or reporting structure, with a clarification that a material diminution is deemed to have occurred if a portion of the role involved responsibilities related to being a public company and we are no longer a public reporting entity.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Except as disclosed in this Item 5 to Periodic Report on Form 10-Q, the terms and conditions of the Co-CEO Employment Agreements remain unchanged.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foregoing descriptions of the Co-CEO Employment Agreement Amendments are qualified in their entireties to the complete text of the Co-CEO Employment Agreement Amendments, copies of which are filed hereto as Exhibits 10.2 and 10.3.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 list of Exhibits filed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339"/>
        <w:gridCol w:w="298"/>
        <w:gridCol w:w="301"/>
        <w:gridCol w:w="109"/>
        <w:gridCol w:w="109"/>
        <w:gridCol w:w="109"/>
        <w:gridCol w:w="1901"/>
        <w:gridCol w:w="1690"/>
        <w:gridCol w:w="1705"/>
        <w:gridCol w:w="109"/>
        <w:gridCol w:w="109"/>
        <w:gridCol w:w="109"/>
        <w:gridCol w:w="1007"/>
        <w:gridCol w:w="949"/>
        <w:gridCol w:w="1361"/>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Location</w:t>
            </w:r>
          </w:p>
        </w:tc>
      </w:tr>
      <w:tr>
        <w:trPr/>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Amended and Restated Certificate of Incorporation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Previously filed as Exhibit 3.1 to the Company's Current Report on Form 8-K (File No. 001-38600) on July 30, 2018</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Second Amended and Restated Bylaws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Previously filed as Exhibit 3.1 to the Company's Current Report on Form 8-K (File No. 001-38600) on November 15, 2023</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Common Stock Certificate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Previously filed as Exhibit 4.1 to the Company's Registration Statement on Form S-1 (File No. 333-226002) on July 16, 2018</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hibit101.htm">
              <w:r>
                <w:rPr>
                  <w:rStyle w:val="InternetLink"/>
                  <w:rFonts w:ascii="Arial;sans-serif" w:hAnsi="Arial;sans-serif"/>
                  <w:b w:val="false"/>
                  <w:color w:val="0000FF"/>
                  <w:sz w:val="20"/>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hibit102.htm">
              <w:r>
                <w:rPr>
                  <w:rStyle w:val="InternetLink"/>
                  <w:rFonts w:ascii="Arial;sans-serif" w:hAnsi="Arial;sans-serif"/>
                  <w:b w:val="false"/>
                  <w:color w:val="000080"/>
                  <w:sz w:val="20"/>
                  <w:u w:val="single"/>
                </w:rPr>
                <w:t>Amendment No</w:t>
              </w:r>
            </w:hyperlink>
            <w:hyperlink w:anchor="q22025exhibit102.htm">
              <w:r>
                <w:rPr>
                  <w:rStyle w:val="InternetLink"/>
                  <w:rFonts w:ascii="Arial;sans-serif" w:hAnsi="Arial;sans-serif"/>
                  <w:b w:val="false"/>
                  <w:color w:val="000080"/>
                  <w:sz w:val="20"/>
                  <w:u w:val="single"/>
                </w:rPr>
                <w:t>.</w:t>
              </w:r>
            </w:hyperlink>
            <w:hyperlink w:anchor="q22025exhibit102.htm">
              <w:r>
                <w:rPr>
                  <w:rStyle w:val="InternetLink"/>
                  <w:rFonts w:ascii="Arial;sans-serif" w:hAnsi="Arial;sans-serif"/>
                  <w:b w:val="false"/>
                  <w:color w:val="000080"/>
                  <w:sz w:val="20"/>
                  <w:u w:val="single"/>
                </w:rPr>
                <w:t xml:space="preserve"> 1</w:t>
              </w:r>
            </w:hyperlink>
            <w:hyperlink w:anchor="q22025exhibit102.htm">
              <w:r>
                <w:rPr>
                  <w:rStyle w:val="InternetLink"/>
                  <w:rFonts w:ascii="Arial;sans-serif" w:hAnsi="Arial;sans-serif"/>
                  <w:b w:val="false"/>
                  <w:color w:val="000080"/>
                  <w:sz w:val="20"/>
                  <w:u w:val="single"/>
                </w:rPr>
                <w:t xml:space="preserve"> to Amended and Restated Employment Agreement, dated August 5, 2025, by and between Tenable, Inc. and Stephen A. Vintz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hibit103.htm">
              <w:r>
                <w:rPr>
                  <w:rStyle w:val="InternetLink"/>
                  <w:rFonts w:ascii="Arial;sans-serif" w:hAnsi="Arial;sans-serif"/>
                  <w:b w:val="false"/>
                  <w:color w:val="0000FF"/>
                  <w:sz w:val="20"/>
                  <w:u w:val="single"/>
                </w:rPr>
                <w:t>Amendment No. 1 to Employment Agreement, dated August 5, 2025, by and between Tenable, Inc. and Mark Thurmond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hibit311.htm">
              <w:r>
                <w:rPr>
                  <w:rStyle w:val="InternetLink"/>
                  <w:rFonts w:ascii="Arial;sans-serif" w:hAnsi="Arial;sans-serif"/>
                  <w:b w:val="false"/>
                  <w:color w:val="0000FF"/>
                  <w:sz w:val="20"/>
                  <w:u w:val="single"/>
                </w:rPr>
                <w:t>Certification of the Principal Executive Officer and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hibit321.htm">
              <w:r>
                <w:rPr>
                  <w:rStyle w:val="InternetLink"/>
                  <w:rFonts w:ascii="Arial;sans-serif" w:hAnsi="Arial;sans-serif"/>
                  <w:b w:val="false"/>
                  <w:color w:val="0000FF"/>
                  <w:sz w:val="20"/>
                  <w:u w:val="single"/>
                </w:rPr>
                <w:t>Certification of the Principal Executive Officer and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with applicable taxonomy extension information contained in Exhibits 101.SCH, 101.CAL, 101.DEF, 101.LAB and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Pursuant to Item 601(a)(5) of Regulation S-K, certain schedules and similar attachments have been omitted. The registrant hereby agrees to furnish a copy of any omitted schedule or similar attachment to the SEC upon request; provided, however, that Tenable may request confidential treatment pursuant to Rule 24b-2 of the Exchange Act for any schedule or exhibit so furnished.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Pursuant to Item 601(b)(10)(iv) of Regulation S-K promulgated by the SEC, certain portions of this exhibit have been redacted because the registrant customarily and actually treats such omitted information as private or confidential and because such omitted information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1c53d5a633044c4b5e6ca6a13290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510"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412"/>
        <w:gridCol w:w="412"/>
        <w:gridCol w:w="412"/>
        <w:gridCol w:w="1528"/>
        <w:gridCol w:w="1528"/>
        <w:gridCol w:w="220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2025</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2025</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C. Thurmond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C. Thurmond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2025</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 Barron Anschutz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 Barron Anschutz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Finance and Accounting</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TENABLE HOLDINGS, INC.</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NON-EMPLOYEE DIRECTOR COMPENSATION POLICY</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color w:val="000000"/>
          <w:sz w:val="22"/>
        </w:rPr>
        <w:t>(Adopted May 13, 2025) (the “</w:t>
      </w:r>
      <w:r>
        <w:rPr>
          <w:rFonts w:ascii="Times New Roman;serif" w:hAnsi="Times New Roman;serif"/>
          <w:b w:val="false"/>
          <w:i/>
          <w:color w:val="000000"/>
          <w:sz w:val="22"/>
        </w:rPr>
        <w:t>Effective Date</w:t>
      </w:r>
      <w:r>
        <w:rPr>
          <w:color w:val="000000"/>
        </w:rPr>
        <w:t>”</w:t>
      </w:r>
      <w:r>
        <w:rPr>
          <w:rFonts w:ascii="Times New Roman;serif" w:hAnsi="Times New Roman;serif"/>
          <w:b w:val="false"/>
          <w:color w:val="000000"/>
          <w:sz w:val="22"/>
        </w:rPr>
        <w:t>)</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Each member of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2"/>
        </w:rPr>
        <w:t>) who is not also serving as an employee of or consultant to Tenable Holdings,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2"/>
        </w:rPr>
        <w:t>) or any of its subsidiaries (each such member, an “</w:t>
      </w:r>
      <w:r>
        <w:rPr>
          <w:rFonts w:ascii="Times New Roman;serif" w:hAnsi="Times New Roman;serif"/>
          <w:b/>
          <w:i/>
          <w:color w:val="000000"/>
          <w:sz w:val="24"/>
        </w:rPr>
        <w:t>Eligible Director</w:t>
      </w:r>
      <w:r>
        <w:rPr>
          <w:color w:val="000000"/>
        </w:rPr>
        <w:t>”</w:t>
      </w:r>
      <w:r>
        <w:rPr>
          <w:rFonts w:ascii="Times New Roman;serif" w:hAnsi="Times New Roman;serif"/>
          <w:b w:val="false"/>
          <w:color w:val="000000"/>
          <w:sz w:val="22"/>
        </w:rPr>
        <w:t>) will receive the compensation described in this Non-Employee Director Compensation Policy (the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2"/>
        </w:rPr>
        <w:t>) for his or her Board service upon and following the Effective Date.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 (the “</w:t>
      </w:r>
      <w:r>
        <w:rPr>
          <w:rFonts w:ascii="Times New Roman;serif" w:hAnsi="Times New Roman;serif"/>
          <w:b/>
          <w:i/>
          <w:color w:val="000000"/>
          <w:sz w:val="24"/>
        </w:rPr>
        <w:t>Compensation Committee</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ANNUAL CASH COMPENSATION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The annual cash compensation amount set forth below is payable to Eligible Directors in equal semi-annual installments, payable in arrears prior to the last day of June and December (each, a “</w:t>
      </w:r>
      <w:r>
        <w:rPr>
          <w:rFonts w:ascii="Times New Roman;serif" w:hAnsi="Times New Roman;serif"/>
          <w:b/>
          <w:i/>
          <w:color w:val="000000"/>
          <w:sz w:val="24"/>
        </w:rPr>
        <w:t>Service Period</w:t>
      </w:r>
      <w:r>
        <w:rPr>
          <w:color w:val="000000"/>
        </w:rPr>
        <w:t>”</w:t>
      </w:r>
      <w:r>
        <w:rPr>
          <w:rFonts w:ascii="Times New Roman;serif" w:hAnsi="Times New Roman;serif"/>
          <w:b w:val="false"/>
          <w:color w:val="000000"/>
          <w:sz w:val="22"/>
        </w:rPr>
        <w:t>). If an Eligible Director joins the Board or a committee of the Board at a time other than effective as of the first day of a Service Period, each annual retainer set forth below will be pro-rated based on the number of regularly scheduled Board and/or committee meetings, as applicable, such Eligible Director attended in the applicable Service Period, with the pro-rated amount paid on the last day of the first Service Period in which the Eligible Director provides the service and regular full semi-annual payments thereafter. All annual cash fees are vested upon payment.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4"/>
          <w:u w:val="single"/>
        </w:rPr>
        <w:t>Annual Board Service Retainer</w:t>
      </w:r>
      <w:r>
        <w:rPr>
          <w:rFonts w:ascii="Times New Roman;serif" w:hAnsi="Times New Roman;serif"/>
          <w:b w:val="false"/>
          <w:color w:val="000000"/>
          <w:sz w:val="24"/>
        </w:rPr>
        <w:t xml:space="preserve">: </w:t>
      </w:r>
    </w:p>
    <w:p>
      <w:pPr>
        <w:pStyle w:val="TextBody"/>
        <w:bidi w:val="0"/>
        <w:spacing w:lineRule="auto" w:line="268" w:before="0" w:after="0"/>
        <w:ind w:left="0" w:right="0" w:firstLine="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All Eligible Directors: $35,000</w:t>
      </w:r>
    </w:p>
    <w:p>
      <w:pPr>
        <w:pStyle w:val="TextBody"/>
        <w:bidi w:val="0"/>
        <w:spacing w:lineRule="auto" w:line="268" w:before="0" w:after="0"/>
        <w:ind w:left="0" w:right="0" w:firstLine="72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Chair of the Board (in addition to Eligible Director Service Retainer): $50,000</w:t>
      </w:r>
    </w:p>
    <w:p>
      <w:pPr>
        <w:pStyle w:val="TextBody"/>
        <w:bidi w:val="0"/>
        <w:spacing w:lineRule="auto" w:line="268" w:before="0" w:after="0"/>
        <w:ind w:left="0" w:right="0" w:firstLine="72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Lead Independent Director (in addition to Eligible Director Service Retainer): $20,000</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4"/>
          <w:u w:val="single"/>
        </w:rPr>
        <w:t>Annual Committee Chair Service Retainer</w:t>
      </w:r>
      <w:r>
        <w:rPr>
          <w:rFonts w:ascii="Times New Roman;serif" w:hAnsi="Times New Roman;serif"/>
          <w:b w:val="false"/>
          <w:color w:val="000000"/>
          <w:sz w:val="22"/>
        </w:rPr>
        <w:t>:</w:t>
      </w:r>
    </w:p>
    <w:p>
      <w:pPr>
        <w:pStyle w:val="TextBody"/>
        <w:bidi w:val="0"/>
        <w:spacing w:lineRule="auto" w:line="268" w:before="0" w:after="0"/>
        <w:ind w:left="0" w:right="0" w:firstLine="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Chair of the Audit Committee: $20,000</w:t>
      </w:r>
    </w:p>
    <w:p>
      <w:pPr>
        <w:pStyle w:val="TextBody"/>
        <w:bidi w:val="0"/>
        <w:spacing w:lineRule="auto" w:line="268" w:before="0" w:after="0"/>
        <w:ind w:left="0" w:right="0" w:firstLine="72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Chair of the Compensation Committee: $15,000</w:t>
      </w:r>
    </w:p>
    <w:p>
      <w:pPr>
        <w:pStyle w:val="TextBody"/>
        <w:bidi w:val="0"/>
        <w:spacing w:lineRule="auto" w:line="268" w:before="0" w:after="0"/>
        <w:ind w:left="0" w:right="0" w:firstLine="72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Chair of the Nominating and Corporate Governance Committee: $10,000</w:t>
      </w:r>
    </w:p>
    <w:p>
      <w:pPr>
        <w:pStyle w:val="TextBody"/>
        <w:bidi w:val="0"/>
        <w:spacing w:lineRule="auto" w:line="268" w:before="0" w:after="0"/>
        <w:ind w:left="0" w:right="0" w:firstLine="72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Chair of the Cybersecurity Risk Management Committee: $12,000</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3.</w:t>
      </w:r>
      <w:r>
        <w:rPr>
          <w:color w:val="000000"/>
        </w:rPr>
        <w:t xml:space="preserve"> </w:t>
      </w:r>
      <w:r>
        <w:rPr>
          <w:rFonts w:ascii="Times New Roman;serif" w:hAnsi="Times New Roman;serif"/>
          <w:b w:val="false"/>
          <w:color w:val="000000"/>
          <w:sz w:val="24"/>
          <w:u w:val="single"/>
        </w:rPr>
        <w:t>Annual Committee Member Service Retainer (not applicable to Committee Chairs)</w:t>
      </w:r>
      <w:r>
        <w:rPr>
          <w:rFonts w:ascii="Times New Roman;serif" w:hAnsi="Times New Roman;serif"/>
          <w:b w:val="false"/>
          <w:color w:val="000000"/>
          <w:sz w:val="22"/>
        </w:rPr>
        <w:t>:</w:t>
      </w:r>
    </w:p>
    <w:p>
      <w:pPr>
        <w:pStyle w:val="TextBody"/>
        <w:bidi w:val="0"/>
        <w:spacing w:lineRule="auto" w:line="268" w:before="0" w:after="0"/>
        <w:ind w:left="0" w:right="0" w:firstLine="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Member of the Audit Committee: $10,000</w:t>
      </w:r>
    </w:p>
    <w:p>
      <w:pPr>
        <w:pStyle w:val="TextBody"/>
        <w:bidi w:val="0"/>
        <w:spacing w:lineRule="auto" w:line="268" w:before="0" w:after="0"/>
        <w:ind w:left="0" w:right="0" w:firstLine="72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Member of the Compensation Committee: $7,500</w:t>
      </w:r>
    </w:p>
    <w:p>
      <w:pPr>
        <w:pStyle w:val="TextBody"/>
        <w:bidi w:val="0"/>
        <w:spacing w:lineRule="auto" w:line="268" w:before="0" w:after="0"/>
        <w:ind w:left="0" w:right="0" w:firstLine="720"/>
        <w:jc w:val="left"/>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Member of the Nominating and Corporate Governance Committee: $5,000</w:t>
      </w:r>
    </w:p>
    <w:p>
      <w:pPr>
        <w:pStyle w:val="TextBody"/>
        <w:bidi w:val="0"/>
        <w:spacing w:lineRule="auto" w:line="268" w:before="0" w:after="0"/>
        <w:ind w:left="0" w:right="0" w:firstLine="72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Member of the Cybersecurity Risk Management Committee: $5,000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68"/>
        <w:ind w:left="0" w:right="0" w:firstLine="720"/>
        <w:jc w:val="left"/>
        <w:rPr/>
      </w:pPr>
      <w:r>
        <w:rPr>
          <w:rFonts w:ascii="Times New Roman;serif" w:hAnsi="Times New Roman;serif"/>
          <w:b w:val="false"/>
          <w:color w:val="000000"/>
          <w:sz w:val="22"/>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color w:val="000000"/>
          <w:sz w:val="22"/>
        </w:rPr>
        <w:t>EQUITY COMPENSATION</w:t>
      </w:r>
      <w:r>
        <w:rPr>
          <w:color w:val="000000"/>
        </w:rPr>
        <w:t xml:space="preserve"> </w:t>
      </w:r>
    </w:p>
    <w:p>
      <w:pPr>
        <w:pStyle w:val="TextBody"/>
        <w:bidi w:val="0"/>
        <w:spacing w:lineRule="auto" w:line="268" w:before="0" w:after="0"/>
        <w:ind w:left="0" w:right="0" w:firstLine="720"/>
        <w:jc w:val="left"/>
        <w:rPr/>
      </w:pPr>
      <w:r>
        <w:rPr>
          <w:rFonts w:ascii="Times New Roman;serif" w:hAnsi="Times New Roman;serif"/>
          <w:b w:val="false"/>
          <w:color w:val="000000"/>
          <w:sz w:val="22"/>
        </w:rPr>
        <w:t>The equity compensation set forth below will be granted under the Company’s 2018 Equity Incentive Plan, as may be amended from time to time, or any successor plan thereto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2"/>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Annual Grants</w:t>
      </w:r>
      <w:r>
        <w:rPr>
          <w:rFonts w:ascii="Times New Roman;serif" w:hAnsi="Times New Roman;serif"/>
          <w:b w:val="false"/>
          <w:color w:val="000000"/>
          <w:sz w:val="22"/>
        </w:rPr>
        <w:t>: On the date of each annual stockholder meeting of the Company held on or after the Effective Date, each Eligible Director who continues to serve as a non-employee member of the Board following such stockholder meeting (excluding any Eligible Director who is first appointed or elected by the Board at such meeting) will automatically, and without further action by the Board or the Compensation Committee, be granted a number of restricted stock units (“</w:t>
      </w:r>
      <w:r>
        <w:rPr>
          <w:rFonts w:ascii="Times New Roman;serif" w:hAnsi="Times New Roman;serif"/>
          <w:b/>
          <w:i/>
          <w:color w:val="000000"/>
          <w:sz w:val="24"/>
        </w:rPr>
        <w:t>RSUs</w:t>
      </w:r>
      <w:r>
        <w:rPr>
          <w:color w:val="000000"/>
        </w:rPr>
        <w:t>”</w:t>
      </w:r>
      <w:r>
        <w:rPr>
          <w:rFonts w:ascii="Times New Roman;serif" w:hAnsi="Times New Roman;serif"/>
          <w:b w:val="false"/>
          <w:color w:val="000000"/>
          <w:sz w:val="22"/>
        </w:rPr>
        <w:t>) having an aggregate grant date fair value, calculated in accordance with FASB ASC Topic 718, of $200,000 (the “</w:t>
      </w:r>
      <w:r>
        <w:rPr>
          <w:rFonts w:ascii="Times New Roman;serif" w:hAnsi="Times New Roman;serif"/>
          <w:b/>
          <w:i/>
          <w:color w:val="000000"/>
          <w:sz w:val="24"/>
        </w:rPr>
        <w:t>Annual Grant</w:t>
      </w:r>
      <w:r>
        <w:rPr>
          <w:color w:val="000000"/>
        </w:rPr>
        <w:t>”</w:t>
      </w:r>
      <w:r>
        <w:rPr>
          <w:rFonts w:ascii="Times New Roman;serif" w:hAnsi="Times New Roman;serif"/>
          <w:b w:val="false"/>
          <w:color w:val="000000"/>
          <w:sz w:val="22"/>
        </w:rPr>
        <w:t xml:space="preserve">). The RSUs subject to the Annual Grant will vest in full on the first anniversary of the date of grant, subject to the Eligible Director’s Continuous Service through such vesting date; provided, that the Annual Grant will in any case be fully vested on the date of the Company’s next annual stockholder meeting, subject to the Eligible Director’s Continuous Service through such vesting date; provided, further, that the Annual Grant will vest in full upon a Change in Control, subject to the Eligible Director’s Continuous Service through such date.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color w:val="000000"/>
          <w:sz w:val="22"/>
        </w:rPr>
        <w:t>Initial Grants</w:t>
      </w:r>
      <w:r>
        <w:rPr>
          <w:rFonts w:ascii="Times New Roman;serif" w:hAnsi="Times New Roman;serif"/>
          <w:b w:val="false"/>
          <w:color w:val="000000"/>
          <w:sz w:val="22"/>
        </w:rPr>
        <w:t>: The Board, in its sole discretion, may grant equity compensation in connection with an Eligible Director’s initial election or appointment to the Board following the Effective Date.</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THIS</w:t>
      </w:r>
      <w:r>
        <w:rPr>
          <w:color w:val="000000"/>
        </w:rPr>
        <w:t xml:space="preserve"> </w:t>
      </w:r>
      <w:r>
        <w:rPr>
          <w:rFonts w:ascii="Times New Roman;serif" w:hAnsi="Times New Roman;serif"/>
          <w:b/>
          <w:color w:val="000000"/>
          <w:sz w:val="24"/>
        </w:rPr>
        <w:t>AMENDMENT</w:t>
      </w:r>
      <w:r>
        <w:rPr>
          <w:color w:val="000000"/>
        </w:rPr>
        <w:t xml:space="preserve"> </w:t>
      </w:r>
      <w:r>
        <w:rPr>
          <w:rFonts w:ascii="Times New Roman;serif" w:hAnsi="Times New Roman;serif"/>
          <w:b w:val="false"/>
          <w:color w:val="000000"/>
          <w:sz w:val="24"/>
        </w:rPr>
        <w:t xml:space="preserve">(“Amendment”) to the Amended and Restated Employment Agreement dated February 20, 2019 between Tenable, Inc. (“Tenable” or “Company”) and Stephen A. Vintz (“Executive”) (the “Agreement”) is made and entered into as of August 5, 2025.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 xml:space="preserve">WHEREAS, </w:t>
      </w:r>
      <w:r>
        <w:rPr>
          <w:rFonts w:ascii="Times New Roman;serif" w:hAnsi="Times New Roman;serif"/>
          <w:b w:val="false"/>
          <w:color w:val="000000"/>
          <w:sz w:val="24"/>
        </w:rPr>
        <w:t>Tenable desires to continue to employee Executive to perform such services as described below, in accordance with the terms hereof; and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Executive desires to be employed by Company, in accordance with the terms 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and of the mutual covenants hereinafter set forth, and for good and valuable consideration, the receipt and sufficiency of which are hereby acknowledged, Company and Executive agree as follows: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1.Capitalized terms that are not defined in this Amendment shall have the meanings ascribed thereto in the Agreement.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2.Section 6.2(a)(i) of the Agreement shall be deleted in its entirety and replaced with the following language: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4"/>
        </w:rPr>
        <w:t>An amount equal to eighteen (18) months of Executive’s then current Base Salary, less standard payroll deductions and withholdings, paid in installments on the Company’s regular bimonthly payroll dates (the “</w:t>
      </w:r>
      <w:r>
        <w:rPr>
          <w:rFonts w:ascii="Times New Roman;serif" w:hAnsi="Times New Roman;serif"/>
          <w:b/>
          <w:i/>
          <w:color w:val="000000"/>
          <w:sz w:val="24"/>
        </w:rPr>
        <w:t>Cash Severance</w:t>
      </w:r>
      <w:r>
        <w:rPr>
          <w:color w:val="000000"/>
        </w:rPr>
        <w:t>”</w:t>
      </w:r>
      <w:r>
        <w:rPr>
          <w:rFonts w:ascii="Times New Roman;serif" w:hAnsi="Times New Roman;serif"/>
          <w:b w:val="false"/>
          <w:i/>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3.Section 6.2(e) of the Agreement shall be deleted in its entirety and replaced with the following language:</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i/>
          <w:color w:val="000000"/>
          <w:sz w:val="24"/>
        </w:rPr>
        <w:t>For purposes of this Agreement, "</w:t>
      </w:r>
      <w:r>
        <w:rPr>
          <w:rFonts w:ascii="Times New Roman;serif" w:hAnsi="Times New Roman;serif"/>
          <w:b/>
          <w:i/>
          <w:color w:val="000000"/>
          <w:sz w:val="24"/>
        </w:rPr>
        <w:t>Good Reason</w:t>
      </w:r>
      <w:r>
        <w:rPr>
          <w:rFonts w:ascii="Times New Roman;serif" w:hAnsi="Times New Roman;serif"/>
          <w:b w:val="false"/>
          <w:i/>
          <w:color w:val="000000"/>
          <w:sz w:val="24"/>
        </w:rPr>
        <w:t xml:space="preserve">" shall mean the occurrence of any of the following, without the Executive's express prior written consent: (i) a material reduction in the Executive's base salary (other than a general reduction in base salary that affects all other members of the Company’s executive management); (ii) a material reduction in the Executive's Target Bonus opportunity (only applicable in connection with a Change in Control); (iii) a material relocation in the geographic location at which Executive is required to perform services for the Company, including any requirement that the Executive regularly report to a Company office or relocate from their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home office location, except as may be reasonably required for travel that is consistent with Executive’s position and responsibilities; (iv) any material breach by the Company of any material provision of this Agreement, or any material provision of any other agreement between the Executive and the Company concerning the terms and conditions of Executive’s employment; (v) 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 (vi) a material, adverse diminution in the Executive's title, authority, duties, responsibilities, or reporting structure (for purposes of clarity, a material diminution will be deemed to have occurred if a portion of the role involved responsibilities related to being a public company and the Company is no longer a public reporting entity). The Executive cannot terminate employment for Good Reason unless the Executive has provided written notice to the Company of the existence of the circumstances providing grounds for termination for Good Reason within sixty (60) days of the initial existence of such grounds and the Company has had at least thirty (30) days from the date on which such notice is provided to cure such circumstances.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4.Except as set forth herein, all terms and conditions set forth in the Agreement are unchanged and remain in full force and effect.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Amendment on the day and year written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Tenable, Inc.</w:t>
      </w:r>
    </w:p>
    <w:p>
      <w:pPr>
        <w:pStyle w:val="TextBody"/>
        <w:bidi w:val="0"/>
        <w:spacing w:before="0" w:after="0"/>
        <w:jc w:val="both"/>
        <w:rPr/>
      </w:pPr>
      <w:r>
        <w:rPr/>
      </w:r>
    </w:p>
    <w:tbl>
      <w:tblPr>
        <w:tblW w:w="3720" w:type="dxa"/>
        <w:jc w:val="left"/>
        <w:tblInd w:w="0" w:type="dxa"/>
        <w:tblLayout w:type="fixed"/>
        <w:tblCellMar>
          <w:top w:w="28" w:type="dxa"/>
          <w:left w:w="28" w:type="dxa"/>
          <w:bottom w:w="28" w:type="dxa"/>
          <w:right w:w="28" w:type="dxa"/>
        </w:tblCellMar>
      </w:tblPr>
      <w:tblGrid>
        <w:gridCol w:w="168"/>
        <w:gridCol w:w="148"/>
        <w:gridCol w:w="149"/>
        <w:gridCol w:w="954"/>
        <w:gridCol w:w="954"/>
        <w:gridCol w:w="134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Linda Zecher Higgins</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Linda Zecher Higgins</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Compensation Committee Chair,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Tenable Holdings, Inc.</w:t>
            </w:r>
          </w:p>
        </w:tc>
      </w:tr>
    </w:tbl>
    <w:p>
      <w:pPr>
        <w:pStyle w:val="TextBody"/>
        <w:bidi w:val="0"/>
        <w:spacing w:before="0" w:after="0"/>
        <w:jc w:val="both"/>
        <w:rPr/>
      </w:pPr>
      <w:r>
        <w:rPr/>
      </w:r>
    </w:p>
    <w:tbl>
      <w:tblPr>
        <w:tblW w:w="2628" w:type="dxa"/>
        <w:jc w:val="left"/>
        <w:tblInd w:w="0" w:type="dxa"/>
        <w:tblLayout w:type="fixed"/>
        <w:tblCellMar>
          <w:top w:w="28" w:type="dxa"/>
          <w:left w:w="28" w:type="dxa"/>
          <w:bottom w:w="28" w:type="dxa"/>
          <w:right w:w="28" w:type="dxa"/>
        </w:tblCellMar>
      </w:tblPr>
      <w:tblGrid>
        <w:gridCol w:w="202"/>
        <w:gridCol w:w="178"/>
        <w:gridCol w:w="178"/>
        <w:gridCol w:w="600"/>
        <w:gridCol w:w="600"/>
        <w:gridCol w:w="870"/>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6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w:t>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Stephen A. Vintz</w:t>
            </w:r>
          </w:p>
        </w:tc>
      </w:tr>
      <w:tr>
        <w:trPr/>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Stephen A. Vintz</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50" name="Frame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THIS</w:t>
      </w:r>
      <w:r>
        <w:rPr>
          <w:color w:val="000000"/>
        </w:rPr>
        <w:t xml:space="preserve"> </w:t>
      </w:r>
      <w:r>
        <w:rPr>
          <w:rFonts w:ascii="Times New Roman;serif" w:hAnsi="Times New Roman;serif"/>
          <w:b/>
          <w:color w:val="000000"/>
          <w:sz w:val="24"/>
        </w:rPr>
        <w:t>AMENDMENT</w:t>
      </w:r>
      <w:r>
        <w:rPr>
          <w:color w:val="000000"/>
        </w:rPr>
        <w:t xml:space="preserve"> </w:t>
      </w:r>
      <w:r>
        <w:rPr>
          <w:rFonts w:ascii="Times New Roman;serif" w:hAnsi="Times New Roman;serif"/>
          <w:b w:val="false"/>
          <w:color w:val="000000"/>
          <w:sz w:val="24"/>
        </w:rPr>
        <w:t xml:space="preserve">(“Amendment”) to the Employment Agreement dated January 1, 2020 between Tenable, Inc. (“Tenable” or “Company”) and Mark Thurmond (“Executive”) (the “Agreement”) is made and entered into as of August 5, 2025.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 xml:space="preserve">WHEREAS, </w:t>
      </w:r>
      <w:r>
        <w:rPr>
          <w:rFonts w:ascii="Times New Roman;serif" w:hAnsi="Times New Roman;serif"/>
          <w:b w:val="false"/>
          <w:color w:val="000000"/>
          <w:sz w:val="24"/>
        </w:rPr>
        <w:t>Tenable desires to continue to employee Executive to perform such services as described below, in accordance with the terms hereof; and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Executive desires to be employed by Company, in accordance with the terms 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and of the mutual covenants hereinafter set forth, and for good and valuable consideration, the receipt and sufficiency of which are hereby acknowledged, Company and Executive agree as follows: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1.Capitalized terms that are not defined in this Amendment shall have the meanings ascribed thereto in the Agreement.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2.Section 6.2(a)(i) of the Agreement shall be deleted in its entirety and replaced with the following language: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4"/>
        </w:rPr>
        <w:t>An amount equal to eighteen (18) months of Executive’s then current Base Salary, less standard payroll deductions and withholdings, paid in installments on the Company’s regular bimonthly payroll dates (the “</w:t>
      </w:r>
      <w:r>
        <w:rPr>
          <w:rFonts w:ascii="Times New Roman;serif" w:hAnsi="Times New Roman;serif"/>
          <w:b/>
          <w:i/>
          <w:color w:val="000000"/>
          <w:sz w:val="24"/>
        </w:rPr>
        <w:t>Cash Severance</w:t>
      </w:r>
      <w:r>
        <w:rPr>
          <w:color w:val="000000"/>
        </w:rPr>
        <w:t>”</w:t>
      </w:r>
      <w:r>
        <w:rPr>
          <w:rFonts w:ascii="Times New Roman;serif" w:hAnsi="Times New Roman;serif"/>
          <w:b w:val="false"/>
          <w:i/>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3.Section 6.2(e) of the Agreement shall be deleted in its entirety and replaced with the following language:</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i/>
          <w:color w:val="000000"/>
          <w:sz w:val="24"/>
        </w:rPr>
        <w:t>For purposes of this Agreement, "</w:t>
      </w:r>
      <w:r>
        <w:rPr>
          <w:rFonts w:ascii="Times New Roman;serif" w:hAnsi="Times New Roman;serif"/>
          <w:b/>
          <w:i/>
          <w:color w:val="000000"/>
          <w:sz w:val="24"/>
        </w:rPr>
        <w:t>Good Reason</w:t>
      </w:r>
      <w:r>
        <w:rPr>
          <w:rFonts w:ascii="Times New Roman;serif" w:hAnsi="Times New Roman;serif"/>
          <w:b w:val="false"/>
          <w:i/>
          <w:color w:val="000000"/>
          <w:sz w:val="24"/>
        </w:rPr>
        <w:t xml:space="preserve">" shall mean the occurrence of any of the following, without the Executive's express prior written consent: (i) a material reduction in the Executive's base salary (other than a general reduction in base salary that affects all other members of the Company’s executive management); (ii) a material reduction in the Executive's Target Bonus opportunity (only applicable in connection with a Change in Control); (iii) a material relocation in the geographic location at which Executive is required to perform services for the Company, including any requirement that the Executive regularly report to a Company office or relocate from their home office location, except as may be reasonably required for travel that is consistent with Executive’s position and responsibilities; (iv) any material breach by the Company of any material provision of this Agreement, or any material provision of any other agreement between the Executive and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concerning the terms and conditions of Executive’s employment; (v) 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 (vi) a material, adverse diminution in the Executive's title, authority, duties, responsibilities, or reporting structure (for purposes of clarity, a material diminution will be deemed to have occurred if a portion of the role involved responsibilities related to being a public company and the Company is no longer a public reporting entity). The Executive cannot terminate employment for Good Reason unless the Executive has provided written notice to the Company of the existence of the circumstances providing grounds for termination for Good Reason within sixty (60) days of the initial existence of such grounds and the Company has had at least thirty (30) days from the date on which such notice is provided to cure such circumstances.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4.Except as set forth herein, all terms and conditions set forth in the Agreement are unchanged and remain in full force and effect.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Amendment on the day and year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Tenable, Inc.</w:t>
      </w:r>
    </w:p>
    <w:tbl>
      <w:tblPr>
        <w:tblW w:w="3720" w:type="dxa"/>
        <w:jc w:val="left"/>
        <w:tblInd w:w="0" w:type="dxa"/>
        <w:tblLayout w:type="fixed"/>
        <w:tblCellMar>
          <w:top w:w="28" w:type="dxa"/>
          <w:left w:w="28" w:type="dxa"/>
          <w:bottom w:w="28" w:type="dxa"/>
          <w:right w:w="28" w:type="dxa"/>
        </w:tblCellMar>
      </w:tblPr>
      <w:tblGrid>
        <w:gridCol w:w="168"/>
        <w:gridCol w:w="148"/>
        <w:gridCol w:w="149"/>
        <w:gridCol w:w="954"/>
        <w:gridCol w:w="954"/>
        <w:gridCol w:w="134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Linda Zecher Higgins</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Linda Zecher Higgins</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Compensation Committee Chair,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Tenable Holdings, Inc.</w:t>
            </w:r>
          </w:p>
        </w:tc>
      </w:tr>
    </w:tbl>
    <w:p>
      <w:pPr>
        <w:pStyle w:val="TextBody"/>
        <w:bidi w:val="0"/>
        <w:spacing w:before="0" w:after="0"/>
        <w:jc w:val="both"/>
        <w:rPr/>
      </w:pPr>
      <w:r>
        <w:rPr/>
      </w:r>
    </w:p>
    <w:tbl>
      <w:tblPr>
        <w:tblW w:w="2553" w:type="dxa"/>
        <w:jc w:val="left"/>
        <w:tblInd w:w="0" w:type="dxa"/>
        <w:tblLayout w:type="fixed"/>
        <w:tblCellMar>
          <w:top w:w="28" w:type="dxa"/>
          <w:left w:w="28" w:type="dxa"/>
          <w:bottom w:w="28" w:type="dxa"/>
          <w:right w:w="28" w:type="dxa"/>
        </w:tblCellMar>
      </w:tblPr>
      <w:tblGrid>
        <w:gridCol w:w="202"/>
        <w:gridCol w:w="178"/>
        <w:gridCol w:w="178"/>
        <w:gridCol w:w="580"/>
        <w:gridCol w:w="580"/>
        <w:gridCol w:w="835"/>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5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w:t>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 Thurmond</w:t>
            </w:r>
          </w:p>
        </w:tc>
      </w:tr>
      <w:tr>
        <w:trPr/>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Thurmond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ind w:left="0" w:right="0" w:firstLine="36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 AND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RULES 13a-14(a) AND 15d-14(a)</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60"/>
        <w:jc w:val="center"/>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I, Stephen A. Vintz, certify that: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85"/>
        <w:gridCol w:w="546"/>
        <w:gridCol w:w="546"/>
        <w:gridCol w:w="546"/>
        <w:gridCol w:w="546"/>
        <w:gridCol w:w="546"/>
        <w:gridCol w:w="2301"/>
        <w:gridCol w:w="1497"/>
        <w:gridCol w:w="21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Quarterly Report on Form 10-Q of Tenable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w:t>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7677" w:type="dxa"/>
        <w:jc w:val="center"/>
        <w:tblInd w:w="0" w:type="dxa"/>
        <w:tblLayout w:type="fixed"/>
        <w:tblCellMar>
          <w:top w:w="28" w:type="dxa"/>
          <w:left w:w="28" w:type="dxa"/>
          <w:bottom w:w="28" w:type="dxa"/>
          <w:right w:w="28" w:type="dxa"/>
        </w:tblCellMar>
      </w:tblPr>
      <w:tblGrid>
        <w:gridCol w:w="211"/>
        <w:gridCol w:w="186"/>
        <w:gridCol w:w="188"/>
        <w:gridCol w:w="474"/>
        <w:gridCol w:w="474"/>
        <w:gridCol w:w="476"/>
        <w:gridCol w:w="134"/>
        <w:gridCol w:w="134"/>
        <w:gridCol w:w="136"/>
        <w:gridCol w:w="1542"/>
        <w:gridCol w:w="1542"/>
        <w:gridCol w:w="21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ind w:left="0" w:right="0" w:firstLine="36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CERTIFICATIONS OF PRINCIPAL EXECUTIVE OFFICER AND PRINCIPAL FINANCIAL OFFICER</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60"/>
        <w:ind w:left="0" w:right="0" w:firstLine="360"/>
        <w:jc w:val="center"/>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undersigned hereby certifies to the best of his or her knowledge that, pursuant to the requirement set forth in Rule 13a-14(b) of the Securities Exchange Act of 1934, as amended (the "Exchange Act"), and 18 U.S.C. Section 1350, as adopted pursuant to Section 906 of the Sarbanes-Oxley Act of 2002, that the Quarterly Report on Form 10-Q of Tenable Holdings, Inc. for the fiscal quarter ended June 30, 2025 fully complies with the requirements of Section 13(a) or 15(d) of the Exchange Act and that information contained in such Quarterly Report on Form 10-Q fairly presents, in all material respects, the financial condition and results of operations of Tenable Holdings, Inc.</w:t>
      </w:r>
    </w:p>
    <w:tbl>
      <w:tblPr>
        <w:tblW w:w="7677" w:type="dxa"/>
        <w:jc w:val="center"/>
        <w:tblInd w:w="0" w:type="dxa"/>
        <w:tblLayout w:type="fixed"/>
        <w:tblCellMar>
          <w:top w:w="28" w:type="dxa"/>
          <w:left w:w="28" w:type="dxa"/>
          <w:bottom w:w="28" w:type="dxa"/>
          <w:right w:w="28" w:type="dxa"/>
        </w:tblCellMar>
      </w:tblPr>
      <w:tblGrid>
        <w:gridCol w:w="211"/>
        <w:gridCol w:w="186"/>
        <w:gridCol w:w="188"/>
        <w:gridCol w:w="474"/>
        <w:gridCol w:w="474"/>
        <w:gridCol w:w="476"/>
        <w:gridCol w:w="134"/>
        <w:gridCol w:w="134"/>
        <w:gridCol w:w="136"/>
        <w:gridCol w:w="1542"/>
        <w:gridCol w:w="1542"/>
        <w:gridCol w:w="21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6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0280/000119312518231446/d562353dex31.htm" TargetMode="External"/><Relationship Id="rId3" Type="http://schemas.openxmlformats.org/officeDocument/2006/relationships/hyperlink" Target="https://www.sec.gov/Archives/edgar/data/1660280/000166028023000147/ex31.htm" TargetMode="External"/><Relationship Id="rId4" Type="http://schemas.openxmlformats.org/officeDocument/2006/relationships/hyperlink" Target="https://www.sec.gov/Archives/edgar/data/1660280/000119312518218215/d548092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22618</Words>
  <Characters>126492</Characters>
  <CharactersWithSpaces>147272</CharactersWithSpaces>
  <Paragraphs>3410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