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tabs>
          <w:tab w:leader="none" w:pos="1600" w:val="left"/>
        </w:tabs>
        <w:rPr>
          <w:sz w:val="20"/>
          <w:szCs w:val="20"/>
          <w:color w:val="auto"/>
        </w:rPr>
      </w:pPr>
      <w:r>
        <w:rPr>
          <w:rFonts w:ascii="Arial" w:cs="Arial" w:eastAsia="Arial" w:hAnsi="Arial"/>
          <w:sz w:val="16"/>
          <w:szCs w:val="16"/>
          <w:b w:val="1"/>
          <w:bCs w:val="1"/>
          <w:color w:val="auto"/>
        </w:rPr>
        <w:t>As filed with the U.S. Securities and Exchange Commission on February 27, 2026</w:t>
      </w:r>
      <w:r>
        <w:rPr>
          <w:sz w:val="20"/>
          <w:szCs w:val="20"/>
          <w:color w:val="auto"/>
        </w:rPr>
        <w:tab/>
      </w: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231F20"/>
        </w:rPr>
        <w:t>UNITED STATES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231F20"/>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231F20"/>
        </w:rPr>
        <w:t>Washington, D.C. 20549</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__________________________</w:t>
      </w:r>
    </w:p>
    <w:p>
      <w:pPr>
        <w:spacing w:after="0" w:line="9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231F20"/>
        </w:rPr>
        <w:t>FORM S-8</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REGISTRATION STATEMENT</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SECURITIES ACT OF 1933</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231F20"/>
        </w:rPr>
        <w:t>__________________</w:t>
      </w:r>
      <w:r>
        <w:rPr>
          <w:rFonts w:ascii="Arial" w:cs="Arial" w:eastAsia="Arial" w:hAnsi="Arial"/>
          <w:sz w:val="18"/>
          <w:szCs w:val="18"/>
          <w:b w:val="1"/>
          <w:bCs w:val="1"/>
          <w:color w:val="000000"/>
        </w:rPr>
        <w:t>________</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231F20"/>
        </w:rPr>
        <w:t>TENABLE HOLDINGS, INC.</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231F20"/>
        </w:rPr>
        <w:t>(Exact name of registrant as specified in its charter)</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231F20"/>
        </w:rPr>
        <w:t>__________________</w:t>
      </w:r>
      <w:r>
        <w:rPr>
          <w:rFonts w:ascii="Arial" w:cs="Arial" w:eastAsia="Arial" w:hAnsi="Arial"/>
          <w:sz w:val="18"/>
          <w:szCs w:val="18"/>
          <w:b w:val="1"/>
          <w:bCs w:val="1"/>
          <w:color w:val="000000"/>
        </w:rPr>
        <w:t>________</w:t>
      </w:r>
    </w:p>
    <w:p>
      <w:pPr>
        <w:spacing w:after="0" w:line="117" w:lineRule="exact"/>
        <w:rPr>
          <w:sz w:val="24"/>
          <w:szCs w:val="24"/>
          <w:color w:val="auto"/>
        </w:rPr>
      </w:pPr>
    </w:p>
    <w:tbl>
      <w:tblPr>
        <w:tblLayout w:type="fixed"/>
        <w:tblInd w:w="360" w:type="dxa"/>
        <w:tblCellMar>
          <w:top w:w="0" w:type="dxa"/>
          <w:left w:w="0" w:type="dxa"/>
          <w:bottom w:w="0" w:type="dxa"/>
          <w:right w:w="0" w:type="dxa"/>
        </w:tblCellMar>
      </w:tblPr>
      <w:tr>
        <w:trPr>
          <w:trHeight w:val="221"/>
        </w:trPr>
        <w:tc>
          <w:tcPr>
            <w:tcW w:w="7560" w:type="dxa"/>
            <w:vAlign w:val="bottom"/>
          </w:tcPr>
          <w:p>
            <w:pPr>
              <w:jc w:val="center"/>
              <w:ind w:right="3760"/>
              <w:spacing w:after="0"/>
              <w:rPr>
                <w:sz w:val="20"/>
                <w:szCs w:val="20"/>
                <w:color w:val="auto"/>
              </w:rPr>
            </w:pPr>
            <w:r>
              <w:rPr>
                <w:rFonts w:ascii="Arial" w:cs="Arial" w:eastAsia="Arial" w:hAnsi="Arial"/>
                <w:sz w:val="16"/>
                <w:szCs w:val="16"/>
                <w:b w:val="1"/>
                <w:bCs w:val="1"/>
                <w:color w:val="auto"/>
              </w:rPr>
              <w:t>Delaware</w:t>
            </w:r>
          </w:p>
        </w:tc>
        <w:tc>
          <w:tcPr>
            <w:tcW w:w="2520" w:type="dxa"/>
            <w:vAlign w:val="bottom"/>
          </w:tcPr>
          <w:p>
            <w:pPr>
              <w:jc w:val="right"/>
              <w:ind w:right="741"/>
              <w:spacing w:after="0"/>
              <w:rPr>
                <w:sz w:val="20"/>
                <w:szCs w:val="20"/>
                <w:color w:val="auto"/>
              </w:rPr>
            </w:pPr>
            <w:r>
              <w:rPr>
                <w:rFonts w:ascii="Arial" w:cs="Arial" w:eastAsia="Arial" w:hAnsi="Arial"/>
                <w:sz w:val="16"/>
                <w:szCs w:val="16"/>
                <w:b w:val="1"/>
                <w:bCs w:val="1"/>
                <w:color w:val="auto"/>
              </w:rPr>
              <w:t>47-5580846</w:t>
            </w:r>
          </w:p>
        </w:tc>
      </w:tr>
      <w:tr>
        <w:trPr>
          <w:trHeight w:val="190"/>
        </w:trPr>
        <w:tc>
          <w:tcPr>
            <w:tcW w:w="7560" w:type="dxa"/>
            <w:vAlign w:val="bottom"/>
          </w:tcPr>
          <w:p>
            <w:pPr>
              <w:jc w:val="center"/>
              <w:ind w:right="3760"/>
              <w:spacing w:after="0"/>
              <w:rPr>
                <w:sz w:val="20"/>
                <w:szCs w:val="20"/>
                <w:color w:val="auto"/>
              </w:rPr>
            </w:pPr>
            <w:r>
              <w:rPr>
                <w:rFonts w:ascii="Arial" w:cs="Arial" w:eastAsia="Arial" w:hAnsi="Arial"/>
                <w:sz w:val="14"/>
                <w:szCs w:val="14"/>
                <w:color w:val="auto"/>
              </w:rPr>
              <w:t>(State or other jurisdiction of incorporation or organization)</w:t>
            </w:r>
          </w:p>
        </w:tc>
        <w:tc>
          <w:tcPr>
            <w:tcW w:w="2520" w:type="dxa"/>
            <w:vAlign w:val="bottom"/>
          </w:tcPr>
          <w:p>
            <w:pPr>
              <w:jc w:val="center"/>
              <w:spacing w:after="0"/>
              <w:rPr>
                <w:sz w:val="20"/>
                <w:szCs w:val="20"/>
                <w:color w:val="auto"/>
              </w:rPr>
            </w:pPr>
            <w:r>
              <w:rPr>
                <w:rFonts w:ascii="Arial" w:cs="Arial" w:eastAsia="Arial" w:hAnsi="Arial"/>
                <w:sz w:val="14"/>
                <w:szCs w:val="14"/>
                <w:color w:val="auto"/>
              </w:rPr>
              <w:t>(I.R.S. Employer Identification Number)</w:t>
            </w:r>
          </w:p>
        </w:tc>
      </w:tr>
      <w:tr>
        <w:trPr>
          <w:trHeight w:val="277"/>
        </w:trPr>
        <w:tc>
          <w:tcPr>
            <w:tcW w:w="7560" w:type="dxa"/>
            <w:vAlign w:val="bottom"/>
          </w:tcPr>
          <w:p>
            <w:pPr>
              <w:jc w:val="center"/>
              <w:ind w:left="2900"/>
              <w:spacing w:after="0"/>
              <w:rPr>
                <w:sz w:val="20"/>
                <w:szCs w:val="20"/>
                <w:color w:val="auto"/>
              </w:rPr>
            </w:pPr>
            <w:r>
              <w:rPr>
                <w:rFonts w:ascii="Arial" w:cs="Arial" w:eastAsia="Arial" w:hAnsi="Arial"/>
                <w:sz w:val="16"/>
                <w:szCs w:val="16"/>
                <w:b w:val="1"/>
                <w:bCs w:val="1"/>
                <w:color w:val="auto"/>
              </w:rPr>
              <w:t>6100 Merriweather Drive</w:t>
            </w:r>
          </w:p>
        </w:tc>
        <w:tc>
          <w:tcPr>
            <w:tcW w:w="2520" w:type="dxa"/>
            <w:vAlign w:val="bottom"/>
          </w:tcPr>
          <w:p>
            <w:pPr>
              <w:spacing w:after="0"/>
              <w:rPr>
                <w:sz w:val="24"/>
                <w:szCs w:val="24"/>
                <w:color w:val="auto"/>
              </w:rPr>
            </w:pPr>
          </w:p>
        </w:tc>
      </w:tr>
      <w:tr>
        <w:trPr>
          <w:trHeight w:val="203"/>
        </w:trPr>
        <w:tc>
          <w:tcPr>
            <w:tcW w:w="7560" w:type="dxa"/>
            <w:vAlign w:val="bottom"/>
          </w:tcPr>
          <w:p>
            <w:pPr>
              <w:jc w:val="center"/>
              <w:ind w:left="2880"/>
              <w:spacing w:after="0"/>
              <w:rPr>
                <w:sz w:val="20"/>
                <w:szCs w:val="20"/>
                <w:color w:val="auto"/>
              </w:rPr>
            </w:pPr>
            <w:r>
              <w:rPr>
                <w:rFonts w:ascii="Arial" w:cs="Arial" w:eastAsia="Arial" w:hAnsi="Arial"/>
                <w:sz w:val="16"/>
                <w:szCs w:val="16"/>
                <w:b w:val="1"/>
                <w:bCs w:val="1"/>
                <w:color w:val="auto"/>
              </w:rPr>
              <w:t>Columbia, Maryland, 21044</w:t>
            </w:r>
          </w:p>
        </w:tc>
        <w:tc>
          <w:tcPr>
            <w:tcW w:w="2520" w:type="dxa"/>
            <w:vAlign w:val="bottom"/>
          </w:tcPr>
          <w:p>
            <w:pPr>
              <w:spacing w:after="0"/>
              <w:rPr>
                <w:sz w:val="17"/>
                <w:szCs w:val="17"/>
                <w:color w:val="auto"/>
              </w:rPr>
            </w:pPr>
          </w:p>
        </w:tc>
      </w:tr>
      <w:tr>
        <w:trPr>
          <w:trHeight w:val="194"/>
        </w:trPr>
        <w:tc>
          <w:tcPr>
            <w:tcW w:w="7560" w:type="dxa"/>
            <w:vAlign w:val="bottom"/>
          </w:tcPr>
          <w:p>
            <w:pPr>
              <w:jc w:val="center"/>
              <w:ind w:left="2900"/>
              <w:spacing w:after="0"/>
              <w:rPr>
                <w:sz w:val="20"/>
                <w:szCs w:val="20"/>
                <w:color w:val="auto"/>
              </w:rPr>
            </w:pPr>
            <w:r>
              <w:rPr>
                <w:rFonts w:ascii="Arial" w:cs="Arial" w:eastAsia="Arial" w:hAnsi="Arial"/>
                <w:sz w:val="16"/>
                <w:szCs w:val="16"/>
                <w:b w:val="1"/>
                <w:bCs w:val="1"/>
                <w:color w:val="auto"/>
              </w:rPr>
              <w:t>(410) 872-0555</w:t>
            </w:r>
          </w:p>
        </w:tc>
        <w:tc>
          <w:tcPr>
            <w:tcW w:w="2520" w:type="dxa"/>
            <w:vAlign w:val="bottom"/>
          </w:tcPr>
          <w:p>
            <w:pPr>
              <w:spacing w:after="0"/>
              <w:rPr>
                <w:sz w:val="16"/>
                <w:szCs w:val="16"/>
                <w:color w:val="auto"/>
              </w:rPr>
            </w:pPr>
          </w:p>
        </w:tc>
      </w:tr>
      <w:tr>
        <w:trPr>
          <w:trHeight w:val="190"/>
        </w:trPr>
        <w:tc>
          <w:tcPr>
            <w:tcW w:w="7560" w:type="dxa"/>
            <w:vAlign w:val="bottom"/>
          </w:tcPr>
          <w:p>
            <w:pPr>
              <w:jc w:val="center"/>
              <w:ind w:left="2880"/>
              <w:spacing w:after="0"/>
              <w:rPr>
                <w:sz w:val="20"/>
                <w:szCs w:val="20"/>
                <w:color w:val="auto"/>
              </w:rPr>
            </w:pPr>
            <w:r>
              <w:rPr>
                <w:rFonts w:ascii="Arial" w:cs="Arial" w:eastAsia="Arial" w:hAnsi="Arial"/>
                <w:sz w:val="14"/>
                <w:szCs w:val="14"/>
                <w:color w:val="auto"/>
              </w:rPr>
              <w:t>(Address of principal executive offices, including zip code)</w:t>
            </w:r>
          </w:p>
        </w:tc>
        <w:tc>
          <w:tcPr>
            <w:tcW w:w="2520" w:type="dxa"/>
            <w:vAlign w:val="bottom"/>
          </w:tcPr>
          <w:p>
            <w:pPr>
              <w:spacing w:after="0"/>
              <w:rPr>
                <w:sz w:val="16"/>
                <w:szCs w:val="16"/>
                <w:color w:val="auto"/>
              </w:rPr>
            </w:pPr>
          </w:p>
        </w:tc>
      </w:tr>
      <w:tr>
        <w:trPr>
          <w:trHeight w:val="412"/>
        </w:trPr>
        <w:tc>
          <w:tcPr>
            <w:tcW w:w="7560" w:type="dxa"/>
            <w:vAlign w:val="bottom"/>
          </w:tcPr>
          <w:p>
            <w:pPr>
              <w:jc w:val="center"/>
              <w:ind w:left="2900"/>
              <w:spacing w:after="0"/>
              <w:rPr>
                <w:sz w:val="20"/>
                <w:szCs w:val="20"/>
                <w:color w:val="auto"/>
              </w:rPr>
            </w:pPr>
            <w:r>
              <w:rPr>
                <w:rFonts w:ascii="Arial" w:cs="Arial" w:eastAsia="Arial" w:hAnsi="Arial"/>
                <w:sz w:val="16"/>
                <w:szCs w:val="16"/>
                <w:b w:val="1"/>
                <w:bCs w:val="1"/>
                <w:color w:val="auto"/>
              </w:rPr>
              <w:t>Tenable Holdings, Inc. 2018 Equity Incentive Plan</w:t>
            </w:r>
          </w:p>
        </w:tc>
        <w:tc>
          <w:tcPr>
            <w:tcW w:w="2520" w:type="dxa"/>
            <w:vAlign w:val="bottom"/>
          </w:tcPr>
          <w:p>
            <w:pPr>
              <w:spacing w:after="0"/>
              <w:rPr>
                <w:sz w:val="24"/>
                <w:szCs w:val="24"/>
                <w:color w:val="auto"/>
              </w:rPr>
            </w:pPr>
          </w:p>
        </w:tc>
      </w:tr>
      <w:tr>
        <w:trPr>
          <w:trHeight w:val="207"/>
        </w:trPr>
        <w:tc>
          <w:tcPr>
            <w:tcW w:w="7560" w:type="dxa"/>
            <w:vAlign w:val="bottom"/>
          </w:tcPr>
          <w:p>
            <w:pPr>
              <w:jc w:val="center"/>
              <w:ind w:left="2880"/>
              <w:spacing w:after="0"/>
              <w:rPr>
                <w:sz w:val="20"/>
                <w:szCs w:val="20"/>
                <w:color w:val="auto"/>
              </w:rPr>
            </w:pPr>
            <w:r>
              <w:rPr>
                <w:rFonts w:ascii="Arial" w:cs="Arial" w:eastAsia="Arial" w:hAnsi="Arial"/>
                <w:sz w:val="16"/>
                <w:szCs w:val="16"/>
                <w:b w:val="1"/>
                <w:bCs w:val="1"/>
                <w:color w:val="auto"/>
              </w:rPr>
              <w:t>Tenable Holdings, Inc. 2018 Employee Stock Purchase Plan</w:t>
            </w:r>
          </w:p>
        </w:tc>
        <w:tc>
          <w:tcPr>
            <w:tcW w:w="2520" w:type="dxa"/>
            <w:vAlign w:val="bottom"/>
          </w:tcPr>
          <w:p>
            <w:pPr>
              <w:spacing w:after="0"/>
              <w:rPr>
                <w:sz w:val="18"/>
                <w:szCs w:val="18"/>
                <w:color w:val="auto"/>
              </w:rPr>
            </w:pPr>
          </w:p>
        </w:tc>
      </w:tr>
      <w:tr>
        <w:trPr>
          <w:trHeight w:val="152"/>
        </w:trPr>
        <w:tc>
          <w:tcPr>
            <w:tcW w:w="7560" w:type="dxa"/>
            <w:vAlign w:val="bottom"/>
          </w:tcPr>
          <w:p>
            <w:pPr>
              <w:jc w:val="center"/>
              <w:ind w:left="2880"/>
              <w:spacing w:after="0" w:line="153" w:lineRule="exact"/>
              <w:rPr>
                <w:sz w:val="20"/>
                <w:szCs w:val="20"/>
                <w:color w:val="auto"/>
              </w:rPr>
            </w:pPr>
            <w:r>
              <w:rPr>
                <w:rFonts w:ascii="Arial" w:cs="Arial" w:eastAsia="Arial" w:hAnsi="Arial"/>
                <w:sz w:val="14"/>
                <w:szCs w:val="14"/>
                <w:color w:val="auto"/>
              </w:rPr>
              <w:t>(Full titles of the plans)</w:t>
            </w:r>
          </w:p>
        </w:tc>
        <w:tc>
          <w:tcPr>
            <w:tcW w:w="2520" w:type="dxa"/>
            <w:vAlign w:val="bottom"/>
          </w:tcPr>
          <w:p>
            <w:pPr>
              <w:spacing w:after="0"/>
              <w:rPr>
                <w:sz w:val="13"/>
                <w:szCs w:val="13"/>
                <w:color w:val="auto"/>
              </w:rPr>
            </w:pPr>
          </w:p>
        </w:tc>
      </w:tr>
      <w:tr>
        <w:trPr>
          <w:trHeight w:val="221"/>
        </w:trPr>
        <w:tc>
          <w:tcPr>
            <w:tcW w:w="7560" w:type="dxa"/>
            <w:vAlign w:val="bottom"/>
          </w:tcPr>
          <w:p>
            <w:pPr>
              <w:jc w:val="center"/>
              <w:ind w:left="2880"/>
              <w:spacing w:after="0"/>
              <w:rPr>
                <w:sz w:val="20"/>
                <w:szCs w:val="20"/>
                <w:color w:val="auto"/>
              </w:rPr>
            </w:pPr>
            <w:r>
              <w:rPr>
                <w:rFonts w:ascii="Arial" w:cs="Arial" w:eastAsia="Arial" w:hAnsi="Arial"/>
                <w:sz w:val="18"/>
                <w:szCs w:val="18"/>
                <w:b w:val="1"/>
                <w:bCs w:val="1"/>
                <w:color w:val="231F20"/>
                <w:w w:val="99"/>
              </w:rPr>
              <w:t>__________________</w:t>
            </w:r>
            <w:r>
              <w:rPr>
                <w:rFonts w:ascii="Arial" w:cs="Arial" w:eastAsia="Arial" w:hAnsi="Arial"/>
                <w:sz w:val="18"/>
                <w:szCs w:val="18"/>
                <w:b w:val="1"/>
                <w:bCs w:val="1"/>
                <w:color w:val="000000"/>
                <w:w w:val="99"/>
              </w:rPr>
              <w:t>________</w:t>
            </w:r>
          </w:p>
        </w:tc>
        <w:tc>
          <w:tcPr>
            <w:tcW w:w="2520" w:type="dxa"/>
            <w:vAlign w:val="bottom"/>
          </w:tcPr>
          <w:p>
            <w:pPr>
              <w:spacing w:after="0"/>
              <w:rPr>
                <w:sz w:val="19"/>
                <w:szCs w:val="19"/>
                <w:color w:val="auto"/>
              </w:rPr>
            </w:pPr>
          </w:p>
        </w:tc>
      </w:tr>
      <w:tr>
        <w:trPr>
          <w:trHeight w:val="203"/>
        </w:trPr>
        <w:tc>
          <w:tcPr>
            <w:tcW w:w="7560" w:type="dxa"/>
            <w:vAlign w:val="bottom"/>
          </w:tcPr>
          <w:p>
            <w:pPr>
              <w:jc w:val="center"/>
              <w:ind w:left="2880"/>
              <w:spacing w:after="0"/>
              <w:rPr>
                <w:sz w:val="20"/>
                <w:szCs w:val="20"/>
                <w:color w:val="auto"/>
              </w:rPr>
            </w:pPr>
            <w:r>
              <w:rPr>
                <w:rFonts w:ascii="Arial" w:cs="Arial" w:eastAsia="Arial" w:hAnsi="Arial"/>
                <w:sz w:val="16"/>
                <w:szCs w:val="16"/>
                <w:b w:val="1"/>
                <w:bCs w:val="1"/>
                <w:color w:val="auto"/>
              </w:rPr>
              <w:t>Stephen A. Vintz</w:t>
            </w:r>
          </w:p>
        </w:tc>
        <w:tc>
          <w:tcPr>
            <w:tcW w:w="2520" w:type="dxa"/>
            <w:vAlign w:val="bottom"/>
          </w:tcPr>
          <w:p>
            <w:pPr>
              <w:spacing w:after="0"/>
              <w:rPr>
                <w:sz w:val="17"/>
                <w:szCs w:val="17"/>
                <w:color w:val="auto"/>
              </w:rPr>
            </w:pPr>
          </w:p>
        </w:tc>
      </w:tr>
      <w:tr>
        <w:trPr>
          <w:trHeight w:val="189"/>
        </w:trPr>
        <w:tc>
          <w:tcPr>
            <w:tcW w:w="7560" w:type="dxa"/>
            <w:vAlign w:val="bottom"/>
          </w:tcPr>
          <w:p>
            <w:pPr>
              <w:jc w:val="center"/>
              <w:ind w:left="2880"/>
              <w:spacing w:after="0"/>
              <w:rPr>
                <w:sz w:val="20"/>
                <w:szCs w:val="20"/>
                <w:color w:val="auto"/>
              </w:rPr>
            </w:pPr>
            <w:r>
              <w:rPr>
                <w:rFonts w:ascii="Arial" w:cs="Arial" w:eastAsia="Arial" w:hAnsi="Arial"/>
                <w:sz w:val="16"/>
                <w:szCs w:val="16"/>
                <w:b w:val="1"/>
                <w:bCs w:val="1"/>
                <w:color w:val="auto"/>
              </w:rPr>
              <w:t>Co-Chief Executive Officer and Director</w:t>
            </w:r>
          </w:p>
        </w:tc>
        <w:tc>
          <w:tcPr>
            <w:tcW w:w="2520" w:type="dxa"/>
            <w:vAlign w:val="bottom"/>
          </w:tcPr>
          <w:p>
            <w:pPr>
              <w:spacing w:after="0"/>
              <w:rPr>
                <w:sz w:val="16"/>
                <w:szCs w:val="16"/>
                <w:color w:val="auto"/>
              </w:rPr>
            </w:pPr>
          </w:p>
        </w:tc>
      </w:tr>
      <w:tr>
        <w:trPr>
          <w:trHeight w:val="203"/>
        </w:trPr>
        <w:tc>
          <w:tcPr>
            <w:tcW w:w="7560" w:type="dxa"/>
            <w:vAlign w:val="bottom"/>
          </w:tcPr>
          <w:p>
            <w:pPr>
              <w:jc w:val="center"/>
              <w:ind w:left="2900"/>
              <w:spacing w:after="0"/>
              <w:rPr>
                <w:sz w:val="20"/>
                <w:szCs w:val="20"/>
                <w:color w:val="auto"/>
              </w:rPr>
            </w:pPr>
            <w:r>
              <w:rPr>
                <w:rFonts w:ascii="Arial" w:cs="Arial" w:eastAsia="Arial" w:hAnsi="Arial"/>
                <w:sz w:val="16"/>
                <w:szCs w:val="16"/>
                <w:b w:val="1"/>
                <w:bCs w:val="1"/>
                <w:color w:val="auto"/>
              </w:rPr>
              <w:t>Tenable Holdings, Inc.</w:t>
            </w:r>
          </w:p>
        </w:tc>
        <w:tc>
          <w:tcPr>
            <w:tcW w:w="2520" w:type="dxa"/>
            <w:vAlign w:val="bottom"/>
          </w:tcPr>
          <w:p>
            <w:pPr>
              <w:spacing w:after="0"/>
              <w:rPr>
                <w:sz w:val="17"/>
                <w:szCs w:val="17"/>
                <w:color w:val="auto"/>
              </w:rPr>
            </w:pPr>
          </w:p>
        </w:tc>
      </w:tr>
      <w:tr>
        <w:trPr>
          <w:trHeight w:val="189"/>
        </w:trPr>
        <w:tc>
          <w:tcPr>
            <w:tcW w:w="7560" w:type="dxa"/>
            <w:vAlign w:val="bottom"/>
          </w:tcPr>
          <w:p>
            <w:pPr>
              <w:jc w:val="center"/>
              <w:ind w:left="2900"/>
              <w:spacing w:after="0"/>
              <w:rPr>
                <w:sz w:val="20"/>
                <w:szCs w:val="20"/>
                <w:color w:val="auto"/>
              </w:rPr>
            </w:pPr>
            <w:r>
              <w:rPr>
                <w:rFonts w:ascii="Arial" w:cs="Arial" w:eastAsia="Arial" w:hAnsi="Arial"/>
                <w:sz w:val="16"/>
                <w:szCs w:val="16"/>
                <w:b w:val="1"/>
                <w:bCs w:val="1"/>
                <w:color w:val="auto"/>
              </w:rPr>
              <w:t>6100 Merriweather Drive</w:t>
            </w:r>
          </w:p>
        </w:tc>
        <w:tc>
          <w:tcPr>
            <w:tcW w:w="2520" w:type="dxa"/>
            <w:vAlign w:val="bottom"/>
          </w:tcPr>
          <w:p>
            <w:pPr>
              <w:spacing w:after="0"/>
              <w:rPr>
                <w:sz w:val="16"/>
                <w:szCs w:val="16"/>
                <w:color w:val="auto"/>
              </w:rPr>
            </w:pPr>
          </w:p>
        </w:tc>
      </w:tr>
      <w:tr>
        <w:trPr>
          <w:trHeight w:val="189"/>
        </w:trPr>
        <w:tc>
          <w:tcPr>
            <w:tcW w:w="7560" w:type="dxa"/>
            <w:vAlign w:val="bottom"/>
          </w:tcPr>
          <w:p>
            <w:pPr>
              <w:jc w:val="center"/>
              <w:ind w:left="2880"/>
              <w:spacing w:after="0"/>
              <w:rPr>
                <w:sz w:val="20"/>
                <w:szCs w:val="20"/>
                <w:color w:val="auto"/>
              </w:rPr>
            </w:pPr>
            <w:r>
              <w:rPr>
                <w:rFonts w:ascii="Arial" w:cs="Arial" w:eastAsia="Arial" w:hAnsi="Arial"/>
                <w:sz w:val="16"/>
                <w:szCs w:val="16"/>
                <w:b w:val="1"/>
                <w:bCs w:val="1"/>
                <w:color w:val="auto"/>
              </w:rPr>
              <w:t>Columbia, Maryland 21044</w:t>
            </w:r>
          </w:p>
        </w:tc>
        <w:tc>
          <w:tcPr>
            <w:tcW w:w="2520" w:type="dxa"/>
            <w:vAlign w:val="bottom"/>
          </w:tcPr>
          <w:p>
            <w:pPr>
              <w:spacing w:after="0"/>
              <w:rPr>
                <w:sz w:val="16"/>
                <w:szCs w:val="16"/>
                <w:color w:val="auto"/>
              </w:rPr>
            </w:pPr>
          </w:p>
        </w:tc>
      </w:tr>
      <w:tr>
        <w:trPr>
          <w:trHeight w:val="223"/>
        </w:trPr>
        <w:tc>
          <w:tcPr>
            <w:tcW w:w="7560" w:type="dxa"/>
            <w:vAlign w:val="bottom"/>
          </w:tcPr>
          <w:p>
            <w:pPr>
              <w:jc w:val="center"/>
              <w:ind w:left="2900"/>
              <w:spacing w:after="0"/>
              <w:rPr>
                <w:sz w:val="20"/>
                <w:szCs w:val="20"/>
                <w:color w:val="auto"/>
              </w:rPr>
            </w:pPr>
            <w:r>
              <w:rPr>
                <w:rFonts w:ascii="Arial" w:cs="Arial" w:eastAsia="Arial" w:hAnsi="Arial"/>
                <w:sz w:val="16"/>
                <w:szCs w:val="16"/>
                <w:b w:val="1"/>
                <w:bCs w:val="1"/>
                <w:color w:val="auto"/>
              </w:rPr>
              <w:t>(410) 872-0555</w:t>
            </w:r>
          </w:p>
        </w:tc>
        <w:tc>
          <w:tcPr>
            <w:tcW w:w="2520" w:type="dxa"/>
            <w:vAlign w:val="bottom"/>
          </w:tcPr>
          <w:p>
            <w:pPr>
              <w:spacing w:after="0"/>
              <w:rPr>
                <w:sz w:val="19"/>
                <w:szCs w:val="19"/>
                <w:color w:val="auto"/>
              </w:rPr>
            </w:pPr>
          </w:p>
        </w:tc>
      </w:tr>
      <w:tr>
        <w:trPr>
          <w:trHeight w:val="215"/>
        </w:trPr>
        <w:tc>
          <w:tcPr>
            <w:tcW w:w="10080" w:type="dxa"/>
            <w:vAlign w:val="bottom"/>
            <w:gridSpan w:val="2"/>
          </w:tcPr>
          <w:p>
            <w:pPr>
              <w:jc w:val="center"/>
              <w:ind w:left="360"/>
              <w:spacing w:after="0"/>
              <w:rPr>
                <w:sz w:val="20"/>
                <w:szCs w:val="20"/>
                <w:color w:val="auto"/>
              </w:rPr>
            </w:pPr>
            <w:r>
              <w:rPr>
                <w:rFonts w:ascii="Arial" w:cs="Arial" w:eastAsia="Arial" w:hAnsi="Arial"/>
                <w:sz w:val="14"/>
                <w:szCs w:val="14"/>
                <w:color w:val="auto"/>
              </w:rPr>
              <w:t>(Name and address of agent for service) (Telephone number, including area code, of agent for service)</w:t>
            </w:r>
          </w:p>
        </w:tc>
      </w:tr>
      <w:tr>
        <w:trPr>
          <w:trHeight w:val="357"/>
        </w:trPr>
        <w:tc>
          <w:tcPr>
            <w:tcW w:w="7560" w:type="dxa"/>
            <w:vAlign w:val="bottom"/>
          </w:tcPr>
          <w:p>
            <w:pPr>
              <w:jc w:val="center"/>
              <w:ind w:left="2880"/>
              <w:spacing w:after="0"/>
              <w:rPr>
                <w:sz w:val="20"/>
                <w:szCs w:val="20"/>
                <w:color w:val="auto"/>
              </w:rPr>
            </w:pPr>
            <w:r>
              <w:rPr>
                <w:rFonts w:ascii="Arial" w:cs="Arial" w:eastAsia="Arial" w:hAnsi="Arial"/>
                <w:sz w:val="16"/>
                <w:szCs w:val="16"/>
                <w:color w:val="auto"/>
                <w:w w:val="99"/>
              </w:rPr>
              <w:t>Copies to:</w:t>
            </w:r>
          </w:p>
        </w:tc>
        <w:tc>
          <w:tcPr>
            <w:tcW w:w="2520" w:type="dxa"/>
            <w:vAlign w:val="bottom"/>
          </w:tcPr>
          <w:p>
            <w:pPr>
              <w:spacing w:after="0"/>
              <w:rPr>
                <w:sz w:val="24"/>
                <w:szCs w:val="24"/>
                <w:color w:val="auto"/>
              </w:rPr>
            </w:pPr>
          </w:p>
        </w:tc>
      </w:tr>
      <w:tr>
        <w:trPr>
          <w:trHeight w:val="217"/>
        </w:trPr>
        <w:tc>
          <w:tcPr>
            <w:tcW w:w="7560" w:type="dxa"/>
            <w:vAlign w:val="bottom"/>
          </w:tcPr>
          <w:p>
            <w:pPr>
              <w:jc w:val="center"/>
              <w:ind w:right="3980"/>
              <w:spacing w:after="0"/>
              <w:rPr>
                <w:sz w:val="20"/>
                <w:szCs w:val="20"/>
                <w:color w:val="auto"/>
              </w:rPr>
            </w:pPr>
            <w:r>
              <w:rPr>
                <w:rFonts w:ascii="Arial" w:cs="Arial" w:eastAsia="Arial" w:hAnsi="Arial"/>
                <w:sz w:val="16"/>
                <w:szCs w:val="16"/>
                <w:b w:val="1"/>
                <w:bCs w:val="1"/>
                <w:color w:val="auto"/>
              </w:rPr>
              <w:t>Jon C. Avina</w:t>
            </w:r>
          </w:p>
        </w:tc>
        <w:tc>
          <w:tcPr>
            <w:tcW w:w="2520" w:type="dxa"/>
            <w:vAlign w:val="bottom"/>
          </w:tcPr>
          <w:p>
            <w:pPr>
              <w:jc w:val="center"/>
              <w:ind w:right="61"/>
              <w:spacing w:after="0"/>
              <w:rPr>
                <w:sz w:val="20"/>
                <w:szCs w:val="20"/>
                <w:color w:val="auto"/>
              </w:rPr>
            </w:pPr>
            <w:r>
              <w:rPr>
                <w:rFonts w:ascii="Arial" w:cs="Arial" w:eastAsia="Arial" w:hAnsi="Arial"/>
                <w:sz w:val="16"/>
                <w:szCs w:val="16"/>
                <w:b w:val="1"/>
                <w:bCs w:val="1"/>
                <w:color w:val="auto"/>
                <w:w w:val="99"/>
              </w:rPr>
              <w:t>Michelle VonderHaar</w:t>
            </w:r>
          </w:p>
        </w:tc>
      </w:tr>
      <w:tr>
        <w:trPr>
          <w:trHeight w:val="216"/>
        </w:trPr>
        <w:tc>
          <w:tcPr>
            <w:tcW w:w="7560" w:type="dxa"/>
            <w:vAlign w:val="bottom"/>
          </w:tcPr>
          <w:p>
            <w:pPr>
              <w:jc w:val="center"/>
              <w:ind w:right="3980"/>
              <w:spacing w:after="0"/>
              <w:rPr>
                <w:sz w:val="20"/>
                <w:szCs w:val="20"/>
                <w:color w:val="auto"/>
              </w:rPr>
            </w:pPr>
            <w:r>
              <w:rPr>
                <w:rFonts w:ascii="Arial" w:cs="Arial" w:eastAsia="Arial" w:hAnsi="Arial"/>
                <w:sz w:val="16"/>
                <w:szCs w:val="16"/>
                <w:b w:val="1"/>
                <w:bCs w:val="1"/>
                <w:color w:val="auto"/>
              </w:rPr>
              <w:t>Madison A. Jones</w:t>
            </w:r>
          </w:p>
        </w:tc>
        <w:tc>
          <w:tcPr>
            <w:tcW w:w="2520" w:type="dxa"/>
            <w:vAlign w:val="bottom"/>
          </w:tcPr>
          <w:p>
            <w:pPr>
              <w:jc w:val="center"/>
              <w:ind w:right="61"/>
              <w:spacing w:after="0"/>
              <w:rPr>
                <w:sz w:val="20"/>
                <w:szCs w:val="20"/>
                <w:color w:val="auto"/>
              </w:rPr>
            </w:pPr>
            <w:r>
              <w:rPr>
                <w:rFonts w:ascii="Arial" w:cs="Arial" w:eastAsia="Arial" w:hAnsi="Arial"/>
                <w:sz w:val="16"/>
                <w:szCs w:val="16"/>
                <w:b w:val="1"/>
                <w:bCs w:val="1"/>
                <w:color w:val="auto"/>
              </w:rPr>
              <w:t>Tenable Holdings, Inc.</w:t>
            </w:r>
          </w:p>
        </w:tc>
      </w:tr>
      <w:tr>
        <w:trPr>
          <w:trHeight w:val="216"/>
        </w:trPr>
        <w:tc>
          <w:tcPr>
            <w:tcW w:w="7560" w:type="dxa"/>
            <w:vAlign w:val="bottom"/>
          </w:tcPr>
          <w:p>
            <w:pPr>
              <w:jc w:val="center"/>
              <w:ind w:right="3980"/>
              <w:spacing w:after="0"/>
              <w:rPr>
                <w:sz w:val="20"/>
                <w:szCs w:val="20"/>
                <w:color w:val="auto"/>
              </w:rPr>
            </w:pPr>
            <w:r>
              <w:rPr>
                <w:rFonts w:ascii="Arial" w:cs="Arial" w:eastAsia="Arial" w:hAnsi="Arial"/>
                <w:sz w:val="16"/>
                <w:szCs w:val="16"/>
                <w:b w:val="1"/>
                <w:bCs w:val="1"/>
                <w:color w:val="auto"/>
              </w:rPr>
              <w:t>Cooley LLP</w:t>
            </w:r>
          </w:p>
        </w:tc>
        <w:tc>
          <w:tcPr>
            <w:tcW w:w="2520" w:type="dxa"/>
            <w:vAlign w:val="bottom"/>
          </w:tcPr>
          <w:p>
            <w:pPr>
              <w:jc w:val="center"/>
              <w:ind w:right="61"/>
              <w:spacing w:after="0"/>
              <w:rPr>
                <w:sz w:val="20"/>
                <w:szCs w:val="20"/>
                <w:color w:val="auto"/>
              </w:rPr>
            </w:pPr>
            <w:r>
              <w:rPr>
                <w:rFonts w:ascii="Arial" w:cs="Arial" w:eastAsia="Arial" w:hAnsi="Arial"/>
                <w:sz w:val="16"/>
                <w:szCs w:val="16"/>
                <w:b w:val="1"/>
                <w:bCs w:val="1"/>
                <w:color w:val="auto"/>
              </w:rPr>
              <w:t>6100 Merriweather Drive</w:t>
            </w:r>
          </w:p>
        </w:tc>
      </w:tr>
      <w:tr>
        <w:trPr>
          <w:trHeight w:val="216"/>
        </w:trPr>
        <w:tc>
          <w:tcPr>
            <w:tcW w:w="7560" w:type="dxa"/>
            <w:vAlign w:val="bottom"/>
          </w:tcPr>
          <w:p>
            <w:pPr>
              <w:jc w:val="center"/>
              <w:ind w:right="3960"/>
              <w:spacing w:after="0"/>
              <w:rPr>
                <w:sz w:val="20"/>
                <w:szCs w:val="20"/>
                <w:color w:val="auto"/>
              </w:rPr>
            </w:pPr>
            <w:r>
              <w:rPr>
                <w:rFonts w:ascii="Arial" w:cs="Arial" w:eastAsia="Arial" w:hAnsi="Arial"/>
                <w:sz w:val="16"/>
                <w:szCs w:val="16"/>
                <w:b w:val="1"/>
                <w:bCs w:val="1"/>
                <w:color w:val="auto"/>
              </w:rPr>
              <w:t>3175 Hanover Street</w:t>
            </w:r>
          </w:p>
        </w:tc>
        <w:tc>
          <w:tcPr>
            <w:tcW w:w="2520" w:type="dxa"/>
            <w:vAlign w:val="bottom"/>
          </w:tcPr>
          <w:p>
            <w:pPr>
              <w:jc w:val="center"/>
              <w:ind w:right="81"/>
              <w:spacing w:after="0"/>
              <w:rPr>
                <w:sz w:val="20"/>
                <w:szCs w:val="20"/>
                <w:color w:val="auto"/>
              </w:rPr>
            </w:pPr>
            <w:r>
              <w:rPr>
                <w:rFonts w:ascii="Arial" w:cs="Arial" w:eastAsia="Arial" w:hAnsi="Arial"/>
                <w:sz w:val="16"/>
                <w:szCs w:val="16"/>
                <w:b w:val="1"/>
                <w:bCs w:val="1"/>
                <w:color w:val="auto"/>
              </w:rPr>
              <w:t>Columbia, Maryland 21044</w:t>
            </w:r>
          </w:p>
        </w:tc>
      </w:tr>
      <w:tr>
        <w:trPr>
          <w:trHeight w:val="223"/>
        </w:trPr>
        <w:tc>
          <w:tcPr>
            <w:tcW w:w="7560" w:type="dxa"/>
            <w:vAlign w:val="bottom"/>
          </w:tcPr>
          <w:p>
            <w:pPr>
              <w:jc w:val="center"/>
              <w:ind w:right="3960"/>
              <w:spacing w:after="0"/>
              <w:rPr>
                <w:sz w:val="20"/>
                <w:szCs w:val="20"/>
                <w:color w:val="auto"/>
              </w:rPr>
            </w:pPr>
            <w:r>
              <w:rPr>
                <w:rFonts w:ascii="Arial" w:cs="Arial" w:eastAsia="Arial" w:hAnsi="Arial"/>
                <w:sz w:val="16"/>
                <w:szCs w:val="16"/>
                <w:b w:val="1"/>
                <w:bCs w:val="1"/>
                <w:color w:val="auto"/>
              </w:rPr>
              <w:t>Palo Alto, California 94304</w:t>
            </w:r>
          </w:p>
        </w:tc>
        <w:tc>
          <w:tcPr>
            <w:tcW w:w="2520" w:type="dxa"/>
            <w:vAlign w:val="bottom"/>
          </w:tcPr>
          <w:p>
            <w:pPr>
              <w:spacing w:after="0"/>
              <w:rPr>
                <w:sz w:val="19"/>
                <w:szCs w:val="19"/>
                <w:color w:val="auto"/>
              </w:rPr>
            </w:pPr>
          </w:p>
        </w:tc>
      </w:tr>
    </w:tbl>
    <w:p>
      <w:pPr>
        <w:spacing w:after="0" w:line="385" w:lineRule="exact"/>
        <w:rPr>
          <w:sz w:val="24"/>
          <w:szCs w:val="24"/>
          <w:color w:val="auto"/>
        </w:rPr>
      </w:pPr>
    </w:p>
    <w:p>
      <w:pPr>
        <w:ind w:right="20"/>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20" w:type="dxa"/>
        <w:tblCellMar>
          <w:top w:w="0" w:type="dxa"/>
          <w:left w:w="0" w:type="dxa"/>
          <w:bottom w:w="0" w:type="dxa"/>
          <w:right w:w="0" w:type="dxa"/>
        </w:tblCellMar>
      </w:tblPr>
      <w:tr>
        <w:trPr>
          <w:trHeight w:val="252"/>
        </w:trPr>
        <w:tc>
          <w:tcPr>
            <w:tcW w:w="34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040" w:type="dxa"/>
            <w:vAlign w:val="bottom"/>
          </w:tcPr>
          <w:p>
            <w:pPr>
              <w:ind w:left="1480"/>
              <w:spacing w:after="0" w:line="161" w:lineRule="exact"/>
              <w:rPr>
                <w:sz w:val="20"/>
                <w:szCs w:val="20"/>
                <w:color w:val="auto"/>
              </w:rPr>
            </w:pPr>
            <w:r>
              <w:rPr>
                <w:rFonts w:ascii="MS PGothic" w:cs="MS PGothic" w:eastAsia="MS PGothic" w:hAnsi="MS PGothic"/>
                <w:sz w:val="16"/>
                <w:szCs w:val="16"/>
                <w:color w:val="auto"/>
              </w:rPr>
              <w:t>☒</w:t>
            </w:r>
          </w:p>
        </w:tc>
        <w:tc>
          <w:tcPr>
            <w:tcW w:w="3840" w:type="dxa"/>
            <w:vAlign w:val="bottom"/>
          </w:tcPr>
          <w:p>
            <w:pPr>
              <w:ind w:left="420"/>
              <w:spacing w:after="0"/>
              <w:rPr>
                <w:sz w:val="20"/>
                <w:szCs w:val="20"/>
                <w:color w:val="auto"/>
              </w:rPr>
            </w:pPr>
            <w:r>
              <w:rPr>
                <w:rFonts w:ascii="Arial" w:cs="Arial" w:eastAsia="Arial" w:hAnsi="Arial"/>
                <w:sz w:val="16"/>
                <w:szCs w:val="16"/>
                <w:color w:val="auto"/>
              </w:rPr>
              <w:t>Accelerated filer</w:t>
            </w:r>
          </w:p>
        </w:tc>
        <w:tc>
          <w:tcPr>
            <w:tcW w:w="1640" w:type="dxa"/>
            <w:vAlign w:val="bottom"/>
          </w:tcPr>
          <w:p>
            <w:pPr>
              <w:ind w:left="1500"/>
              <w:spacing w:after="0"/>
              <w:rPr>
                <w:sz w:val="20"/>
                <w:szCs w:val="20"/>
                <w:color w:val="auto"/>
              </w:rPr>
            </w:pPr>
            <w:r>
              <w:rPr>
                <w:rFonts w:ascii="Wingdings" w:cs="Wingdings" w:eastAsia="Wingdings" w:hAnsi="Wingdings"/>
                <w:sz w:val="16"/>
                <w:szCs w:val="16"/>
                <w:b w:val="1"/>
                <w:bCs w:val="1"/>
                <w:color w:val="auto"/>
                <w:w w:val="83"/>
              </w:rPr>
              <w:t>o</w:t>
            </w:r>
          </w:p>
        </w:tc>
      </w:tr>
      <w:tr>
        <w:trPr>
          <w:trHeight w:val="215"/>
        </w:trPr>
        <w:tc>
          <w:tcPr>
            <w:tcW w:w="3400" w:type="dxa"/>
            <w:vAlign w:val="bottom"/>
          </w:tcPr>
          <w:p>
            <w:pPr>
              <w:spacing w:after="0"/>
              <w:rPr>
                <w:sz w:val="20"/>
                <w:szCs w:val="20"/>
                <w:color w:val="auto"/>
              </w:rPr>
            </w:pPr>
            <w:r>
              <w:rPr>
                <w:rFonts w:ascii="Arial" w:cs="Arial" w:eastAsia="Arial" w:hAnsi="Arial"/>
                <w:sz w:val="16"/>
                <w:szCs w:val="16"/>
                <w:color w:val="auto"/>
              </w:rPr>
              <w:t>Non-accelerated filer</w:t>
            </w:r>
          </w:p>
        </w:tc>
        <w:tc>
          <w:tcPr>
            <w:tcW w:w="2040" w:type="dxa"/>
            <w:vAlign w:val="bottom"/>
          </w:tcPr>
          <w:p>
            <w:pPr>
              <w:ind w:left="1480"/>
              <w:spacing w:after="0"/>
              <w:rPr>
                <w:sz w:val="20"/>
                <w:szCs w:val="20"/>
                <w:color w:val="auto"/>
              </w:rPr>
            </w:pPr>
            <w:r>
              <w:rPr>
                <w:rFonts w:ascii="Wingdings" w:cs="Wingdings" w:eastAsia="Wingdings" w:hAnsi="Wingdings"/>
                <w:sz w:val="16"/>
                <w:szCs w:val="16"/>
                <w:b w:val="1"/>
                <w:bCs w:val="1"/>
                <w:color w:val="auto"/>
              </w:rPr>
              <w:t>o</w:t>
            </w:r>
          </w:p>
        </w:tc>
        <w:tc>
          <w:tcPr>
            <w:tcW w:w="384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040" w:type="dxa"/>
            <w:vAlign w:val="bottom"/>
          </w:tcPr>
          <w:p>
            <w:pPr>
              <w:ind w:left="1480"/>
              <w:spacing w:after="0"/>
              <w:rPr>
                <w:sz w:val="20"/>
                <w:szCs w:val="20"/>
                <w:color w:val="auto"/>
              </w:rPr>
            </w:pPr>
            <w:r>
              <w:rPr>
                <w:rFonts w:ascii="Wingdings" w:cs="Wingdings" w:eastAsia="Wingdings" w:hAnsi="Wingdings"/>
                <w:sz w:val="16"/>
                <w:szCs w:val="16"/>
                <w:b w:val="1"/>
                <w:bCs w:val="1"/>
                <w:color w:val="auto"/>
              </w:rPr>
              <w:t>o</w:t>
            </w:r>
          </w:p>
        </w:tc>
        <w:tc>
          <w:tcPr>
            <w:tcW w:w="3840" w:type="dxa"/>
            <w:vAlign w:val="bottom"/>
          </w:tcPr>
          <w:p>
            <w:pPr>
              <w:ind w:left="420"/>
              <w:spacing w:after="0"/>
              <w:rPr>
                <w:sz w:val="20"/>
                <w:szCs w:val="20"/>
                <w:color w:val="auto"/>
              </w:rPr>
            </w:pPr>
            <w:r>
              <w:rPr>
                <w:rFonts w:ascii="Arial" w:cs="Arial" w:eastAsia="Arial" w:hAnsi="Arial"/>
                <w:sz w:val="16"/>
                <w:szCs w:val="16"/>
                <w:color w:val="auto"/>
              </w:rPr>
              <w:t>Smaller reporting company</w:t>
            </w:r>
          </w:p>
        </w:tc>
        <w:tc>
          <w:tcPr>
            <w:tcW w:w="1640" w:type="dxa"/>
            <w:vAlign w:val="bottom"/>
          </w:tcPr>
          <w:p>
            <w:pPr>
              <w:ind w:left="1500"/>
              <w:spacing w:after="0"/>
              <w:rPr>
                <w:sz w:val="20"/>
                <w:szCs w:val="20"/>
                <w:color w:val="auto"/>
              </w:rPr>
            </w:pPr>
            <w:r>
              <w:rPr>
                <w:rFonts w:ascii="Wingdings" w:cs="Wingdings" w:eastAsia="Wingdings" w:hAnsi="Wingdings"/>
                <w:sz w:val="16"/>
                <w:szCs w:val="16"/>
                <w:b w:val="1"/>
                <w:bCs w:val="1"/>
                <w:color w:val="auto"/>
                <w:w w:val="83"/>
              </w:rPr>
              <w:t>o</w:t>
            </w:r>
          </w:p>
        </w:tc>
      </w:tr>
    </w:tbl>
    <w:p>
      <w:pPr>
        <w:spacing w:after="0" w:line="1" w:lineRule="exact"/>
        <w:rPr>
          <w:sz w:val="24"/>
          <w:szCs w:val="24"/>
          <w:color w:val="auto"/>
        </w:rPr>
      </w:pPr>
    </w:p>
    <w:p>
      <w:pPr>
        <w:ind w:left="20" w:right="100"/>
        <w:spacing w:after="0" w:line="251"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ectPr>
          <w:pgSz w:w="11900" w:h="16838" w:orient="portrait"/>
          <w:cols w:equalWidth="0" w:num="1">
            <w:col w:w="11220"/>
          </w:cols>
          <w:pgMar w:left="320" w:top="328" w:right="359" w:bottom="1440" w:gutter="0" w:footer="0" w:header="0"/>
        </w:sectPr>
      </w:pPr>
    </w:p>
    <w:bookmarkStart w:id="1" w:name="page2"/>
    <w:bookmarkEnd w:id="1"/>
    <w:p>
      <w:pPr>
        <w:ind w:left="3820"/>
        <w:spacing w:after="0"/>
        <w:rPr>
          <w:sz w:val="20"/>
          <w:szCs w:val="20"/>
          <w:color w:val="auto"/>
        </w:rPr>
      </w:pPr>
      <w:r>
        <w:rPr>
          <w:rFonts w:ascii="Arial" w:cs="Arial" w:eastAsia="Arial" w:hAnsi="Arial"/>
          <w:sz w:val="18"/>
          <w:szCs w:val="18"/>
          <w:b w:val="1"/>
          <w:bCs w:val="1"/>
          <w:color w:val="auto"/>
        </w:rPr>
        <w:t>REGISTRATION OF ADDITIONAL SHARES</w:t>
      </w:r>
    </w:p>
    <w:p>
      <w:pPr>
        <w:spacing w:after="0" w:line="2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PURSUANT TO GENERAL INSTRUCTION E</w:t>
      </w:r>
    </w:p>
    <w:p>
      <w:pPr>
        <w:spacing w:after="0" w:line="20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Pursuant to General Instruction E of Form S-8, Tenable Holdings, Inc. (the “</w:t>
      </w:r>
      <w:r>
        <w:rPr>
          <w:rFonts w:ascii="Arial" w:cs="Arial" w:eastAsia="Arial" w:hAnsi="Arial"/>
          <w:sz w:val="18"/>
          <w:szCs w:val="18"/>
          <w:b w:val="1"/>
          <w:bCs w:val="1"/>
          <w:i w:val="1"/>
          <w:iCs w:val="1"/>
          <w:color w:val="auto"/>
        </w:rPr>
        <w:t>Registrant</w:t>
      </w:r>
      <w:r>
        <w:rPr>
          <w:rFonts w:ascii="Arial" w:cs="Arial" w:eastAsia="Arial" w:hAnsi="Arial"/>
          <w:sz w:val="18"/>
          <w:szCs w:val="18"/>
          <w:color w:val="auto"/>
        </w:rPr>
        <w:t>”) is filing this Registration Statement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to register (1) 5,922,499 additional shares of its common stock under the 2018 Equity Incentive Plan (the "</w:t>
      </w:r>
      <w:r>
        <w:rPr>
          <w:rFonts w:ascii="Arial" w:cs="Arial" w:eastAsia="Arial" w:hAnsi="Arial"/>
          <w:sz w:val="18"/>
          <w:szCs w:val="18"/>
          <w:b w:val="1"/>
          <w:bCs w:val="1"/>
          <w:i w:val="1"/>
          <w:iCs w:val="1"/>
          <w:color w:val="auto"/>
        </w:rPr>
        <w:t>2018 Plan</w:t>
      </w:r>
      <w:r>
        <w:rPr>
          <w:rFonts w:ascii="Arial" w:cs="Arial" w:eastAsia="Arial" w:hAnsi="Arial"/>
          <w:sz w:val="18"/>
          <w:szCs w:val="18"/>
          <w:color w:val="auto"/>
        </w:rPr>
        <w:t>"), pursuant to the provisions of the 2018 Plan providing for an automatic increase in the number of shares of common stock reserved and available for issuance under the 2018 Plan on January 1, 2026 and (2) 1,776,749 additional shares of its common stock under the 2018 Employee Stock Purchase Plan (the "</w:t>
      </w:r>
      <w:r>
        <w:rPr>
          <w:rFonts w:ascii="Arial" w:cs="Arial" w:eastAsia="Arial" w:hAnsi="Arial"/>
          <w:sz w:val="18"/>
          <w:szCs w:val="18"/>
          <w:b w:val="1"/>
          <w:bCs w:val="1"/>
          <w:i w:val="1"/>
          <w:iCs w:val="1"/>
          <w:color w:val="auto"/>
        </w:rPr>
        <w:t>2018 ESPP</w:t>
      </w:r>
      <w:r>
        <w:rPr>
          <w:rFonts w:ascii="Arial" w:cs="Arial" w:eastAsia="Arial" w:hAnsi="Arial"/>
          <w:sz w:val="18"/>
          <w:szCs w:val="18"/>
          <w:color w:val="auto"/>
        </w:rPr>
        <w:t>"), pursuant to the provisions of the 2018 ESPP providing for an automatic increase in the number of shares of common stock reserved and available for issuance under the 2018 ESPP on January 1, 2026. In accordance with the instructional note to Part I of Form S-8 as promulgated by the Commission, the information specified by Part I of the Form S-8 has been omitted from this Registration Statement.</w:t>
      </w:r>
    </w:p>
    <w:p>
      <w:pPr>
        <w:spacing w:after="0" w:line="18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Registrant previously registered shares of its common stock for issuance under the 2018 Plan and the 2018 ESPP on a Registration Statement on Form S-8 filed with the Commission on July 26, 2018 (File No. 333-226347), and subsequent Registration Statements on Form S-8 filed with the Commission on March 1, 2019 (File No. 333-230040), February 28, 2020 (File No. 333-236759), February 23, 2021 (File No. 333-253376), February 25, 2022 (File No. 333-263050), February 24, 2023 (File No. 333-270021), February 28, 2024 (File No. 333-277466), and February 24, 2025 (File No. 333-285153). Pursuant to General Instruction E to Form S-8, this Registration Statement hereby incorporates by reference the contents of the Registration Statements referenced above except to the extent supplemented, amended or superseded by the information set forth herein.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Incorporation of Certain Documents by Reference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documents filed by the Registrant with the Commission are incorporated by reference into this Registration Statement:</w:t>
      </w:r>
    </w:p>
    <w:p>
      <w:pPr>
        <w:spacing w:after="0" w:line="225" w:lineRule="exact"/>
        <w:rPr>
          <w:sz w:val="20"/>
          <w:szCs w:val="20"/>
          <w:color w:val="auto"/>
        </w:rPr>
      </w:pPr>
    </w:p>
    <w:p>
      <w:pPr>
        <w:ind w:firstLine="332"/>
        <w:spacing w:after="0" w:line="287" w:lineRule="auto"/>
        <w:tabs>
          <w:tab w:leader="none" w:pos="636"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Registrant’s Annual Report on Form 10-K for the fiscal year ended December 31, 2025, filed with the Commission on February 27, 2026.</w:t>
      </w:r>
    </w:p>
    <w:p>
      <w:pPr>
        <w:spacing w:after="0" w:line="152" w:lineRule="exact"/>
        <w:rPr>
          <w:rFonts w:ascii="Arial" w:cs="Arial" w:eastAsia="Arial" w:hAnsi="Arial"/>
          <w:sz w:val="18"/>
          <w:szCs w:val="18"/>
          <w:color w:val="auto"/>
        </w:rPr>
      </w:pPr>
    </w:p>
    <w:p>
      <w:pPr>
        <w:jc w:val="both"/>
        <w:ind w:firstLine="332"/>
        <w:spacing w:after="0" w:line="268" w:lineRule="auto"/>
        <w:tabs>
          <w:tab w:leader="none" w:pos="636" w:val="left"/>
        </w:tabs>
        <w:numPr>
          <w:ilvl w:val="0"/>
          <w:numId w:val="1"/>
        </w:numPr>
        <w:rPr>
          <w:rFonts w:ascii="Arial" w:cs="Arial" w:eastAsia="Arial" w:hAnsi="Arial"/>
          <w:sz w:val="18"/>
          <w:szCs w:val="18"/>
          <w:color w:val="auto"/>
        </w:rPr>
      </w:pPr>
      <w:r>
        <w:rPr>
          <w:rFonts w:ascii="Arial" w:cs="Arial" w:eastAsia="Arial" w:hAnsi="Arial"/>
          <w:sz w:val="18"/>
          <w:szCs w:val="18"/>
          <w:color w:val="auto"/>
        </w:rPr>
        <w:t>All other reports of the Registrant filed pursuant to Sections 13(a) or 15(d) of the Securities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since the end of the fiscal year covered by the Registrant’s Annual Report referred to in (b) above (other than Current Reports furnished under Item 2.02 or Item 7.01 of Form 8-K and exhibits furnished on such form that relate to such items).</w:t>
      </w:r>
    </w:p>
    <w:p>
      <w:pPr>
        <w:spacing w:after="0" w:line="170" w:lineRule="exact"/>
        <w:rPr>
          <w:rFonts w:ascii="Arial" w:cs="Arial" w:eastAsia="Arial" w:hAnsi="Arial"/>
          <w:sz w:val="18"/>
          <w:szCs w:val="18"/>
          <w:color w:val="auto"/>
        </w:rPr>
      </w:pPr>
    </w:p>
    <w:p>
      <w:pPr>
        <w:jc w:val="both"/>
        <w:ind w:firstLine="332"/>
        <w:spacing w:after="0" w:line="268" w:lineRule="auto"/>
        <w:tabs>
          <w:tab w:leader="none" w:pos="639"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description of the Registrant’s common stock which is contained in Exhibit 4.3 in the Registrant’s Annual Report on Form 10-K for the year ended December 31, 2019, filed on February 28, 2020, including any amendment or report filed with the Commission for the purpose of updating such description.</w:t>
      </w:r>
    </w:p>
    <w:p>
      <w:pPr>
        <w:spacing w:after="0" w:line="170" w:lineRule="exact"/>
        <w:rPr>
          <w:rFonts w:ascii="Arial" w:cs="Arial" w:eastAsia="Arial" w:hAnsi="Arial"/>
          <w:sz w:val="18"/>
          <w:szCs w:val="18"/>
          <w:color w:val="auto"/>
        </w:rPr>
      </w:pPr>
    </w:p>
    <w:p>
      <w:pPr>
        <w:jc w:val="both"/>
        <w:ind w:firstLine="332"/>
        <w:spacing w:after="0" w:line="255" w:lineRule="auto"/>
        <w:tabs>
          <w:tab w:leader="none" w:pos="636" w:val="left"/>
        </w:tabs>
        <w:numPr>
          <w:ilvl w:val="0"/>
          <w:numId w:val="1"/>
        </w:numPr>
        <w:rPr>
          <w:rFonts w:ascii="Arial" w:cs="Arial" w:eastAsia="Arial" w:hAnsi="Arial"/>
          <w:sz w:val="18"/>
          <w:szCs w:val="18"/>
          <w:color w:val="auto"/>
        </w:rPr>
      </w:pPr>
      <w:r>
        <w:rPr>
          <w:rFonts w:ascii="Arial" w:cs="Arial" w:eastAsia="Arial" w:hAnsi="Arial"/>
          <w:sz w:val="18"/>
          <w:szCs w:val="18"/>
          <w:color w:val="auto"/>
        </w:rPr>
        <w:t>All other reports and documents subsequently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93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47"/>
        </w:trPr>
        <w:tc>
          <w:tcPr>
            <w:tcW w:w="92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5500" w:type="dxa"/>
            <w:vAlign w:val="bottom"/>
            <w:gridSpan w:val="22"/>
          </w:tcPr>
          <w:p>
            <w:pPr>
              <w:spacing w:after="0"/>
              <w:rPr>
                <w:sz w:val="20"/>
                <w:szCs w:val="20"/>
                <w:color w:val="auto"/>
              </w:rPr>
            </w:pPr>
            <w:r>
              <w:rPr>
                <w:rFonts w:ascii="Arial" w:cs="Arial" w:eastAsia="Arial" w:hAnsi="Arial"/>
                <w:sz w:val="18"/>
                <w:szCs w:val="18"/>
                <w:b w:val="1"/>
                <w:bCs w:val="1"/>
                <w:color w:val="auto"/>
              </w:rPr>
              <w:t>Exhibits</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7"/>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rPr>
              <w:t>Incorporated by Reference</w:t>
            </w: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92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rPr>
              <w:t>Exhibit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60" w:type="dxa"/>
            <w:vAlign w:val="bottom"/>
            <w:gridSpan w:val="12"/>
            <w:vMerge w:val="restart"/>
          </w:tcPr>
          <w:p>
            <w:pPr>
              <w:ind w:left="260"/>
              <w:spacing w:after="0"/>
              <w:rPr>
                <w:sz w:val="20"/>
                <w:szCs w:val="20"/>
                <w:color w:val="auto"/>
              </w:rPr>
            </w:pPr>
            <w:r>
              <w:rPr>
                <w:rFonts w:ascii="Arial" w:cs="Arial" w:eastAsia="Arial" w:hAnsi="Arial"/>
                <w:sz w:val="16"/>
                <w:szCs w:val="16"/>
                <w:b w:val="1"/>
                <w:bCs w:val="1"/>
                <w:color w:val="auto"/>
              </w:rPr>
              <w:t>Description</w:t>
            </w:r>
          </w:p>
        </w:tc>
        <w:tc>
          <w:tcPr>
            <w:tcW w:w="100" w:type="dxa"/>
            <w:vAlign w:val="bottom"/>
            <w:vMerge w:val="restart"/>
          </w:tcPr>
          <w:p>
            <w:pPr>
              <w:spacing w:after="0"/>
              <w:rPr>
                <w:sz w:val="13"/>
                <w:szCs w:val="13"/>
                <w:color w:val="auto"/>
              </w:rPr>
            </w:pPr>
          </w:p>
        </w:tc>
        <w:tc>
          <w:tcPr>
            <w:tcW w:w="1260" w:type="dxa"/>
            <w:vAlign w:val="bottom"/>
            <w:gridSpan w:val="2"/>
          </w:tcPr>
          <w:p>
            <w:pPr>
              <w:jc w:val="center"/>
              <w:ind w:right="100"/>
              <w:spacing w:after="0" w:line="155" w:lineRule="exact"/>
              <w:rPr>
                <w:sz w:val="20"/>
                <w:szCs w:val="20"/>
                <w:color w:val="auto"/>
              </w:rPr>
            </w:pPr>
            <w:r>
              <w:rPr>
                <w:rFonts w:ascii="Arial" w:cs="Arial" w:eastAsia="Arial" w:hAnsi="Arial"/>
                <w:sz w:val="16"/>
                <w:szCs w:val="16"/>
                <w:b w:val="1"/>
                <w:bCs w:val="1"/>
                <w:color w:val="auto"/>
              </w:rPr>
              <w:t>Schedule</w:t>
            </w:r>
          </w:p>
        </w:tc>
        <w:tc>
          <w:tcPr>
            <w:tcW w:w="112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File Number</w:t>
            </w:r>
          </w:p>
        </w:tc>
        <w:tc>
          <w:tcPr>
            <w:tcW w:w="120" w:type="dxa"/>
            <w:vAlign w:val="bottom"/>
            <w:vMerge w:val="restart"/>
          </w:tcPr>
          <w:p>
            <w:pPr>
              <w:spacing w:after="0"/>
              <w:rPr>
                <w:sz w:val="13"/>
                <w:szCs w:val="13"/>
                <w:color w:val="auto"/>
              </w:rPr>
            </w:pPr>
          </w:p>
        </w:tc>
        <w:tc>
          <w:tcPr>
            <w:tcW w:w="84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Exhibit</w:t>
            </w:r>
          </w:p>
        </w:tc>
        <w:tc>
          <w:tcPr>
            <w:tcW w:w="100" w:type="dxa"/>
            <w:vAlign w:val="bottom"/>
            <w:vMerge w:val="restart"/>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Filing Date</w:t>
            </w:r>
          </w:p>
        </w:tc>
        <w:tc>
          <w:tcPr>
            <w:tcW w:w="0" w:type="dxa"/>
            <w:vAlign w:val="bottom"/>
          </w:tcPr>
          <w:p>
            <w:pPr>
              <w:spacing w:after="0"/>
              <w:rPr>
                <w:sz w:val="1"/>
                <w:szCs w:val="1"/>
                <w:color w:val="auto"/>
              </w:rPr>
            </w:pPr>
          </w:p>
        </w:tc>
      </w:tr>
      <w:tr>
        <w:trPr>
          <w:trHeight w:val="216"/>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Number</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1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Form</w:t>
            </w:r>
          </w:p>
        </w:tc>
        <w:tc>
          <w:tcPr>
            <w:tcW w:w="120" w:type="dxa"/>
            <w:vAlign w:val="bottom"/>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920" w:type="dxa"/>
            <w:vAlign w:val="bottom"/>
          </w:tcPr>
          <w:p>
            <w:pPr>
              <w:jc w:val="center"/>
              <w:spacing w:after="0" w:line="169" w:lineRule="exact"/>
              <w:rPr>
                <w:sz w:val="20"/>
                <w:szCs w:val="20"/>
                <w:color w:val="auto"/>
              </w:rPr>
            </w:pPr>
            <w:r>
              <w:rPr>
                <w:rFonts w:ascii="Arial" w:cs="Arial" w:eastAsia="Arial" w:hAnsi="Arial"/>
                <w:sz w:val="16"/>
                <w:szCs w:val="16"/>
                <w:color w:val="auto"/>
              </w:rPr>
              <w:t>4.1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80" w:type="dxa"/>
            <w:vAlign w:val="bottom"/>
            <w:gridSpan w:val="19"/>
          </w:tcPr>
          <w:p>
            <w:pPr>
              <w:spacing w:after="0" w:line="169" w:lineRule="exact"/>
              <w:rPr>
                <w:rFonts w:ascii="Arial" w:cs="Arial" w:eastAsia="Arial" w:hAnsi="Arial"/>
                <w:sz w:val="16"/>
                <w:szCs w:val="16"/>
                <w:color w:val="0000FF"/>
              </w:rPr>
            </w:pPr>
            <w:hyperlink r:id="rId9">
              <w:r>
                <w:rPr>
                  <w:rFonts w:ascii="Arial" w:cs="Arial" w:eastAsia="Arial" w:hAnsi="Arial"/>
                  <w:sz w:val="16"/>
                  <w:szCs w:val="16"/>
                  <w:color w:val="0000FF"/>
                </w:rPr>
                <w:t>Amended and Restated Certificate of Incorporation of the Registrant, as</w:t>
              </w:r>
            </w:hyperlink>
          </w:p>
        </w:tc>
        <w:tc>
          <w:tcPr>
            <w:tcW w:w="100" w:type="dxa"/>
            <w:vAlign w:val="bottom"/>
          </w:tcPr>
          <w:p>
            <w:pPr>
              <w:spacing w:after="0"/>
              <w:rPr>
                <w:sz w:val="14"/>
                <w:szCs w:val="14"/>
                <w:color w:val="auto"/>
              </w:rPr>
            </w:pP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rPr>
              <w:t>8-K</w:t>
            </w:r>
          </w:p>
        </w:tc>
        <w:tc>
          <w:tcPr>
            <w:tcW w:w="1120" w:type="dxa"/>
            <w:vAlign w:val="bottom"/>
            <w:vMerge w:val="restart"/>
          </w:tcPr>
          <w:p>
            <w:pPr>
              <w:jc w:val="center"/>
              <w:spacing w:after="0"/>
              <w:rPr>
                <w:sz w:val="20"/>
                <w:szCs w:val="20"/>
                <w:color w:val="auto"/>
              </w:rPr>
            </w:pPr>
            <w:r>
              <w:rPr>
                <w:rFonts w:ascii="Arial" w:cs="Arial" w:eastAsia="Arial" w:hAnsi="Arial"/>
                <w:sz w:val="16"/>
                <w:szCs w:val="16"/>
                <w:color w:val="auto"/>
              </w:rPr>
              <w:t>001-38600</w:t>
            </w:r>
          </w:p>
        </w:tc>
        <w:tc>
          <w:tcPr>
            <w:tcW w:w="12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98"/>
              </w:rPr>
              <w:t>3.1</w:t>
            </w:r>
          </w:p>
        </w:tc>
        <w:tc>
          <w:tcPr>
            <w:tcW w:w="10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Arial" w:cs="Arial" w:eastAsia="Arial" w:hAnsi="Arial"/>
                <w:sz w:val="16"/>
                <w:szCs w:val="16"/>
                <w:color w:val="auto"/>
              </w:rPr>
              <w:t>July 30, 2018</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14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r:id="rId9">
              <w:r>
                <w:rPr>
                  <w:rFonts w:ascii="Arial" w:cs="Arial" w:eastAsia="Arial" w:hAnsi="Arial"/>
                  <w:sz w:val="16"/>
                  <w:szCs w:val="16"/>
                  <w:color w:val="0000FF"/>
                </w:rPr>
                <w:t>currently in effect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80" w:type="dxa"/>
            <w:vAlign w:val="bottom"/>
            <w:gridSpan w:val="20"/>
          </w:tcPr>
          <w:p>
            <w:pPr>
              <w:spacing w:after="0"/>
              <w:rPr>
                <w:rFonts w:ascii="Arial" w:cs="Arial" w:eastAsia="Arial" w:hAnsi="Arial"/>
                <w:sz w:val="16"/>
                <w:szCs w:val="16"/>
                <w:color w:val="0000FF"/>
              </w:rPr>
            </w:pPr>
            <w:hyperlink r:id="rId10">
              <w:r>
                <w:rPr>
                  <w:rFonts w:ascii="Arial" w:cs="Arial" w:eastAsia="Arial" w:hAnsi="Arial"/>
                  <w:sz w:val="16"/>
                  <w:szCs w:val="16"/>
                  <w:color w:val="0000FF"/>
                </w:rPr>
                <w:t>Second Amended and Restated Bylaws of the Registrant, as currently in</w:t>
              </w:r>
            </w:hyperlink>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November 15,</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6"/>
              </w:rPr>
            </w:pPr>
            <w:hyperlink r:id="rId10">
              <w:r>
                <w:rPr>
                  <w:rFonts w:ascii="Arial" w:cs="Arial" w:eastAsia="Arial" w:hAnsi="Arial"/>
                  <w:sz w:val="16"/>
                  <w:szCs w:val="16"/>
                  <w:color w:val="0000FF"/>
                  <w:w w:val="96"/>
                </w:rPr>
                <w:t>effect</w:t>
              </w:r>
            </w:hyperlink>
          </w:p>
        </w:tc>
        <w:tc>
          <w:tcPr>
            <w:tcW w:w="4780" w:type="dxa"/>
            <w:vAlign w:val="bottom"/>
            <w:tcBorders>
              <w:top w:val="single" w:sz="8" w:color="0000FF"/>
            </w:tcBorders>
            <w:gridSpan w:val="1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1260" w:type="dxa"/>
            <w:vAlign w:val="bottom"/>
            <w:gridSpan w:val="2"/>
          </w:tcPr>
          <w:p>
            <w:pPr>
              <w:jc w:val="center"/>
              <w:ind w:right="120"/>
              <w:spacing w:after="0" w:line="142" w:lineRule="exact"/>
              <w:rPr>
                <w:sz w:val="20"/>
                <w:szCs w:val="20"/>
                <w:color w:val="auto"/>
              </w:rPr>
            </w:pPr>
            <w:r>
              <w:rPr>
                <w:rFonts w:ascii="Arial" w:cs="Arial" w:eastAsia="Arial" w:hAnsi="Arial"/>
                <w:sz w:val="16"/>
                <w:szCs w:val="16"/>
                <w:color w:val="auto"/>
              </w:rPr>
              <w:t>8-K</w:t>
            </w:r>
          </w:p>
        </w:tc>
        <w:tc>
          <w:tcPr>
            <w:tcW w:w="1120" w:type="dxa"/>
            <w:vAlign w:val="bottom"/>
          </w:tcPr>
          <w:p>
            <w:pPr>
              <w:jc w:val="center"/>
              <w:spacing w:after="0" w:line="142" w:lineRule="exact"/>
              <w:rPr>
                <w:sz w:val="20"/>
                <w:szCs w:val="20"/>
                <w:color w:val="auto"/>
              </w:rPr>
            </w:pPr>
            <w:r>
              <w:rPr>
                <w:rFonts w:ascii="Arial" w:cs="Arial" w:eastAsia="Arial" w:hAnsi="Arial"/>
                <w:sz w:val="16"/>
                <w:szCs w:val="16"/>
                <w:color w:val="auto"/>
              </w:rPr>
              <w:t>001-38600</w:t>
            </w:r>
          </w:p>
        </w:tc>
        <w:tc>
          <w:tcPr>
            <w:tcW w:w="12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6"/>
                <w:szCs w:val="16"/>
                <w:color w:val="auto"/>
                <w:w w:val="98"/>
              </w:rPr>
              <w:t>3.1</w:t>
            </w:r>
          </w:p>
        </w:tc>
        <w:tc>
          <w:tcPr>
            <w:tcW w:w="100" w:type="dxa"/>
            <w:vAlign w:val="bottom"/>
          </w:tcPr>
          <w:p>
            <w:pPr>
              <w:spacing w:after="0"/>
              <w:rPr>
                <w:sz w:val="12"/>
                <w:szCs w:val="12"/>
                <w:color w:val="auto"/>
              </w:rPr>
            </w:pPr>
          </w:p>
        </w:tc>
        <w:tc>
          <w:tcPr>
            <w:tcW w:w="1320" w:type="dxa"/>
            <w:vAlign w:val="bottom"/>
          </w:tcPr>
          <w:p>
            <w:pPr>
              <w:jc w:val="center"/>
              <w:spacing w:after="0" w:line="142" w:lineRule="exact"/>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tcBorders>
              <w:bottom w:val="single" w:sz="8" w:color="0000FF"/>
            </w:tcBorders>
            <w:gridSpan w:val="10"/>
          </w:tcPr>
          <w:p>
            <w:pPr>
              <w:spacing w:after="0"/>
              <w:rPr>
                <w:rFonts w:ascii="Arial" w:cs="Arial" w:eastAsia="Arial" w:hAnsi="Arial"/>
                <w:sz w:val="16"/>
                <w:szCs w:val="16"/>
                <w:color w:val="0000FF"/>
              </w:rPr>
            </w:pPr>
            <w:hyperlink r:id="rId11">
              <w:r>
                <w:rPr>
                  <w:rFonts w:ascii="Arial" w:cs="Arial" w:eastAsia="Arial" w:hAnsi="Arial"/>
                  <w:sz w:val="16"/>
                  <w:szCs w:val="16"/>
                  <w:color w:val="0000FF"/>
                </w:rPr>
                <w:t>Form of Common Stock Certificate of the Registrant</w:t>
              </w:r>
            </w:hyperlink>
          </w:p>
        </w:tc>
        <w:tc>
          <w:tcPr>
            <w:tcW w:w="1660" w:type="dxa"/>
            <w:vAlign w:val="bottom"/>
            <w:gridSpan w:val="10"/>
          </w:tcPr>
          <w:p>
            <w:pPr>
              <w:spacing w:after="0"/>
              <w:rPr>
                <w:sz w:val="17"/>
                <w:szCs w:val="17"/>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S-1/A</w:t>
            </w:r>
          </w:p>
        </w:tc>
        <w:tc>
          <w:tcPr>
            <w:tcW w:w="1120" w:type="dxa"/>
            <w:vAlign w:val="bottom"/>
          </w:tcPr>
          <w:p>
            <w:pPr>
              <w:jc w:val="center"/>
              <w:spacing w:after="0"/>
              <w:rPr>
                <w:sz w:val="20"/>
                <w:szCs w:val="20"/>
                <w:color w:val="auto"/>
              </w:rPr>
            </w:pPr>
            <w:r>
              <w:rPr>
                <w:rFonts w:ascii="Arial" w:cs="Arial" w:eastAsia="Arial" w:hAnsi="Arial"/>
                <w:sz w:val="16"/>
                <w:szCs w:val="16"/>
                <w:color w:val="auto"/>
              </w:rPr>
              <w:t>333-226002</w:t>
            </w:r>
          </w:p>
        </w:tc>
        <w:tc>
          <w:tcPr>
            <w:tcW w:w="12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July 16, 2018</w:t>
            </w: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rPr>
                <w:sz w:val="20"/>
                <w:szCs w:val="20"/>
                <w:color w:val="auto"/>
              </w:rPr>
            </w:pPr>
            <w:r>
              <w:rPr>
                <w:rFonts w:ascii="Arial" w:cs="Arial" w:eastAsia="Arial" w:hAnsi="Arial"/>
                <w:sz w:val="16"/>
                <w:szCs w:val="16"/>
                <w:color w:val="auto"/>
                <w:w w:val="98"/>
              </w:rPr>
              <w:t>5.1*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color w:val="0000FF"/>
                <w:w w:val="99"/>
              </w:rPr>
              <w:t>Opinion of Cooley LLP</w:t>
            </w:r>
          </w:p>
        </w:tc>
        <w:tc>
          <w:tcPr>
            <w:tcW w:w="3760" w:type="dxa"/>
            <w:vAlign w:val="bottom"/>
            <w:gridSpan w:val="14"/>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rPr>
                <w:sz w:val="20"/>
                <w:szCs w:val="20"/>
                <w:color w:val="auto"/>
              </w:rPr>
            </w:pPr>
            <w:r>
              <w:rPr>
                <w:rFonts w:ascii="Arial" w:cs="Arial" w:eastAsia="Arial" w:hAnsi="Arial"/>
                <w:sz w:val="16"/>
                <w:szCs w:val="16"/>
                <w:color w:val="auto"/>
                <w:w w:val="96"/>
              </w:rPr>
              <w:t>23.1*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80" w:type="dxa"/>
            <w:vAlign w:val="bottom"/>
            <w:gridSpan w:val="20"/>
          </w:tcPr>
          <w:p>
            <w:pPr>
              <w:spacing w:after="0"/>
              <w:rPr>
                <w:sz w:val="20"/>
                <w:szCs w:val="20"/>
                <w:color w:val="auto"/>
              </w:rPr>
            </w:pPr>
            <w:r>
              <w:rPr>
                <w:rFonts w:ascii="Arial" w:cs="Arial" w:eastAsia="Arial" w:hAnsi="Arial"/>
                <w:sz w:val="16"/>
                <w:szCs w:val="16"/>
                <w:color w:val="0000FF"/>
              </w:rPr>
              <w:t>Consent of Ernst &amp; Young LLP, independent registered public accounting</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20" w:type="dxa"/>
            <w:vAlign w:val="bottom"/>
            <w:tcBorders>
              <w:top w:val="single" w:sz="8" w:color="0000FF"/>
            </w:tcBorders>
            <w:gridSpan w:val="18"/>
          </w:tcPr>
          <w:p>
            <w:pPr>
              <w:spacing w:after="0" w:line="142" w:lineRule="exact"/>
              <w:rPr>
                <w:sz w:val="20"/>
                <w:szCs w:val="20"/>
                <w:color w:val="auto"/>
              </w:rPr>
            </w:pPr>
            <w:r>
              <w:rPr>
                <w:rFonts w:ascii="Arial" w:cs="Arial" w:eastAsia="Arial" w:hAnsi="Arial"/>
                <w:sz w:val="16"/>
                <w:szCs w:val="16"/>
                <w:color w:val="0000FF"/>
              </w:rPr>
              <w:t>firm</w:t>
            </w:r>
          </w:p>
        </w:tc>
        <w:tc>
          <w:tcPr>
            <w:tcW w:w="160" w:type="dxa"/>
            <w:vAlign w:val="bottom"/>
            <w:gridSpan w:val="2"/>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rPr>
                <w:sz w:val="20"/>
                <w:szCs w:val="20"/>
                <w:color w:val="auto"/>
              </w:rPr>
            </w:pPr>
            <w:r>
              <w:rPr>
                <w:rFonts w:ascii="Arial" w:cs="Arial" w:eastAsia="Arial" w:hAnsi="Arial"/>
                <w:sz w:val="16"/>
                <w:szCs w:val="16"/>
                <w:color w:val="auto"/>
                <w:w w:val="96"/>
              </w:rPr>
              <w:t>23.2*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0" w:type="dxa"/>
            <w:vAlign w:val="bottom"/>
            <w:tcBorders>
              <w:bottom w:val="single" w:sz="8" w:color="0000FF"/>
            </w:tcBorders>
            <w:gridSpan w:val="9"/>
          </w:tcPr>
          <w:p>
            <w:pPr>
              <w:spacing w:after="0"/>
              <w:rPr>
                <w:sz w:val="20"/>
                <w:szCs w:val="20"/>
                <w:color w:val="auto"/>
              </w:rPr>
            </w:pPr>
            <w:r>
              <w:rPr>
                <w:rFonts w:ascii="Arial" w:cs="Arial" w:eastAsia="Arial" w:hAnsi="Arial"/>
                <w:sz w:val="16"/>
                <w:szCs w:val="16"/>
                <w:color w:val="0000FF"/>
              </w:rPr>
              <w:t>Consent of Cooley LLP (included in Exhibit 5.1)</w:t>
            </w:r>
          </w:p>
        </w:tc>
        <w:tc>
          <w:tcPr>
            <w:tcW w:w="1980" w:type="dxa"/>
            <w:vAlign w:val="bottom"/>
            <w:gridSpan w:val="11"/>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rPr>
                <w:sz w:val="20"/>
                <w:szCs w:val="20"/>
                <w:color w:val="auto"/>
              </w:rPr>
            </w:pPr>
            <w:r>
              <w:rPr>
                <w:rFonts w:ascii="Arial" w:cs="Arial" w:eastAsia="Arial" w:hAnsi="Arial"/>
                <w:sz w:val="16"/>
                <w:szCs w:val="16"/>
                <w:color w:val="auto"/>
                <w:w w:val="96"/>
              </w:rPr>
              <w:t>24.1*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60" w:type="dxa"/>
            <w:vAlign w:val="bottom"/>
            <w:tcBorders>
              <w:bottom w:val="single" w:sz="8" w:color="0000FF"/>
            </w:tcBorders>
            <w:gridSpan w:val="12"/>
          </w:tcPr>
          <w:p>
            <w:pPr>
              <w:spacing w:after="0"/>
              <w:rPr>
                <w:sz w:val="20"/>
                <w:szCs w:val="20"/>
                <w:color w:val="auto"/>
              </w:rPr>
            </w:pPr>
            <w:r>
              <w:rPr>
                <w:rFonts w:ascii="Arial" w:cs="Arial" w:eastAsia="Arial" w:hAnsi="Arial"/>
                <w:sz w:val="16"/>
                <w:szCs w:val="16"/>
                <w:color w:val="0000FF"/>
              </w:rPr>
              <w:t>Power of Attorney (included on the signature page of this Form S-8)</w:t>
            </w:r>
          </w:p>
        </w:tc>
        <w:tc>
          <w:tcPr>
            <w:tcW w:w="520" w:type="dxa"/>
            <w:vAlign w:val="bottom"/>
            <w:gridSpan w:val="8"/>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rPr>
                <w:sz w:val="20"/>
                <w:szCs w:val="20"/>
                <w:color w:val="auto"/>
              </w:rPr>
            </w:pPr>
            <w:r>
              <w:rPr>
                <w:rFonts w:ascii="Arial" w:cs="Arial" w:eastAsia="Arial" w:hAnsi="Arial"/>
                <w:sz w:val="16"/>
                <w:szCs w:val="16"/>
                <w:color w:val="auto"/>
              </w:rPr>
              <w:t>99.1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80" w:type="dxa"/>
            <w:vAlign w:val="bottom"/>
            <w:gridSpan w:val="20"/>
          </w:tcPr>
          <w:p>
            <w:pPr>
              <w:spacing w:after="0"/>
              <w:rPr>
                <w:rFonts w:ascii="Arial" w:cs="Arial" w:eastAsia="Arial" w:hAnsi="Arial"/>
                <w:sz w:val="16"/>
                <w:szCs w:val="16"/>
                <w:color w:val="0000FF"/>
              </w:rPr>
            </w:pPr>
            <w:hyperlink r:id="rId12">
              <w:r>
                <w:rPr>
                  <w:rFonts w:ascii="Arial" w:cs="Arial" w:eastAsia="Arial" w:hAnsi="Arial"/>
                  <w:sz w:val="16"/>
                  <w:szCs w:val="16"/>
                  <w:color w:val="0000FF"/>
                </w:rPr>
                <w:t>2018 Equity Incentive Plan and Forms of Stock Option Grant Notice and</w:t>
              </w:r>
            </w:hyperlink>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16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12">
              <w:r>
                <w:rPr>
                  <w:rFonts w:ascii="Arial" w:cs="Arial" w:eastAsia="Arial" w:hAnsi="Arial"/>
                  <w:sz w:val="16"/>
                  <w:szCs w:val="16"/>
                  <w:color w:val="0000FF"/>
                </w:rPr>
                <w:t>Agreement and Restricted Stock Unit Grant Notice and Agreement</w:t>
              </w:r>
            </w:hyperlink>
          </w:p>
        </w:tc>
        <w:tc>
          <w:tcPr>
            <w:tcW w:w="40" w:type="dxa"/>
            <w:vAlign w:val="bottom"/>
            <w:gridSpan w:val="2"/>
          </w:tcPr>
          <w:p>
            <w:pPr>
              <w:spacing w:after="0"/>
              <w:rPr>
                <w:sz w:val="12"/>
                <w:szCs w:val="12"/>
                <w:color w:val="auto"/>
              </w:rPr>
            </w:pPr>
          </w:p>
        </w:tc>
        <w:tc>
          <w:tcPr>
            <w:tcW w:w="180" w:type="dxa"/>
            <w:vAlign w:val="bottom"/>
            <w:gridSpan w:val="3"/>
          </w:tcPr>
          <w:p>
            <w:pPr>
              <w:spacing w:after="0"/>
              <w:rPr>
                <w:sz w:val="12"/>
                <w:szCs w:val="12"/>
                <w:color w:val="auto"/>
              </w:rPr>
            </w:pP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rPr>
              <w:t>S-8</w:t>
            </w:r>
          </w:p>
        </w:tc>
        <w:tc>
          <w:tcPr>
            <w:tcW w:w="1120" w:type="dxa"/>
            <w:vAlign w:val="bottom"/>
            <w:vMerge w:val="restart"/>
          </w:tcPr>
          <w:p>
            <w:pPr>
              <w:jc w:val="center"/>
              <w:spacing w:after="0"/>
              <w:rPr>
                <w:sz w:val="20"/>
                <w:szCs w:val="20"/>
                <w:color w:val="auto"/>
              </w:rPr>
            </w:pPr>
            <w:r>
              <w:rPr>
                <w:rFonts w:ascii="Arial" w:cs="Arial" w:eastAsia="Arial" w:hAnsi="Arial"/>
                <w:sz w:val="16"/>
                <w:szCs w:val="16"/>
                <w:color w:val="auto"/>
              </w:rPr>
              <w:t>333-226347</w:t>
            </w:r>
          </w:p>
        </w:tc>
        <w:tc>
          <w:tcPr>
            <w:tcW w:w="12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Arial" w:cs="Arial" w:eastAsia="Arial" w:hAnsi="Arial"/>
                <w:sz w:val="16"/>
                <w:szCs w:val="16"/>
                <w:color w:val="auto"/>
              </w:rPr>
              <w:t>July 26, 2018</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80" w:type="dxa"/>
            <w:vAlign w:val="bottom"/>
            <w:tcBorders>
              <w:top w:val="single" w:sz="8" w:color="0000FF"/>
            </w:tcBorders>
            <w:gridSpan w:val="11"/>
          </w:tcPr>
          <w:p>
            <w:pPr>
              <w:spacing w:after="0" w:line="142" w:lineRule="exact"/>
              <w:rPr>
                <w:rFonts w:ascii="Arial" w:cs="Arial" w:eastAsia="Arial" w:hAnsi="Arial"/>
                <w:sz w:val="16"/>
                <w:szCs w:val="16"/>
                <w:color w:val="0000FF"/>
              </w:rPr>
            </w:pPr>
            <w:hyperlink r:id="rId12">
              <w:r>
                <w:rPr>
                  <w:rFonts w:ascii="Arial" w:cs="Arial" w:eastAsia="Arial" w:hAnsi="Arial"/>
                  <w:sz w:val="16"/>
                  <w:szCs w:val="16"/>
                  <w:color w:val="0000FF"/>
                </w:rPr>
                <w:t>thereunder</w:t>
              </w:r>
            </w:hyperlink>
          </w:p>
        </w:tc>
        <w:tc>
          <w:tcPr>
            <w:tcW w:w="180" w:type="dxa"/>
            <w:vAlign w:val="bottom"/>
            <w:gridSpan w:val="2"/>
          </w:tcPr>
          <w:p>
            <w:pPr>
              <w:spacing w:after="0"/>
              <w:rPr>
                <w:sz w:val="12"/>
                <w:szCs w:val="12"/>
                <w:color w:val="auto"/>
              </w:rPr>
            </w:pPr>
          </w:p>
        </w:tc>
        <w:tc>
          <w:tcPr>
            <w:tcW w:w="240" w:type="dxa"/>
            <w:vAlign w:val="bottom"/>
            <w:gridSpan w:val="4"/>
          </w:tcPr>
          <w:p>
            <w:pPr>
              <w:spacing w:after="0"/>
              <w:rPr>
                <w:sz w:val="12"/>
                <w:szCs w:val="12"/>
                <w:color w:val="auto"/>
              </w:rPr>
            </w:pPr>
          </w:p>
        </w:tc>
        <w:tc>
          <w:tcPr>
            <w:tcW w:w="180" w:type="dxa"/>
            <w:vAlign w:val="bottom"/>
            <w:gridSpan w:val="3"/>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rPr>
                <w:sz w:val="20"/>
                <w:szCs w:val="20"/>
                <w:color w:val="auto"/>
              </w:rPr>
            </w:pPr>
            <w:r>
              <w:rPr>
                <w:rFonts w:ascii="Arial" w:cs="Arial" w:eastAsia="Arial" w:hAnsi="Arial"/>
                <w:sz w:val="16"/>
                <w:szCs w:val="16"/>
                <w:color w:val="auto"/>
              </w:rPr>
              <w:t>99.2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80" w:type="dxa"/>
            <w:vAlign w:val="bottom"/>
            <w:gridSpan w:val="20"/>
          </w:tcPr>
          <w:p>
            <w:pPr>
              <w:spacing w:after="0"/>
              <w:rPr>
                <w:rFonts w:ascii="Arial" w:cs="Arial" w:eastAsia="Arial" w:hAnsi="Arial"/>
                <w:sz w:val="16"/>
                <w:szCs w:val="16"/>
                <w:color w:val="0000FF"/>
              </w:rPr>
            </w:pPr>
            <w:hyperlink r:id="rId13">
              <w:r>
                <w:rPr>
                  <w:rFonts w:ascii="Arial" w:cs="Arial" w:eastAsia="Arial" w:hAnsi="Arial"/>
                  <w:sz w:val="16"/>
                  <w:szCs w:val="16"/>
                  <w:color w:val="0000FF"/>
                </w:rPr>
                <w:t>Form of Restricted Stock Unit Grant Notice and Agreement under the</w:t>
              </w:r>
            </w:hyperlink>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rPr>
              <w:t>10-Q</w:t>
            </w:r>
          </w:p>
        </w:tc>
        <w:tc>
          <w:tcPr>
            <w:tcW w:w="1120" w:type="dxa"/>
            <w:vAlign w:val="bottom"/>
            <w:vMerge w:val="restart"/>
          </w:tcPr>
          <w:p>
            <w:pPr>
              <w:jc w:val="center"/>
              <w:spacing w:after="0"/>
              <w:rPr>
                <w:sz w:val="20"/>
                <w:szCs w:val="20"/>
                <w:color w:val="auto"/>
              </w:rPr>
            </w:pPr>
            <w:r>
              <w:rPr>
                <w:rFonts w:ascii="Arial" w:cs="Arial" w:eastAsia="Arial" w:hAnsi="Arial"/>
                <w:sz w:val="16"/>
                <w:szCs w:val="16"/>
                <w:color w:val="auto"/>
              </w:rPr>
              <w:t>001-38600</w:t>
            </w:r>
          </w:p>
        </w:tc>
        <w:tc>
          <w:tcPr>
            <w:tcW w:w="120" w:type="dxa"/>
            <w:vAlign w:val="bottom"/>
          </w:tcPr>
          <w:p>
            <w:pPr>
              <w:spacing w:after="0"/>
              <w:rPr>
                <w:sz w:val="17"/>
                <w:szCs w:val="17"/>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7"/>
                <w:szCs w:val="17"/>
                <w:color w:val="auto"/>
              </w:rPr>
            </w:pPr>
          </w:p>
        </w:tc>
        <w:tc>
          <w:tcPr>
            <w:tcW w:w="1320" w:type="dxa"/>
            <w:vAlign w:val="bottom"/>
            <w:vMerge w:val="restart"/>
          </w:tcPr>
          <w:p>
            <w:pPr>
              <w:jc w:val="center"/>
              <w:spacing w:after="0"/>
              <w:rPr>
                <w:sz w:val="20"/>
                <w:szCs w:val="20"/>
                <w:color w:val="auto"/>
              </w:rPr>
            </w:pPr>
            <w:r>
              <w:rPr>
                <w:rFonts w:ascii="Arial" w:cs="Arial" w:eastAsia="Arial" w:hAnsi="Arial"/>
                <w:sz w:val="16"/>
                <w:szCs w:val="16"/>
                <w:color w:val="auto"/>
              </w:rPr>
              <w:t>August 2, 2023</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2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rPr>
            </w:pPr>
            <w:hyperlink r:id="rId13">
              <w:r>
                <w:rPr>
                  <w:rFonts w:ascii="Arial" w:cs="Arial" w:eastAsia="Arial" w:hAnsi="Arial"/>
                  <w:sz w:val="16"/>
                  <w:szCs w:val="16"/>
                  <w:color w:val="0000FF"/>
                </w:rPr>
                <w:t>2018 Equity Incentive Plan</w:t>
              </w:r>
            </w:hyperlink>
          </w:p>
        </w:tc>
        <w:tc>
          <w:tcPr>
            <w:tcW w:w="3040" w:type="dxa"/>
            <w:vAlign w:val="bottom"/>
            <w:tcBorders>
              <w:top w:val="single" w:sz="8" w:color="0000FF"/>
            </w:tcBorders>
            <w:gridSpan w:val="6"/>
          </w:tcPr>
          <w:p>
            <w:pPr>
              <w:spacing w:after="0"/>
              <w:rPr>
                <w:sz w:val="12"/>
                <w:szCs w:val="12"/>
                <w:color w:val="auto"/>
              </w:rPr>
            </w:pPr>
          </w:p>
        </w:tc>
        <w:tc>
          <w:tcPr>
            <w:tcW w:w="240" w:type="dxa"/>
            <w:vAlign w:val="bottom"/>
            <w:gridSpan w:val="4"/>
          </w:tcPr>
          <w:p>
            <w:pPr>
              <w:spacing w:after="0"/>
              <w:rPr>
                <w:sz w:val="12"/>
                <w:szCs w:val="12"/>
                <w:color w:val="auto"/>
              </w:rPr>
            </w:pPr>
          </w:p>
        </w:tc>
        <w:tc>
          <w:tcPr>
            <w:tcW w:w="180" w:type="dxa"/>
            <w:vAlign w:val="bottom"/>
            <w:gridSpan w:val="3"/>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rPr>
                <w:sz w:val="20"/>
                <w:szCs w:val="20"/>
                <w:color w:val="auto"/>
              </w:rPr>
            </w:pPr>
            <w:r>
              <w:rPr>
                <w:rFonts w:ascii="Arial" w:cs="Arial" w:eastAsia="Arial" w:hAnsi="Arial"/>
                <w:sz w:val="16"/>
                <w:szCs w:val="16"/>
                <w:color w:val="auto"/>
              </w:rPr>
              <w:t>99.3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80" w:type="dxa"/>
            <w:vAlign w:val="bottom"/>
            <w:gridSpan w:val="20"/>
          </w:tcPr>
          <w:p>
            <w:pPr>
              <w:spacing w:after="0"/>
              <w:rPr>
                <w:rFonts w:ascii="Arial" w:cs="Arial" w:eastAsia="Arial" w:hAnsi="Arial"/>
                <w:sz w:val="16"/>
                <w:szCs w:val="16"/>
                <w:color w:val="0000FF"/>
              </w:rPr>
            </w:pPr>
            <w:hyperlink r:id="rId13">
              <w:r>
                <w:rPr>
                  <w:rFonts w:ascii="Arial" w:cs="Arial" w:eastAsia="Arial" w:hAnsi="Arial"/>
                  <w:sz w:val="16"/>
                  <w:szCs w:val="16"/>
                  <w:color w:val="0000FF"/>
                </w:rPr>
                <w:t>Form of Restricted Stock Unit Grant Notice and Agreement under the</w:t>
              </w:r>
            </w:hyperlink>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November 9,</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2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rPr>
            </w:pPr>
            <w:hyperlink r:id="rId13">
              <w:r>
                <w:rPr>
                  <w:rFonts w:ascii="Arial" w:cs="Arial" w:eastAsia="Arial" w:hAnsi="Arial"/>
                  <w:sz w:val="16"/>
                  <w:szCs w:val="16"/>
                  <w:color w:val="0000FF"/>
                </w:rPr>
                <w:t>2018 Equity Incentive Plan</w:t>
              </w:r>
            </w:hyperlink>
          </w:p>
        </w:tc>
        <w:tc>
          <w:tcPr>
            <w:tcW w:w="3040" w:type="dxa"/>
            <w:vAlign w:val="bottom"/>
            <w:tcBorders>
              <w:top w:val="single" w:sz="8" w:color="0000FF"/>
            </w:tcBorders>
            <w:gridSpan w:val="6"/>
          </w:tcPr>
          <w:p>
            <w:pPr>
              <w:spacing w:after="0"/>
              <w:rPr>
                <w:sz w:val="12"/>
                <w:szCs w:val="12"/>
                <w:color w:val="auto"/>
              </w:rPr>
            </w:pPr>
          </w:p>
        </w:tc>
        <w:tc>
          <w:tcPr>
            <w:tcW w:w="240" w:type="dxa"/>
            <w:vAlign w:val="bottom"/>
            <w:gridSpan w:val="4"/>
          </w:tcPr>
          <w:p>
            <w:pPr>
              <w:spacing w:after="0"/>
              <w:rPr>
                <w:sz w:val="12"/>
                <w:szCs w:val="12"/>
                <w:color w:val="auto"/>
              </w:rPr>
            </w:pPr>
          </w:p>
        </w:tc>
        <w:tc>
          <w:tcPr>
            <w:tcW w:w="180" w:type="dxa"/>
            <w:vAlign w:val="bottom"/>
            <w:gridSpan w:val="3"/>
          </w:tcPr>
          <w:p>
            <w:pPr>
              <w:spacing w:after="0"/>
              <w:rPr>
                <w:sz w:val="12"/>
                <w:szCs w:val="12"/>
                <w:color w:val="auto"/>
              </w:rPr>
            </w:pPr>
          </w:p>
        </w:tc>
        <w:tc>
          <w:tcPr>
            <w:tcW w:w="1260" w:type="dxa"/>
            <w:vAlign w:val="bottom"/>
            <w:gridSpan w:val="2"/>
          </w:tcPr>
          <w:p>
            <w:pPr>
              <w:jc w:val="center"/>
              <w:ind w:right="100"/>
              <w:spacing w:after="0" w:line="142" w:lineRule="exact"/>
              <w:rPr>
                <w:sz w:val="20"/>
                <w:szCs w:val="20"/>
                <w:color w:val="auto"/>
              </w:rPr>
            </w:pPr>
            <w:r>
              <w:rPr>
                <w:rFonts w:ascii="Arial" w:cs="Arial" w:eastAsia="Arial" w:hAnsi="Arial"/>
                <w:sz w:val="16"/>
                <w:szCs w:val="16"/>
                <w:color w:val="auto"/>
              </w:rPr>
              <w:t>10-Q</w:t>
            </w:r>
          </w:p>
        </w:tc>
        <w:tc>
          <w:tcPr>
            <w:tcW w:w="1120" w:type="dxa"/>
            <w:vAlign w:val="bottom"/>
          </w:tcPr>
          <w:p>
            <w:pPr>
              <w:jc w:val="center"/>
              <w:spacing w:after="0" w:line="142" w:lineRule="exact"/>
              <w:rPr>
                <w:sz w:val="20"/>
                <w:szCs w:val="20"/>
                <w:color w:val="auto"/>
              </w:rPr>
            </w:pPr>
            <w:r>
              <w:rPr>
                <w:rFonts w:ascii="Arial" w:cs="Arial" w:eastAsia="Arial" w:hAnsi="Arial"/>
                <w:sz w:val="16"/>
                <w:szCs w:val="16"/>
                <w:color w:val="auto"/>
              </w:rPr>
              <w:t>001-38600</w:t>
            </w:r>
          </w:p>
        </w:tc>
        <w:tc>
          <w:tcPr>
            <w:tcW w:w="12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6"/>
                <w:szCs w:val="16"/>
                <w:color w:val="auto"/>
              </w:rPr>
              <w:t>10.1</w:t>
            </w:r>
          </w:p>
        </w:tc>
        <w:tc>
          <w:tcPr>
            <w:tcW w:w="100" w:type="dxa"/>
            <w:vAlign w:val="bottom"/>
          </w:tcPr>
          <w:p>
            <w:pPr>
              <w:spacing w:after="0"/>
              <w:rPr>
                <w:sz w:val="12"/>
                <w:szCs w:val="12"/>
                <w:color w:val="auto"/>
              </w:rPr>
            </w:pPr>
          </w:p>
        </w:tc>
        <w:tc>
          <w:tcPr>
            <w:tcW w:w="1320" w:type="dxa"/>
            <w:vAlign w:val="bottom"/>
          </w:tcPr>
          <w:p>
            <w:pPr>
              <w:jc w:val="center"/>
              <w:spacing w:after="0" w:line="142" w:lineRule="exact"/>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rPr>
                <w:sz w:val="20"/>
                <w:szCs w:val="20"/>
                <w:color w:val="auto"/>
              </w:rPr>
            </w:pPr>
            <w:r>
              <w:rPr>
                <w:rFonts w:ascii="Arial" w:cs="Arial" w:eastAsia="Arial" w:hAnsi="Arial"/>
                <w:sz w:val="16"/>
                <w:szCs w:val="16"/>
                <w:color w:val="auto"/>
              </w:rPr>
              <w:t>99.4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80" w:type="dxa"/>
            <w:vAlign w:val="bottom"/>
            <w:tcBorders>
              <w:bottom w:val="single" w:sz="8" w:color="0000FF"/>
            </w:tcBorders>
            <w:gridSpan w:val="8"/>
          </w:tcPr>
          <w:p>
            <w:pPr>
              <w:spacing w:after="0"/>
              <w:rPr>
                <w:rFonts w:ascii="Arial" w:cs="Arial" w:eastAsia="Arial" w:hAnsi="Arial"/>
                <w:sz w:val="16"/>
                <w:szCs w:val="16"/>
                <w:color w:val="0000FF"/>
              </w:rPr>
            </w:pPr>
            <w:hyperlink r:id="rId14">
              <w:r>
                <w:rPr>
                  <w:rFonts w:ascii="Arial" w:cs="Arial" w:eastAsia="Arial" w:hAnsi="Arial"/>
                  <w:sz w:val="16"/>
                  <w:szCs w:val="16"/>
                  <w:color w:val="0000FF"/>
                </w:rPr>
                <w:t>2018 Employee Stock Purchase Plan</w:t>
              </w:r>
            </w:hyperlink>
          </w:p>
        </w:tc>
        <w:tc>
          <w:tcPr>
            <w:tcW w:w="2700" w:type="dxa"/>
            <w:vAlign w:val="bottom"/>
            <w:gridSpan w:val="12"/>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color w:val="auto"/>
              </w:rPr>
              <w:t>S-8</w:t>
            </w:r>
          </w:p>
        </w:tc>
        <w:tc>
          <w:tcPr>
            <w:tcW w:w="1120" w:type="dxa"/>
            <w:vAlign w:val="bottom"/>
          </w:tcPr>
          <w:p>
            <w:pPr>
              <w:jc w:val="center"/>
              <w:spacing w:after="0"/>
              <w:rPr>
                <w:sz w:val="20"/>
                <w:szCs w:val="20"/>
                <w:color w:val="auto"/>
              </w:rPr>
            </w:pPr>
            <w:r>
              <w:rPr>
                <w:rFonts w:ascii="Arial" w:cs="Arial" w:eastAsia="Arial" w:hAnsi="Arial"/>
                <w:sz w:val="16"/>
                <w:szCs w:val="16"/>
                <w:color w:val="auto"/>
              </w:rPr>
              <w:t>333-226347</w:t>
            </w:r>
          </w:p>
        </w:tc>
        <w:tc>
          <w:tcPr>
            <w:tcW w:w="12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July 26, 2018</w:t>
            </w:r>
          </w:p>
        </w:tc>
        <w:tc>
          <w:tcPr>
            <w:tcW w:w="0" w:type="dxa"/>
            <w:vAlign w:val="bottom"/>
          </w:tcPr>
          <w:p>
            <w:pPr>
              <w:spacing w:after="0"/>
              <w:rPr>
                <w:sz w:val="1"/>
                <w:szCs w:val="1"/>
                <w:color w:val="auto"/>
              </w:rPr>
            </w:pPr>
          </w:p>
        </w:tc>
      </w:tr>
      <w:tr>
        <w:trPr>
          <w:trHeight w:val="183"/>
        </w:trPr>
        <w:tc>
          <w:tcPr>
            <w:tcW w:w="920" w:type="dxa"/>
            <w:vAlign w:val="bottom"/>
          </w:tcPr>
          <w:p>
            <w:pPr>
              <w:jc w:val="center"/>
              <w:spacing w:after="0" w:line="183" w:lineRule="exact"/>
              <w:rPr>
                <w:sz w:val="20"/>
                <w:szCs w:val="20"/>
                <w:color w:val="auto"/>
              </w:rPr>
            </w:pPr>
            <w:r>
              <w:rPr>
                <w:rFonts w:ascii="Arial" w:cs="Arial" w:eastAsia="Arial" w:hAnsi="Arial"/>
                <w:sz w:val="16"/>
                <w:szCs w:val="16"/>
                <w:color w:val="auto"/>
              </w:rPr>
              <w:t>99.5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0" w:type="dxa"/>
            <w:vAlign w:val="bottom"/>
            <w:gridSpan w:val="17"/>
            <w:vMerge w:val="restart"/>
          </w:tcPr>
          <w:p>
            <w:pPr>
              <w:spacing w:after="0"/>
              <w:rPr>
                <w:rFonts w:ascii="Arial" w:cs="Arial" w:eastAsia="Arial" w:hAnsi="Arial"/>
                <w:sz w:val="16"/>
                <w:szCs w:val="16"/>
                <w:color w:val="0000FF"/>
              </w:rPr>
            </w:pPr>
            <w:hyperlink r:id="rId15">
              <w:r>
                <w:rPr>
                  <w:rFonts w:ascii="Arial" w:cs="Arial" w:eastAsia="Arial" w:hAnsi="Arial"/>
                  <w:sz w:val="16"/>
                  <w:szCs w:val="16"/>
                  <w:color w:val="0000FF"/>
                </w:rPr>
                <w:t>Form of Performance Restricted Stock Unit Grant Notice and Agreement</w:t>
              </w:r>
            </w:hyperlink>
          </w:p>
        </w:tc>
        <w:tc>
          <w:tcPr>
            <w:tcW w:w="180" w:type="dxa"/>
            <w:vAlign w:val="bottom"/>
            <w:gridSpan w:val="3"/>
            <w:vMerge w:val="restart"/>
          </w:tcPr>
          <w:p>
            <w:pPr>
              <w:spacing w:after="0"/>
              <w:rPr>
                <w:sz w:val="15"/>
                <w:szCs w:val="15"/>
                <w:color w:val="auto"/>
              </w:rPr>
            </w:pP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rPr>
              <w:t>8-K</w:t>
            </w:r>
          </w:p>
        </w:tc>
        <w:tc>
          <w:tcPr>
            <w:tcW w:w="1120" w:type="dxa"/>
            <w:vAlign w:val="bottom"/>
            <w:vMerge w:val="restart"/>
          </w:tcPr>
          <w:p>
            <w:pPr>
              <w:jc w:val="center"/>
              <w:spacing w:after="0"/>
              <w:rPr>
                <w:sz w:val="20"/>
                <w:szCs w:val="20"/>
                <w:color w:val="auto"/>
              </w:rPr>
            </w:pPr>
            <w:r>
              <w:rPr>
                <w:rFonts w:ascii="Arial" w:cs="Arial" w:eastAsia="Arial" w:hAnsi="Arial"/>
                <w:sz w:val="16"/>
                <w:szCs w:val="16"/>
                <w:color w:val="auto"/>
              </w:rPr>
              <w:t>001-38600</w:t>
            </w:r>
          </w:p>
        </w:tc>
        <w:tc>
          <w:tcPr>
            <w:tcW w:w="120" w:type="dxa"/>
            <w:vAlign w:val="bottom"/>
          </w:tcPr>
          <w:p>
            <w:pPr>
              <w:spacing w:after="0"/>
              <w:rPr>
                <w:sz w:val="15"/>
                <w:szCs w:val="15"/>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5"/>
                <w:szCs w:val="15"/>
                <w:color w:val="auto"/>
              </w:rPr>
            </w:pPr>
          </w:p>
        </w:tc>
        <w:tc>
          <w:tcPr>
            <w:tcW w:w="1320" w:type="dxa"/>
            <w:vAlign w:val="bottom"/>
          </w:tcPr>
          <w:p>
            <w:pPr>
              <w:jc w:val="center"/>
              <w:spacing w:after="0" w:line="183" w:lineRule="exact"/>
              <w:rPr>
                <w:sz w:val="20"/>
                <w:szCs w:val="20"/>
                <w:color w:val="auto"/>
              </w:rPr>
            </w:pPr>
            <w:r>
              <w:rPr>
                <w:rFonts w:ascii="Arial" w:cs="Arial" w:eastAsia="Arial" w:hAnsi="Arial"/>
                <w:sz w:val="16"/>
                <w:szCs w:val="16"/>
                <w:color w:val="auto"/>
              </w:rPr>
              <w:t>February 28,</w:t>
            </w:r>
          </w:p>
        </w:tc>
        <w:tc>
          <w:tcPr>
            <w:tcW w:w="0" w:type="dxa"/>
            <w:vAlign w:val="bottom"/>
          </w:tcPr>
          <w:p>
            <w:pPr>
              <w:spacing w:after="0"/>
              <w:rPr>
                <w:sz w:val="1"/>
                <w:szCs w:val="1"/>
                <w:color w:val="auto"/>
              </w:rPr>
            </w:pPr>
          </w:p>
        </w:tc>
      </w:tr>
      <w:tr>
        <w:trPr>
          <w:trHeight w:val="181"/>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0" w:type="dxa"/>
            <w:vAlign w:val="bottom"/>
            <w:tcBorders>
              <w:bottom w:val="single" w:sz="8" w:color="0000FF"/>
            </w:tcBorders>
            <w:gridSpan w:val="17"/>
            <w:vMerge w:val="continue"/>
          </w:tcPr>
          <w:p>
            <w:pPr>
              <w:spacing w:after="0"/>
              <w:rPr>
                <w:sz w:val="15"/>
                <w:szCs w:val="15"/>
                <w:color w:val="auto"/>
              </w:rPr>
            </w:pPr>
          </w:p>
        </w:tc>
        <w:tc>
          <w:tcPr>
            <w:tcW w:w="180" w:type="dxa"/>
            <w:vAlign w:val="bottom"/>
            <w:gridSpan w:val="3"/>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center"/>
              <w:spacing w:after="0" w:line="175" w:lineRule="exact"/>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rPr>
                <w:sz w:val="20"/>
                <w:szCs w:val="20"/>
                <w:color w:val="auto"/>
              </w:rPr>
            </w:pPr>
            <w:r>
              <w:rPr>
                <w:rFonts w:ascii="Arial" w:cs="Arial" w:eastAsia="Arial" w:hAnsi="Arial"/>
                <w:sz w:val="16"/>
                <w:szCs w:val="16"/>
                <w:color w:val="auto"/>
                <w:w w:val="97"/>
              </w:rPr>
              <w:t>107*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80" w:type="dxa"/>
            <w:vAlign w:val="bottom"/>
            <w:gridSpan w:val="20"/>
          </w:tcPr>
          <w:p>
            <w:pPr>
              <w:spacing w:after="0"/>
              <w:rPr>
                <w:sz w:val="20"/>
                <w:szCs w:val="20"/>
                <w:color w:val="auto"/>
              </w:rPr>
            </w:pPr>
            <w:r>
              <w:rPr>
                <w:rFonts w:ascii="Arial" w:cs="Arial" w:eastAsia="Arial" w:hAnsi="Arial"/>
                <w:sz w:val="16"/>
                <w:szCs w:val="16"/>
                <w:color w:val="0000FF"/>
              </w:rPr>
              <w:t>Filing Fee Table</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___________</w:t>
      </w:r>
    </w:p>
    <w:p>
      <w:pPr>
        <w:spacing w:after="0" w:line="37" w:lineRule="exact"/>
        <w:rPr>
          <w:sz w:val="20"/>
          <w:szCs w:val="20"/>
          <w:color w:val="auto"/>
        </w:rPr>
      </w:pPr>
    </w:p>
    <w:p>
      <w:pPr>
        <w:ind w:left="340" w:hanging="251"/>
        <w:spacing w:after="0"/>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80"/>
          </w:cols>
          <w:pgMar w:left="320" w:top="931" w:right="3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Columbia, Maryland, on February 27, 2026.</w:t>
      </w:r>
    </w:p>
    <w:p>
      <w:pPr>
        <w:spacing w:after="0" w:line="360"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TENABLE HOLDINGS, INC.</w:t>
      </w:r>
    </w:p>
    <w:p>
      <w:pPr>
        <w:spacing w:after="0" w:line="293" w:lineRule="exact"/>
        <w:rPr>
          <w:sz w:val="20"/>
          <w:szCs w:val="20"/>
          <w:color w:val="auto"/>
        </w:rPr>
      </w:pPr>
    </w:p>
    <w:p>
      <w:pPr>
        <w:ind w:left="4880"/>
        <w:spacing w:after="0"/>
        <w:tabs>
          <w:tab w:leader="none" w:pos="5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17780</wp:posOffset>
            </wp:positionV>
            <wp:extent cx="37719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Matthew Brown</w:t>
      </w:r>
    </w:p>
    <w:p>
      <w:pPr>
        <w:spacing w:after="0" w:line="32" w:lineRule="exact"/>
        <w:rPr>
          <w:sz w:val="20"/>
          <w:szCs w:val="20"/>
          <w:color w:val="auto"/>
        </w:rPr>
      </w:pPr>
    </w:p>
    <w:p>
      <w:pPr>
        <w:ind w:left="532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931" w:right="339" w:bottom="1440" w:gutter="0" w:footer="0" w:header="0"/>
        </w:sectPr>
      </w:pPr>
    </w:p>
    <w:bookmarkStart w:id="4" w:name="page5"/>
    <w:bookmarkEnd w:id="4"/>
    <w:p>
      <w:pPr>
        <w:jc w:val="center"/>
        <w:ind w:right="-359"/>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b w:val="1"/>
          <w:bCs w:val="1"/>
          <w:color w:val="auto"/>
        </w:rPr>
        <w:t>KNOW ALL PERSONS BY THESE PRESENTS</w:t>
      </w:r>
      <w:r>
        <w:rPr>
          <w:rFonts w:ascii="Arial" w:cs="Arial" w:eastAsia="Arial" w:hAnsi="Arial"/>
          <w:sz w:val="18"/>
          <w:szCs w:val="18"/>
          <w:color w:val="auto"/>
        </w:rPr>
        <w:t>, that each person whose signature appears below constitutes and appoints Stephen A.</w:t>
      </w:r>
      <w:r>
        <w:rPr>
          <w:rFonts w:ascii="Arial" w:cs="Arial" w:eastAsia="Arial" w:hAnsi="Arial"/>
          <w:sz w:val="18"/>
          <w:szCs w:val="18"/>
          <w:b w:val="1"/>
          <w:bCs w:val="1"/>
          <w:color w:val="auto"/>
        </w:rPr>
        <w:t xml:space="preserve"> </w:t>
      </w:r>
      <w:r>
        <w:rPr>
          <w:rFonts w:ascii="Arial" w:cs="Arial" w:eastAsia="Arial" w:hAnsi="Arial"/>
          <w:sz w:val="18"/>
          <w:szCs w:val="18"/>
          <w:color w:val="auto"/>
        </w:rPr>
        <w:t>Vintz, Matthew Brown and J. Barron Anschutz, and each or any one of them, as his or her true and lawful attorney-in-fact and agent, each with the full power of substitution and resubstitution, for him or her and in their name, place or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attorney-in-fact and agent, and each or any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her or their substitute or substitutes, may lawfully do or cause to be done by virtue hereof.</w:t>
      </w:r>
    </w:p>
    <w:p>
      <w:pPr>
        <w:spacing w:after="0" w:line="181" w:lineRule="exact"/>
        <w:rPr>
          <w:sz w:val="20"/>
          <w:szCs w:val="20"/>
          <w:color w:val="auto"/>
        </w:rPr>
      </w:pPr>
    </w:p>
    <w:p>
      <w:pPr>
        <w:ind w:right="820" w:firstLine="324"/>
        <w:spacing w:after="0" w:line="28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3400" w:type="dxa"/>
            <w:vAlign w:val="bottom"/>
            <w:tcBorders>
              <w:bottom w:val="single" w:sz="8" w:color="auto"/>
            </w:tcBorders>
          </w:tcPr>
          <w:p>
            <w:pPr>
              <w:ind w:left="1280"/>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0"/>
                <w:szCs w:val="20"/>
                <w:color w:val="auto"/>
              </w:rPr>
            </w:pPr>
          </w:p>
        </w:tc>
        <w:tc>
          <w:tcPr>
            <w:tcW w:w="5580" w:type="dxa"/>
            <w:vAlign w:val="bottom"/>
            <w:tcBorders>
              <w:bottom w:val="single" w:sz="8" w:color="auto"/>
            </w:tcBorders>
          </w:tcPr>
          <w:p>
            <w:pPr>
              <w:ind w:left="260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0"/>
                <w:szCs w:val="20"/>
                <w:color w:val="auto"/>
              </w:rPr>
            </w:pPr>
          </w:p>
        </w:tc>
        <w:tc>
          <w:tcPr>
            <w:tcW w:w="2000" w:type="dxa"/>
            <w:vAlign w:val="bottom"/>
            <w:tcBorders>
              <w:bottom w:val="single" w:sz="8" w:color="auto"/>
            </w:tcBorders>
          </w:tcPr>
          <w:p>
            <w:pPr>
              <w:ind w:left="820"/>
              <w:spacing w:after="0"/>
              <w:rPr>
                <w:sz w:val="20"/>
                <w:szCs w:val="20"/>
                <w:color w:val="auto"/>
              </w:rPr>
            </w:pPr>
            <w:r>
              <w:rPr>
                <w:rFonts w:ascii="Arial" w:cs="Arial" w:eastAsia="Arial" w:hAnsi="Arial"/>
                <w:sz w:val="18"/>
                <w:szCs w:val="18"/>
                <w:b w:val="1"/>
                <w:bCs w:val="1"/>
                <w:color w:val="auto"/>
              </w:rPr>
              <w:t>Date</w:t>
            </w:r>
          </w:p>
        </w:tc>
      </w:tr>
      <w:tr>
        <w:trPr>
          <w:trHeight w:val="479"/>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Stephen A. Vintz</w:t>
            </w:r>
          </w:p>
        </w:tc>
        <w:tc>
          <w:tcPr>
            <w:tcW w:w="12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Co-Chief Executive Officer and Director</w:t>
            </w:r>
          </w:p>
        </w:tc>
        <w:tc>
          <w:tcPr>
            <w:tcW w:w="2000" w:type="dxa"/>
            <w:vAlign w:val="bottom"/>
          </w:tcPr>
          <w:p>
            <w:pPr>
              <w:ind w:left="20"/>
              <w:spacing w:after="0"/>
              <w:rPr>
                <w:sz w:val="20"/>
                <w:szCs w:val="20"/>
                <w:color w:val="auto"/>
              </w:rPr>
            </w:pPr>
            <w:r>
              <w:rPr>
                <w:rFonts w:ascii="Arial" w:cs="Arial" w:eastAsia="Arial" w:hAnsi="Arial"/>
                <w:sz w:val="18"/>
                <w:szCs w:val="18"/>
                <w:color w:val="auto"/>
              </w:rPr>
              <w:t>February 27, 2026</w:t>
            </w:r>
          </w:p>
        </w:tc>
      </w:tr>
      <w:tr>
        <w:trPr>
          <w:trHeight w:val="232"/>
        </w:trPr>
        <w:tc>
          <w:tcPr>
            <w:tcW w:w="3400" w:type="dxa"/>
            <w:vAlign w:val="bottom"/>
          </w:tcPr>
          <w:p>
            <w:pPr>
              <w:ind w:left="20"/>
              <w:spacing w:after="0"/>
              <w:rPr>
                <w:sz w:val="20"/>
                <w:szCs w:val="20"/>
                <w:color w:val="auto"/>
              </w:rPr>
            </w:pPr>
            <w:r>
              <w:rPr>
                <w:rFonts w:ascii="Arial" w:cs="Arial" w:eastAsia="Arial" w:hAnsi="Arial"/>
                <w:sz w:val="18"/>
                <w:szCs w:val="18"/>
                <w:color w:val="auto"/>
              </w:rPr>
              <w:t>Stephen A. Vintz</w:t>
            </w:r>
          </w:p>
        </w:tc>
        <w:tc>
          <w:tcPr>
            <w:tcW w:w="120" w:type="dxa"/>
            <w:vAlign w:val="bottom"/>
          </w:tcPr>
          <w:p>
            <w:pPr>
              <w:spacing w:after="0"/>
              <w:rPr>
                <w:sz w:val="20"/>
                <w:szCs w:val="20"/>
                <w:color w:val="auto"/>
              </w:rPr>
            </w:pPr>
          </w:p>
        </w:tc>
        <w:tc>
          <w:tcPr>
            <w:tcW w:w="5680" w:type="dxa"/>
            <w:vAlign w:val="bottom"/>
            <w:gridSpan w:val="2"/>
          </w:tcPr>
          <w:p>
            <w:pPr>
              <w:spacing w:after="0"/>
              <w:rPr>
                <w:sz w:val="20"/>
                <w:szCs w:val="20"/>
                <w:color w:val="auto"/>
              </w:rPr>
            </w:pPr>
            <w:r>
              <w:rPr>
                <w:rFonts w:ascii="Arial" w:cs="Arial" w:eastAsia="Arial" w:hAnsi="Arial"/>
                <w:sz w:val="18"/>
                <w:szCs w:val="18"/>
                <w:i w:val="1"/>
                <w:iCs w:val="1"/>
                <w:color w:val="auto"/>
              </w:rPr>
              <w:t>(Principal Executive Officer)</w:t>
            </w:r>
          </w:p>
        </w:tc>
        <w:tc>
          <w:tcPr>
            <w:tcW w:w="2000" w:type="dxa"/>
            <w:vAlign w:val="bottom"/>
          </w:tcPr>
          <w:p>
            <w:pPr>
              <w:spacing w:after="0"/>
              <w:rPr>
                <w:sz w:val="20"/>
                <w:szCs w:val="20"/>
                <w:color w:val="auto"/>
              </w:rPr>
            </w:pPr>
          </w:p>
        </w:tc>
      </w:tr>
      <w:tr>
        <w:trPr>
          <w:trHeight w:val="315"/>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C. Thurmond</w:t>
            </w:r>
          </w:p>
        </w:tc>
        <w:tc>
          <w:tcPr>
            <w:tcW w:w="12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Co-Chief Executive Officer and Director</w:t>
            </w:r>
          </w:p>
        </w:tc>
        <w:tc>
          <w:tcPr>
            <w:tcW w:w="2000" w:type="dxa"/>
            <w:vAlign w:val="bottom"/>
          </w:tcPr>
          <w:p>
            <w:pPr>
              <w:ind w:left="20"/>
              <w:spacing w:after="0"/>
              <w:rPr>
                <w:sz w:val="20"/>
                <w:szCs w:val="20"/>
                <w:color w:val="auto"/>
              </w:rPr>
            </w:pPr>
            <w:r>
              <w:rPr>
                <w:rFonts w:ascii="Arial" w:cs="Arial" w:eastAsia="Arial" w:hAnsi="Arial"/>
                <w:sz w:val="18"/>
                <w:szCs w:val="18"/>
                <w:color w:val="auto"/>
              </w:rPr>
              <w:t>February 27, 2026</w:t>
            </w:r>
          </w:p>
        </w:tc>
      </w:tr>
      <w:tr>
        <w:trPr>
          <w:trHeight w:val="232"/>
        </w:trPr>
        <w:tc>
          <w:tcPr>
            <w:tcW w:w="3400" w:type="dxa"/>
            <w:vAlign w:val="bottom"/>
          </w:tcPr>
          <w:p>
            <w:pPr>
              <w:ind w:left="20"/>
              <w:spacing w:after="0"/>
              <w:rPr>
                <w:sz w:val="20"/>
                <w:szCs w:val="20"/>
                <w:color w:val="auto"/>
              </w:rPr>
            </w:pPr>
            <w:r>
              <w:rPr>
                <w:rFonts w:ascii="Arial" w:cs="Arial" w:eastAsia="Arial" w:hAnsi="Arial"/>
                <w:sz w:val="18"/>
                <w:szCs w:val="18"/>
                <w:color w:val="auto"/>
              </w:rPr>
              <w:t>Mark C. Thurmond</w:t>
            </w:r>
          </w:p>
        </w:tc>
        <w:tc>
          <w:tcPr>
            <w:tcW w:w="1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315"/>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Matthew Brown</w:t>
            </w:r>
          </w:p>
        </w:tc>
        <w:tc>
          <w:tcPr>
            <w:tcW w:w="12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2000" w:type="dxa"/>
            <w:vAlign w:val="bottom"/>
          </w:tcPr>
          <w:p>
            <w:pPr>
              <w:ind w:left="20"/>
              <w:spacing w:after="0"/>
              <w:rPr>
                <w:sz w:val="20"/>
                <w:szCs w:val="20"/>
                <w:color w:val="auto"/>
              </w:rPr>
            </w:pPr>
            <w:r>
              <w:rPr>
                <w:rFonts w:ascii="Arial" w:cs="Arial" w:eastAsia="Arial" w:hAnsi="Arial"/>
                <w:sz w:val="18"/>
                <w:szCs w:val="18"/>
                <w:color w:val="auto"/>
              </w:rPr>
              <w:t>February 27, 2026</w:t>
            </w:r>
          </w:p>
        </w:tc>
      </w:tr>
      <w:tr>
        <w:trPr>
          <w:trHeight w:val="232"/>
        </w:trPr>
        <w:tc>
          <w:tcPr>
            <w:tcW w:w="3400" w:type="dxa"/>
            <w:vAlign w:val="bottom"/>
          </w:tcPr>
          <w:p>
            <w:pPr>
              <w:ind w:left="20"/>
              <w:spacing w:after="0"/>
              <w:rPr>
                <w:sz w:val="20"/>
                <w:szCs w:val="20"/>
                <w:color w:val="auto"/>
              </w:rPr>
            </w:pPr>
            <w:r>
              <w:rPr>
                <w:rFonts w:ascii="Arial" w:cs="Arial" w:eastAsia="Arial" w:hAnsi="Arial"/>
                <w:sz w:val="18"/>
                <w:szCs w:val="18"/>
                <w:color w:val="auto"/>
              </w:rPr>
              <w:t>Matthew Brown</w:t>
            </w:r>
          </w:p>
        </w:tc>
        <w:tc>
          <w:tcPr>
            <w:tcW w:w="120" w:type="dxa"/>
            <w:vAlign w:val="bottom"/>
          </w:tcPr>
          <w:p>
            <w:pPr>
              <w:spacing w:after="0"/>
              <w:rPr>
                <w:sz w:val="20"/>
                <w:szCs w:val="20"/>
                <w:color w:val="auto"/>
              </w:rPr>
            </w:pPr>
          </w:p>
        </w:tc>
        <w:tc>
          <w:tcPr>
            <w:tcW w:w="5680" w:type="dxa"/>
            <w:vAlign w:val="bottom"/>
            <w:gridSpan w:val="2"/>
          </w:tcPr>
          <w:p>
            <w:pPr>
              <w:spacing w:after="0"/>
              <w:rPr>
                <w:sz w:val="20"/>
                <w:szCs w:val="20"/>
                <w:color w:val="auto"/>
              </w:rPr>
            </w:pPr>
            <w:r>
              <w:rPr>
                <w:rFonts w:ascii="Arial" w:cs="Arial" w:eastAsia="Arial" w:hAnsi="Arial"/>
                <w:sz w:val="18"/>
                <w:szCs w:val="18"/>
                <w:i w:val="1"/>
                <w:iCs w:val="1"/>
                <w:color w:val="auto"/>
              </w:rPr>
              <w:t>(Principal Financial Officer)</w:t>
            </w:r>
          </w:p>
        </w:tc>
        <w:tc>
          <w:tcPr>
            <w:tcW w:w="2000" w:type="dxa"/>
            <w:vAlign w:val="bottom"/>
          </w:tcPr>
          <w:p>
            <w:pPr>
              <w:spacing w:after="0"/>
              <w:rPr>
                <w:sz w:val="20"/>
                <w:szCs w:val="20"/>
                <w:color w:val="auto"/>
              </w:rPr>
            </w:pPr>
          </w:p>
        </w:tc>
      </w:tr>
      <w:tr>
        <w:trPr>
          <w:trHeight w:val="315"/>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 Barron Anschutz</w:t>
            </w:r>
          </w:p>
        </w:tc>
        <w:tc>
          <w:tcPr>
            <w:tcW w:w="12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Chief Accounting Officer</w:t>
            </w:r>
          </w:p>
        </w:tc>
        <w:tc>
          <w:tcPr>
            <w:tcW w:w="2000" w:type="dxa"/>
            <w:vAlign w:val="bottom"/>
          </w:tcPr>
          <w:p>
            <w:pPr>
              <w:ind w:left="20"/>
              <w:spacing w:after="0"/>
              <w:rPr>
                <w:sz w:val="20"/>
                <w:szCs w:val="20"/>
                <w:color w:val="auto"/>
              </w:rPr>
            </w:pPr>
            <w:r>
              <w:rPr>
                <w:rFonts w:ascii="Arial" w:cs="Arial" w:eastAsia="Arial" w:hAnsi="Arial"/>
                <w:sz w:val="18"/>
                <w:szCs w:val="18"/>
                <w:color w:val="auto"/>
              </w:rPr>
              <w:t>February 27, 2026</w:t>
            </w:r>
          </w:p>
        </w:tc>
      </w:tr>
      <w:tr>
        <w:trPr>
          <w:trHeight w:val="232"/>
        </w:trPr>
        <w:tc>
          <w:tcPr>
            <w:tcW w:w="3400" w:type="dxa"/>
            <w:vAlign w:val="bottom"/>
          </w:tcPr>
          <w:p>
            <w:pPr>
              <w:ind w:left="20"/>
              <w:spacing w:after="0"/>
              <w:rPr>
                <w:sz w:val="20"/>
                <w:szCs w:val="20"/>
                <w:color w:val="auto"/>
              </w:rPr>
            </w:pPr>
            <w:r>
              <w:rPr>
                <w:rFonts w:ascii="Arial" w:cs="Arial" w:eastAsia="Arial" w:hAnsi="Arial"/>
                <w:sz w:val="18"/>
                <w:szCs w:val="18"/>
                <w:color w:val="auto"/>
              </w:rPr>
              <w:t>J. Barron Anschutz</w:t>
            </w:r>
          </w:p>
        </w:tc>
        <w:tc>
          <w:tcPr>
            <w:tcW w:w="120" w:type="dxa"/>
            <w:vAlign w:val="bottom"/>
          </w:tcPr>
          <w:p>
            <w:pPr>
              <w:spacing w:after="0"/>
              <w:rPr>
                <w:sz w:val="20"/>
                <w:szCs w:val="20"/>
                <w:color w:val="auto"/>
              </w:rPr>
            </w:pPr>
          </w:p>
        </w:tc>
        <w:tc>
          <w:tcPr>
            <w:tcW w:w="5680" w:type="dxa"/>
            <w:vAlign w:val="bottom"/>
            <w:gridSpan w:val="2"/>
          </w:tcPr>
          <w:p>
            <w:pPr>
              <w:spacing w:after="0"/>
              <w:rPr>
                <w:sz w:val="20"/>
                <w:szCs w:val="20"/>
                <w:color w:val="auto"/>
              </w:rPr>
            </w:pPr>
            <w:r>
              <w:rPr>
                <w:rFonts w:ascii="Arial" w:cs="Arial" w:eastAsia="Arial" w:hAnsi="Arial"/>
                <w:sz w:val="18"/>
                <w:szCs w:val="18"/>
                <w:i w:val="1"/>
                <w:iCs w:val="1"/>
                <w:color w:val="auto"/>
              </w:rPr>
              <w:t>(Principal Accounting Officer)</w:t>
            </w:r>
          </w:p>
        </w:tc>
        <w:tc>
          <w:tcPr>
            <w:tcW w:w="2000" w:type="dxa"/>
            <w:vAlign w:val="bottom"/>
          </w:tcPr>
          <w:p>
            <w:pPr>
              <w:spacing w:after="0"/>
              <w:rPr>
                <w:sz w:val="20"/>
                <w:szCs w:val="20"/>
                <w:color w:val="auto"/>
              </w:rPr>
            </w:pPr>
          </w:p>
        </w:tc>
      </w:tr>
      <w:tr>
        <w:trPr>
          <w:trHeight w:val="315"/>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Arthur W. Coviello, Jr.</w:t>
            </w:r>
          </w:p>
        </w:tc>
        <w:tc>
          <w:tcPr>
            <w:tcW w:w="12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Chairman of the Board</w:t>
            </w:r>
          </w:p>
        </w:tc>
        <w:tc>
          <w:tcPr>
            <w:tcW w:w="2000" w:type="dxa"/>
            <w:vAlign w:val="bottom"/>
          </w:tcPr>
          <w:p>
            <w:pPr>
              <w:ind w:left="20"/>
              <w:spacing w:after="0"/>
              <w:rPr>
                <w:sz w:val="20"/>
                <w:szCs w:val="20"/>
                <w:color w:val="auto"/>
              </w:rPr>
            </w:pPr>
            <w:r>
              <w:rPr>
                <w:rFonts w:ascii="Arial" w:cs="Arial" w:eastAsia="Arial" w:hAnsi="Arial"/>
                <w:sz w:val="18"/>
                <w:szCs w:val="18"/>
                <w:color w:val="auto"/>
              </w:rPr>
              <w:t>February 27, 2026</w:t>
            </w:r>
          </w:p>
        </w:tc>
      </w:tr>
      <w:tr>
        <w:trPr>
          <w:trHeight w:val="232"/>
        </w:trPr>
        <w:tc>
          <w:tcPr>
            <w:tcW w:w="3400" w:type="dxa"/>
            <w:vAlign w:val="bottom"/>
          </w:tcPr>
          <w:p>
            <w:pPr>
              <w:ind w:left="20"/>
              <w:spacing w:after="0"/>
              <w:rPr>
                <w:sz w:val="20"/>
                <w:szCs w:val="20"/>
                <w:color w:val="auto"/>
              </w:rPr>
            </w:pPr>
            <w:r>
              <w:rPr>
                <w:rFonts w:ascii="Arial" w:cs="Arial" w:eastAsia="Arial" w:hAnsi="Arial"/>
                <w:sz w:val="18"/>
                <w:szCs w:val="18"/>
                <w:color w:val="auto"/>
              </w:rPr>
              <w:t>Arthur W. Coviello, Jr.</w:t>
            </w:r>
          </w:p>
        </w:tc>
        <w:tc>
          <w:tcPr>
            <w:tcW w:w="1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315"/>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Linda Zecher Higgins</w:t>
            </w:r>
          </w:p>
        </w:tc>
        <w:tc>
          <w:tcPr>
            <w:tcW w:w="12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00" w:type="dxa"/>
            <w:vAlign w:val="bottom"/>
          </w:tcPr>
          <w:p>
            <w:pPr>
              <w:ind w:left="20"/>
              <w:spacing w:after="0"/>
              <w:rPr>
                <w:sz w:val="20"/>
                <w:szCs w:val="20"/>
                <w:color w:val="auto"/>
              </w:rPr>
            </w:pPr>
            <w:r>
              <w:rPr>
                <w:rFonts w:ascii="Arial" w:cs="Arial" w:eastAsia="Arial" w:hAnsi="Arial"/>
                <w:sz w:val="18"/>
                <w:szCs w:val="18"/>
                <w:color w:val="auto"/>
              </w:rPr>
              <w:t>February 27, 2026</w:t>
            </w:r>
          </w:p>
        </w:tc>
      </w:tr>
      <w:tr>
        <w:trPr>
          <w:trHeight w:val="232"/>
        </w:trPr>
        <w:tc>
          <w:tcPr>
            <w:tcW w:w="3400" w:type="dxa"/>
            <w:vAlign w:val="bottom"/>
          </w:tcPr>
          <w:p>
            <w:pPr>
              <w:ind w:left="20"/>
              <w:spacing w:after="0"/>
              <w:rPr>
                <w:sz w:val="20"/>
                <w:szCs w:val="20"/>
                <w:color w:val="auto"/>
              </w:rPr>
            </w:pPr>
            <w:r>
              <w:rPr>
                <w:rFonts w:ascii="Arial" w:cs="Arial" w:eastAsia="Arial" w:hAnsi="Arial"/>
                <w:sz w:val="18"/>
                <w:szCs w:val="18"/>
                <w:color w:val="auto"/>
              </w:rPr>
              <w:t>Linda Zecher Higgins</w:t>
            </w:r>
          </w:p>
        </w:tc>
        <w:tc>
          <w:tcPr>
            <w:tcW w:w="1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315"/>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Niloofar Razi Howe</w:t>
            </w:r>
          </w:p>
        </w:tc>
        <w:tc>
          <w:tcPr>
            <w:tcW w:w="12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00" w:type="dxa"/>
            <w:vAlign w:val="bottom"/>
          </w:tcPr>
          <w:p>
            <w:pPr>
              <w:ind w:left="20"/>
              <w:spacing w:after="0"/>
              <w:rPr>
                <w:sz w:val="20"/>
                <w:szCs w:val="20"/>
                <w:color w:val="auto"/>
              </w:rPr>
            </w:pPr>
            <w:r>
              <w:rPr>
                <w:rFonts w:ascii="Arial" w:cs="Arial" w:eastAsia="Arial" w:hAnsi="Arial"/>
                <w:sz w:val="18"/>
                <w:szCs w:val="18"/>
                <w:color w:val="auto"/>
              </w:rPr>
              <w:t>February 27, 2026</w:t>
            </w:r>
          </w:p>
        </w:tc>
      </w:tr>
      <w:tr>
        <w:trPr>
          <w:trHeight w:val="232"/>
        </w:trPr>
        <w:tc>
          <w:tcPr>
            <w:tcW w:w="3400" w:type="dxa"/>
            <w:vAlign w:val="bottom"/>
          </w:tcPr>
          <w:p>
            <w:pPr>
              <w:ind w:left="20"/>
              <w:spacing w:after="0"/>
              <w:rPr>
                <w:sz w:val="20"/>
                <w:szCs w:val="20"/>
                <w:color w:val="auto"/>
              </w:rPr>
            </w:pPr>
            <w:r>
              <w:rPr>
                <w:rFonts w:ascii="Arial" w:cs="Arial" w:eastAsia="Arial" w:hAnsi="Arial"/>
                <w:sz w:val="18"/>
                <w:szCs w:val="18"/>
                <w:color w:val="auto"/>
              </w:rPr>
              <w:t>Niloofar Razi Howe</w:t>
            </w:r>
          </w:p>
        </w:tc>
        <w:tc>
          <w:tcPr>
            <w:tcW w:w="1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315"/>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C. Huffard, Jr.</w:t>
            </w:r>
          </w:p>
        </w:tc>
        <w:tc>
          <w:tcPr>
            <w:tcW w:w="12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00" w:type="dxa"/>
            <w:vAlign w:val="bottom"/>
          </w:tcPr>
          <w:p>
            <w:pPr>
              <w:ind w:left="20"/>
              <w:spacing w:after="0"/>
              <w:rPr>
                <w:sz w:val="20"/>
                <w:szCs w:val="20"/>
                <w:color w:val="auto"/>
              </w:rPr>
            </w:pPr>
            <w:r>
              <w:rPr>
                <w:rFonts w:ascii="Arial" w:cs="Arial" w:eastAsia="Arial" w:hAnsi="Arial"/>
                <w:sz w:val="18"/>
                <w:szCs w:val="18"/>
                <w:color w:val="auto"/>
              </w:rPr>
              <w:t>February 27, 2026</w:t>
            </w:r>
          </w:p>
        </w:tc>
      </w:tr>
      <w:tr>
        <w:trPr>
          <w:trHeight w:val="232"/>
        </w:trPr>
        <w:tc>
          <w:tcPr>
            <w:tcW w:w="3400" w:type="dxa"/>
            <w:vAlign w:val="bottom"/>
          </w:tcPr>
          <w:p>
            <w:pPr>
              <w:ind w:left="20"/>
              <w:spacing w:after="0"/>
              <w:rPr>
                <w:sz w:val="20"/>
                <w:szCs w:val="20"/>
                <w:color w:val="auto"/>
              </w:rPr>
            </w:pPr>
            <w:r>
              <w:rPr>
                <w:rFonts w:ascii="Arial" w:cs="Arial" w:eastAsia="Arial" w:hAnsi="Arial"/>
                <w:sz w:val="18"/>
                <w:szCs w:val="18"/>
                <w:color w:val="auto"/>
              </w:rPr>
              <w:t>John C. Huffard, Jr.</w:t>
            </w:r>
          </w:p>
        </w:tc>
        <w:tc>
          <w:tcPr>
            <w:tcW w:w="1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315"/>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Margaret Keane</w:t>
            </w:r>
          </w:p>
        </w:tc>
        <w:tc>
          <w:tcPr>
            <w:tcW w:w="12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00" w:type="dxa"/>
            <w:vAlign w:val="bottom"/>
          </w:tcPr>
          <w:p>
            <w:pPr>
              <w:ind w:left="20"/>
              <w:spacing w:after="0"/>
              <w:rPr>
                <w:sz w:val="20"/>
                <w:szCs w:val="20"/>
                <w:color w:val="auto"/>
              </w:rPr>
            </w:pPr>
            <w:r>
              <w:rPr>
                <w:rFonts w:ascii="Arial" w:cs="Arial" w:eastAsia="Arial" w:hAnsi="Arial"/>
                <w:sz w:val="18"/>
                <w:szCs w:val="18"/>
                <w:color w:val="auto"/>
              </w:rPr>
              <w:t>February 27, 2026</w:t>
            </w:r>
          </w:p>
        </w:tc>
      </w:tr>
      <w:tr>
        <w:trPr>
          <w:trHeight w:val="232"/>
        </w:trPr>
        <w:tc>
          <w:tcPr>
            <w:tcW w:w="3400" w:type="dxa"/>
            <w:vAlign w:val="bottom"/>
          </w:tcPr>
          <w:p>
            <w:pPr>
              <w:ind w:left="20"/>
              <w:spacing w:after="0"/>
              <w:rPr>
                <w:sz w:val="20"/>
                <w:szCs w:val="20"/>
                <w:color w:val="auto"/>
              </w:rPr>
            </w:pPr>
            <w:r>
              <w:rPr>
                <w:rFonts w:ascii="Arial" w:cs="Arial" w:eastAsia="Arial" w:hAnsi="Arial"/>
                <w:sz w:val="18"/>
                <w:szCs w:val="18"/>
                <w:color w:val="auto"/>
              </w:rPr>
              <w:t>Margaret Keane</w:t>
            </w:r>
          </w:p>
        </w:tc>
        <w:tc>
          <w:tcPr>
            <w:tcW w:w="1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315"/>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 Brooke Seawell</w:t>
            </w:r>
          </w:p>
        </w:tc>
        <w:tc>
          <w:tcPr>
            <w:tcW w:w="12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00" w:type="dxa"/>
            <w:vAlign w:val="bottom"/>
          </w:tcPr>
          <w:p>
            <w:pPr>
              <w:ind w:left="20"/>
              <w:spacing w:after="0"/>
              <w:rPr>
                <w:sz w:val="20"/>
                <w:szCs w:val="20"/>
                <w:color w:val="auto"/>
              </w:rPr>
            </w:pPr>
            <w:r>
              <w:rPr>
                <w:rFonts w:ascii="Arial" w:cs="Arial" w:eastAsia="Arial" w:hAnsi="Arial"/>
                <w:sz w:val="18"/>
                <w:szCs w:val="18"/>
                <w:color w:val="auto"/>
              </w:rPr>
              <w:t>February 27, 2026</w:t>
            </w:r>
          </w:p>
        </w:tc>
      </w:tr>
      <w:tr>
        <w:trPr>
          <w:trHeight w:val="232"/>
        </w:trPr>
        <w:tc>
          <w:tcPr>
            <w:tcW w:w="3400" w:type="dxa"/>
            <w:vAlign w:val="bottom"/>
          </w:tcPr>
          <w:p>
            <w:pPr>
              <w:ind w:left="20"/>
              <w:spacing w:after="0"/>
              <w:rPr>
                <w:sz w:val="20"/>
                <w:szCs w:val="20"/>
                <w:color w:val="auto"/>
              </w:rPr>
            </w:pPr>
            <w:r>
              <w:rPr>
                <w:rFonts w:ascii="Arial" w:cs="Arial" w:eastAsia="Arial" w:hAnsi="Arial"/>
                <w:sz w:val="18"/>
                <w:szCs w:val="18"/>
                <w:color w:val="auto"/>
              </w:rPr>
              <w:t>A. Brooke Seawell</w:t>
            </w:r>
          </w:p>
        </w:tc>
        <w:tc>
          <w:tcPr>
            <w:tcW w:w="1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315"/>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George Alexander Tosheff</w:t>
            </w:r>
          </w:p>
        </w:tc>
        <w:tc>
          <w:tcPr>
            <w:tcW w:w="12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00" w:type="dxa"/>
            <w:vAlign w:val="bottom"/>
          </w:tcPr>
          <w:p>
            <w:pPr>
              <w:ind w:left="20"/>
              <w:spacing w:after="0"/>
              <w:rPr>
                <w:sz w:val="20"/>
                <w:szCs w:val="20"/>
                <w:color w:val="auto"/>
              </w:rPr>
            </w:pPr>
            <w:r>
              <w:rPr>
                <w:rFonts w:ascii="Arial" w:cs="Arial" w:eastAsia="Arial" w:hAnsi="Arial"/>
                <w:sz w:val="18"/>
                <w:szCs w:val="18"/>
                <w:color w:val="auto"/>
              </w:rPr>
              <w:t>February 27, 2026</w:t>
            </w:r>
          </w:p>
        </w:tc>
      </w:tr>
      <w:tr>
        <w:trPr>
          <w:trHeight w:val="232"/>
        </w:trPr>
        <w:tc>
          <w:tcPr>
            <w:tcW w:w="3400" w:type="dxa"/>
            <w:vAlign w:val="bottom"/>
          </w:tcPr>
          <w:p>
            <w:pPr>
              <w:ind w:left="20"/>
              <w:spacing w:after="0"/>
              <w:rPr>
                <w:sz w:val="20"/>
                <w:szCs w:val="20"/>
                <w:color w:val="auto"/>
              </w:rPr>
            </w:pPr>
            <w:r>
              <w:rPr>
                <w:rFonts w:ascii="Arial" w:cs="Arial" w:eastAsia="Arial" w:hAnsi="Arial"/>
                <w:sz w:val="18"/>
                <w:szCs w:val="18"/>
                <w:color w:val="auto"/>
              </w:rPr>
              <w:t>George Alexander Tosheff</w:t>
            </w:r>
          </w:p>
        </w:tc>
        <w:tc>
          <w:tcPr>
            <w:tcW w:w="1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315"/>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Raymond Vicks, Jr.</w:t>
            </w:r>
          </w:p>
        </w:tc>
        <w:tc>
          <w:tcPr>
            <w:tcW w:w="12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00" w:type="dxa"/>
            <w:vAlign w:val="bottom"/>
          </w:tcPr>
          <w:p>
            <w:pPr>
              <w:ind w:left="20"/>
              <w:spacing w:after="0"/>
              <w:rPr>
                <w:sz w:val="20"/>
                <w:szCs w:val="20"/>
                <w:color w:val="auto"/>
              </w:rPr>
            </w:pPr>
            <w:r>
              <w:rPr>
                <w:rFonts w:ascii="Arial" w:cs="Arial" w:eastAsia="Arial" w:hAnsi="Arial"/>
                <w:sz w:val="18"/>
                <w:szCs w:val="18"/>
                <w:color w:val="auto"/>
              </w:rPr>
              <w:t>February 27, 2026</w:t>
            </w:r>
          </w:p>
        </w:tc>
      </w:tr>
      <w:tr>
        <w:trPr>
          <w:trHeight w:val="232"/>
        </w:trPr>
        <w:tc>
          <w:tcPr>
            <w:tcW w:w="3400" w:type="dxa"/>
            <w:vAlign w:val="bottom"/>
          </w:tcPr>
          <w:p>
            <w:pPr>
              <w:ind w:left="20"/>
              <w:spacing w:after="0"/>
              <w:rPr>
                <w:sz w:val="20"/>
                <w:szCs w:val="20"/>
                <w:color w:val="auto"/>
              </w:rPr>
            </w:pPr>
            <w:r>
              <w:rPr>
                <w:rFonts w:ascii="Arial" w:cs="Arial" w:eastAsia="Arial" w:hAnsi="Arial"/>
                <w:sz w:val="18"/>
                <w:szCs w:val="18"/>
                <w:color w:val="auto"/>
              </w:rPr>
              <w:t>Raymond Vicks, Jr.</w:t>
            </w:r>
          </w:p>
        </w:tc>
        <w:tc>
          <w:tcPr>
            <w:tcW w:w="1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1390" w:right="35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FILING FEE TABLE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S-8</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Type)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TENABLE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43" w:lineRule="exact"/>
        <w:rPr>
          <w:sz w:val="20"/>
          <w:szCs w:val="20"/>
          <w:color w:val="auto"/>
        </w:rPr>
      </w:pPr>
    </w:p>
    <w:tbl>
      <w:tblPr>
        <w:tblLayout w:type="fixed"/>
        <w:tblInd w:w="110" w:type="dxa"/>
        <w:tblCellMar>
          <w:top w:w="0" w:type="dxa"/>
          <w:left w:w="0" w:type="dxa"/>
          <w:bottom w:w="0" w:type="dxa"/>
          <w:right w:w="0" w:type="dxa"/>
        </w:tblCellMar>
      </w:tblPr>
      <w:tr>
        <w:trPr>
          <w:trHeight w:val="176"/>
        </w:trPr>
        <w:tc>
          <w:tcPr>
            <w:tcW w:w="8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Security</w:t>
            </w:r>
          </w:p>
        </w:tc>
        <w:tc>
          <w:tcPr>
            <w:tcW w:w="2240" w:type="dxa"/>
            <w:vAlign w:val="bottom"/>
            <w:tcBorders>
              <w:top w:val="single" w:sz="8" w:color="auto"/>
              <w:right w:val="single" w:sz="8" w:color="auto"/>
            </w:tcBorders>
          </w:tcPr>
          <w:p>
            <w:pPr>
              <w:spacing w:after="0"/>
              <w:rPr>
                <w:sz w:val="15"/>
                <w:szCs w:val="15"/>
                <w:color w:val="auto"/>
              </w:rPr>
            </w:pPr>
          </w:p>
        </w:tc>
        <w:tc>
          <w:tcPr>
            <w:tcW w:w="1160" w:type="dxa"/>
            <w:vAlign w:val="bottom"/>
            <w:tcBorders>
              <w:top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Fee</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Amount</w:t>
            </w:r>
          </w:p>
        </w:tc>
        <w:tc>
          <w:tcPr>
            <w:tcW w:w="400" w:type="dxa"/>
            <w:vAlign w:val="bottom"/>
            <w:tcBorders>
              <w:top w:val="single" w:sz="8" w:color="auto"/>
              <w:right w:val="single" w:sz="8" w:color="auto"/>
            </w:tcBorders>
          </w:tcPr>
          <w:p>
            <w:pPr>
              <w:spacing w:after="0"/>
              <w:rPr>
                <w:sz w:val="15"/>
                <w:szCs w:val="15"/>
                <w:color w:val="auto"/>
              </w:rPr>
            </w:pPr>
          </w:p>
        </w:tc>
        <w:tc>
          <w:tcPr>
            <w:tcW w:w="1180" w:type="dxa"/>
            <w:vAlign w:val="bottom"/>
            <w:tcBorders>
              <w:top w:val="single" w:sz="8" w:color="auto"/>
            </w:tcBorders>
          </w:tcPr>
          <w:p>
            <w:pPr>
              <w:ind w:left="380"/>
              <w:spacing w:after="0" w:line="175" w:lineRule="exact"/>
              <w:rPr>
                <w:sz w:val="20"/>
                <w:szCs w:val="20"/>
                <w:color w:val="auto"/>
              </w:rPr>
            </w:pPr>
            <w:r>
              <w:rPr>
                <w:rFonts w:ascii="Arial" w:cs="Arial" w:eastAsia="Arial" w:hAnsi="Arial"/>
                <w:sz w:val="16"/>
                <w:szCs w:val="16"/>
                <w:b w:val="1"/>
                <w:bCs w:val="1"/>
                <w:color w:val="auto"/>
              </w:rPr>
              <w:t>Proposed</w:t>
            </w:r>
          </w:p>
        </w:tc>
        <w:tc>
          <w:tcPr>
            <w:tcW w:w="380" w:type="dxa"/>
            <w:vAlign w:val="bottom"/>
            <w:tcBorders>
              <w:top w:val="single" w:sz="8" w:color="auto"/>
              <w:right w:val="single" w:sz="8" w:color="auto"/>
            </w:tcBorders>
          </w:tcPr>
          <w:p>
            <w:pPr>
              <w:spacing w:after="0"/>
              <w:rPr>
                <w:sz w:val="15"/>
                <w:szCs w:val="15"/>
                <w:color w:val="auto"/>
              </w:rPr>
            </w:pPr>
          </w:p>
        </w:tc>
        <w:tc>
          <w:tcPr>
            <w:tcW w:w="1420" w:type="dxa"/>
            <w:vAlign w:val="bottom"/>
            <w:tcBorders>
              <w:top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Maximum</w:t>
            </w:r>
          </w:p>
        </w:tc>
        <w:tc>
          <w:tcPr>
            <w:tcW w:w="1140" w:type="dxa"/>
            <w:vAlign w:val="bottom"/>
            <w:tcBorders>
              <w:top w:val="single" w:sz="8" w:color="auto"/>
              <w:right w:val="single" w:sz="8" w:color="auto"/>
            </w:tcBorders>
          </w:tcPr>
          <w:p>
            <w:pPr>
              <w:spacing w:after="0"/>
              <w:rPr>
                <w:sz w:val="15"/>
                <w:szCs w:val="15"/>
                <w:color w:val="auto"/>
              </w:rPr>
            </w:pPr>
          </w:p>
        </w:tc>
        <w:tc>
          <w:tcPr>
            <w:tcW w:w="1260" w:type="dxa"/>
            <w:vAlign w:val="bottom"/>
            <w:tcBorders>
              <w:top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Amount of</w:t>
            </w:r>
          </w:p>
        </w:tc>
        <w:tc>
          <w:tcPr>
            <w:tcW w:w="0" w:type="dxa"/>
            <w:vAlign w:val="bottom"/>
          </w:tcPr>
          <w:p>
            <w:pPr>
              <w:spacing w:after="0"/>
              <w:rPr>
                <w:sz w:val="1"/>
                <w:szCs w:val="1"/>
                <w:color w:val="auto"/>
              </w:rPr>
            </w:pPr>
          </w:p>
        </w:tc>
      </w:tr>
      <w:tr>
        <w:trPr>
          <w:trHeight w:val="162"/>
        </w:trPr>
        <w:tc>
          <w:tcPr>
            <w:tcW w:w="880" w:type="dxa"/>
            <w:vAlign w:val="bottom"/>
            <w:tcBorders>
              <w:left w:val="single" w:sz="8" w:color="auto"/>
              <w:right w:val="single" w:sz="8" w:color="auto"/>
            </w:tcBorders>
            <w:vMerge w:val="continue"/>
          </w:tcPr>
          <w:p>
            <w:pPr>
              <w:spacing w:after="0"/>
              <w:rPr>
                <w:sz w:val="14"/>
                <w:szCs w:val="14"/>
                <w:color w:val="auto"/>
              </w:rPr>
            </w:pP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Security Class Title</w:t>
            </w:r>
          </w:p>
        </w:tc>
        <w:tc>
          <w:tcPr>
            <w:tcW w:w="11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9"/>
              </w:rPr>
              <w:t>Calculation</w:t>
            </w:r>
          </w:p>
        </w:tc>
        <w:tc>
          <w:tcPr>
            <w:tcW w:w="1020" w:type="dxa"/>
            <w:vAlign w:val="bottom"/>
            <w:vMerge w:val="continue"/>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1560" w:type="dxa"/>
            <w:vAlign w:val="bottom"/>
            <w:tcBorders>
              <w:right w:val="single" w:sz="8" w:color="auto"/>
            </w:tcBorders>
            <w:gridSpan w:val="2"/>
          </w:tcPr>
          <w:p>
            <w:pPr>
              <w:jc w:val="center"/>
              <w:spacing w:after="0" w:line="162" w:lineRule="exact"/>
              <w:rPr>
                <w:sz w:val="20"/>
                <w:szCs w:val="20"/>
                <w:color w:val="auto"/>
              </w:rPr>
            </w:pPr>
            <w:r>
              <w:rPr>
                <w:rFonts w:ascii="Arial" w:cs="Arial" w:eastAsia="Arial" w:hAnsi="Arial"/>
                <w:sz w:val="16"/>
                <w:szCs w:val="16"/>
                <w:b w:val="1"/>
                <w:bCs w:val="1"/>
                <w:color w:val="auto"/>
              </w:rPr>
              <w:t>Maximum Offering</w:t>
            </w:r>
          </w:p>
        </w:tc>
        <w:tc>
          <w:tcPr>
            <w:tcW w:w="142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rPr>
              <w:t>Aggregate</w:t>
            </w:r>
          </w:p>
        </w:tc>
        <w:tc>
          <w:tcPr>
            <w:tcW w:w="1140" w:type="dxa"/>
            <w:vAlign w:val="bottom"/>
            <w:tcBorders>
              <w:right w:val="single" w:sz="8" w:color="auto"/>
            </w:tcBorders>
            <w:vMerge w:val="restart"/>
          </w:tcPr>
          <w:p>
            <w:pPr>
              <w:ind w:left="220"/>
              <w:spacing w:after="0"/>
              <w:rPr>
                <w:sz w:val="20"/>
                <w:szCs w:val="20"/>
                <w:color w:val="auto"/>
              </w:rPr>
            </w:pPr>
            <w:r>
              <w:rPr>
                <w:rFonts w:ascii="Arial" w:cs="Arial" w:eastAsia="Arial" w:hAnsi="Arial"/>
                <w:sz w:val="16"/>
                <w:szCs w:val="16"/>
                <w:b w:val="1"/>
                <w:bCs w:val="1"/>
                <w:color w:val="auto"/>
              </w:rPr>
              <w:t>Fee Rate</w:t>
            </w:r>
          </w:p>
        </w:tc>
        <w:tc>
          <w:tcPr>
            <w:tcW w:w="12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rPr>
              <w:t>Registration</w:t>
            </w:r>
          </w:p>
        </w:tc>
        <w:tc>
          <w:tcPr>
            <w:tcW w:w="0" w:type="dxa"/>
            <w:vAlign w:val="bottom"/>
          </w:tcPr>
          <w:p>
            <w:pPr>
              <w:spacing w:after="0"/>
              <w:rPr>
                <w:sz w:val="1"/>
                <w:szCs w:val="1"/>
                <w:color w:val="auto"/>
              </w:rPr>
            </w:pPr>
          </w:p>
        </w:tc>
      </w:tr>
      <w:tr>
        <w:trPr>
          <w:trHeight w:val="216"/>
        </w:trPr>
        <w:tc>
          <w:tcPr>
            <w:tcW w:w="8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Type</w:t>
            </w:r>
          </w:p>
        </w:tc>
        <w:tc>
          <w:tcPr>
            <w:tcW w:w="2240" w:type="dxa"/>
            <w:vAlign w:val="bottom"/>
            <w:tcBorders>
              <w:bottom w:val="single" w:sz="8" w:color="auto"/>
              <w:right w:val="single" w:sz="8" w:color="auto"/>
            </w:tcBorders>
            <w:vMerge w:val="continue"/>
          </w:tcPr>
          <w:p>
            <w:pPr>
              <w:spacing w:after="0"/>
              <w:rPr>
                <w:sz w:val="18"/>
                <w:szCs w:val="18"/>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Rule</w:t>
            </w:r>
          </w:p>
        </w:tc>
        <w:tc>
          <w:tcPr>
            <w:tcW w:w="1420" w:type="dxa"/>
            <w:vAlign w:val="bottom"/>
            <w:tcBorders>
              <w:bottom w:val="single" w:sz="8" w:color="auto"/>
              <w:right w:val="single" w:sz="8" w:color="auto"/>
            </w:tcBorders>
            <w:gridSpan w:val="2"/>
          </w:tcPr>
          <w:p>
            <w:pPr>
              <w:jc w:val="right"/>
              <w:ind w:right="168"/>
              <w:spacing w:after="0" w:line="216" w:lineRule="exact"/>
              <w:rPr>
                <w:sz w:val="20"/>
                <w:szCs w:val="20"/>
                <w:color w:val="auto"/>
              </w:rPr>
            </w:pPr>
            <w:r>
              <w:rPr>
                <w:rFonts w:ascii="Arial" w:cs="Arial" w:eastAsia="Arial" w:hAnsi="Arial"/>
                <w:sz w:val="16"/>
                <w:szCs w:val="16"/>
                <w:b w:val="1"/>
                <w:bCs w:val="1"/>
                <w:color w:val="auto"/>
              </w:rPr>
              <w:t>Registered</w:t>
            </w:r>
            <w:r>
              <w:rPr>
                <w:rFonts w:ascii="Arial" w:cs="Arial" w:eastAsia="Arial" w:hAnsi="Arial"/>
                <w:sz w:val="21"/>
                <w:szCs w:val="21"/>
                <w:b w:val="1"/>
                <w:bCs w:val="1"/>
                <w:color w:val="auto"/>
                <w:vertAlign w:val="superscript"/>
              </w:rPr>
              <w:t>(1)</w:t>
            </w:r>
          </w:p>
        </w:tc>
        <w:tc>
          <w:tcPr>
            <w:tcW w:w="15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Price per Share</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Offering Price</w:t>
            </w:r>
          </w:p>
        </w:tc>
        <w:tc>
          <w:tcPr>
            <w:tcW w:w="1140" w:type="dxa"/>
            <w:vAlign w:val="bottom"/>
            <w:tcBorders>
              <w:bottom w:val="single" w:sz="8" w:color="auto"/>
              <w:right w:val="single" w:sz="8" w:color="auto"/>
            </w:tcBorders>
            <w:vMerge w:val="continue"/>
          </w:tcPr>
          <w:p>
            <w:pPr>
              <w:spacing w:after="0"/>
              <w:rPr>
                <w:sz w:val="18"/>
                <w:szCs w:val="18"/>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Fee</w:t>
            </w:r>
          </w:p>
        </w:tc>
        <w:tc>
          <w:tcPr>
            <w:tcW w:w="0" w:type="dxa"/>
            <w:vAlign w:val="bottom"/>
          </w:tcPr>
          <w:p>
            <w:pPr>
              <w:spacing w:after="0"/>
              <w:rPr>
                <w:sz w:val="1"/>
                <w:szCs w:val="1"/>
                <w:color w:val="auto"/>
              </w:rPr>
            </w:pPr>
          </w:p>
        </w:tc>
      </w:tr>
      <w:tr>
        <w:trPr>
          <w:trHeight w:val="146"/>
        </w:trPr>
        <w:tc>
          <w:tcPr>
            <w:tcW w:w="880" w:type="dxa"/>
            <w:vAlign w:val="bottom"/>
            <w:tcBorders>
              <w:left w:val="single" w:sz="8" w:color="auto"/>
              <w:right w:val="single" w:sz="8" w:color="auto"/>
            </w:tcBorders>
          </w:tcPr>
          <w:p>
            <w:pPr>
              <w:spacing w:after="0"/>
              <w:rPr>
                <w:sz w:val="12"/>
                <w:szCs w:val="12"/>
                <w:color w:val="auto"/>
              </w:rPr>
            </w:pPr>
          </w:p>
        </w:tc>
        <w:tc>
          <w:tcPr>
            <w:tcW w:w="224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color w:val="auto"/>
              </w:rPr>
              <w:t>Common Stock, par value $0.01</w:t>
            </w:r>
          </w:p>
        </w:tc>
        <w:tc>
          <w:tcPr>
            <w:tcW w:w="1160" w:type="dxa"/>
            <w:vAlign w:val="bottom"/>
            <w:tcBorders>
              <w:right w:val="single" w:sz="8" w:color="auto"/>
            </w:tcBorders>
          </w:tcPr>
          <w:p>
            <w:pPr>
              <w:spacing w:after="0"/>
              <w:rPr>
                <w:sz w:val="12"/>
                <w:szCs w:val="12"/>
                <w:color w:val="auto"/>
              </w:rPr>
            </w:pPr>
          </w:p>
        </w:tc>
        <w:tc>
          <w:tcPr>
            <w:tcW w:w="102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18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rPr>
              <w:t>Equity</w:t>
            </w:r>
          </w:p>
        </w:tc>
        <w:tc>
          <w:tcPr>
            <w:tcW w:w="224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rPr>
              <w:t>per share,</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Other</w:t>
            </w:r>
            <w:r>
              <w:rPr>
                <w:rFonts w:ascii="Arial" w:cs="Arial" w:eastAsia="Arial" w:hAnsi="Arial"/>
                <w:sz w:val="18"/>
                <w:szCs w:val="18"/>
                <w:color w:val="auto"/>
                <w:w w:val="92"/>
                <w:vertAlign w:val="superscript"/>
              </w:rPr>
              <w:t>(2)</w:t>
            </w:r>
          </w:p>
        </w:tc>
        <w:tc>
          <w:tcPr>
            <w:tcW w:w="1020" w:type="dxa"/>
            <w:vAlign w:val="bottom"/>
            <w:vMerge w:val="restart"/>
          </w:tcPr>
          <w:p>
            <w:pPr>
              <w:jc w:val="right"/>
              <w:ind w:right="124"/>
              <w:spacing w:after="0"/>
              <w:rPr>
                <w:sz w:val="20"/>
                <w:szCs w:val="20"/>
                <w:color w:val="auto"/>
              </w:rPr>
            </w:pPr>
            <w:r>
              <w:rPr>
                <w:rFonts w:ascii="Arial" w:cs="Arial" w:eastAsia="Arial" w:hAnsi="Arial"/>
                <w:sz w:val="14"/>
                <w:szCs w:val="14"/>
                <w:color w:val="auto"/>
              </w:rPr>
              <w:t>5,922,499</w:t>
            </w:r>
          </w:p>
        </w:tc>
        <w:tc>
          <w:tcPr>
            <w:tcW w:w="400" w:type="dxa"/>
            <w:vAlign w:val="bottom"/>
            <w:tcBorders>
              <w:right w:val="single" w:sz="8" w:color="auto"/>
            </w:tcBorders>
            <w:vMerge w:val="restart"/>
          </w:tcPr>
          <w:p>
            <w:pPr>
              <w:jc w:val="right"/>
              <w:ind w:right="148"/>
              <w:spacing w:after="0"/>
              <w:rPr>
                <w:sz w:val="20"/>
                <w:szCs w:val="20"/>
                <w:color w:val="auto"/>
              </w:rPr>
            </w:pPr>
            <w:r>
              <w:rPr>
                <w:rFonts w:ascii="Arial" w:cs="Arial" w:eastAsia="Arial" w:hAnsi="Arial"/>
                <w:sz w:val="14"/>
                <w:szCs w:val="14"/>
                <w:color w:val="auto"/>
                <w:w w:val="93"/>
              </w:rPr>
              <w:t>(3)</w:t>
            </w:r>
          </w:p>
        </w:tc>
        <w:tc>
          <w:tcPr>
            <w:tcW w:w="1180" w:type="dxa"/>
            <w:vAlign w:val="bottom"/>
            <w:vMerge w:val="restart"/>
          </w:tcPr>
          <w:p>
            <w:pPr>
              <w:ind w:left="360"/>
              <w:spacing w:after="0"/>
              <w:rPr>
                <w:sz w:val="20"/>
                <w:szCs w:val="20"/>
                <w:color w:val="auto"/>
              </w:rPr>
            </w:pPr>
            <w:r>
              <w:rPr>
                <w:rFonts w:ascii="Arial" w:cs="Arial" w:eastAsia="Arial" w:hAnsi="Arial"/>
                <w:sz w:val="14"/>
                <w:szCs w:val="14"/>
                <w:color w:val="auto"/>
              </w:rPr>
              <w:t>18.08</w:t>
            </w:r>
          </w:p>
        </w:tc>
        <w:tc>
          <w:tcPr>
            <w:tcW w:w="380" w:type="dxa"/>
            <w:vAlign w:val="bottom"/>
            <w:tcBorders>
              <w:right w:val="single" w:sz="8" w:color="auto"/>
            </w:tcBorders>
            <w:vMerge w:val="restart"/>
          </w:tcPr>
          <w:p>
            <w:pPr>
              <w:jc w:val="right"/>
              <w:ind w:right="88"/>
              <w:spacing w:after="0"/>
              <w:rPr>
                <w:sz w:val="20"/>
                <w:szCs w:val="20"/>
                <w:color w:val="auto"/>
              </w:rPr>
            </w:pPr>
            <w:r>
              <w:rPr>
                <w:rFonts w:ascii="Arial" w:cs="Arial" w:eastAsia="Arial" w:hAnsi="Arial"/>
                <w:sz w:val="14"/>
                <w:szCs w:val="14"/>
                <w:color w:val="auto"/>
              </w:rPr>
              <w:t>(2)</w:t>
            </w: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$107,078,781.92</w:t>
            </w:r>
          </w:p>
        </w:tc>
        <w:tc>
          <w:tcPr>
            <w:tcW w:w="1140" w:type="dxa"/>
            <w:vAlign w:val="bottom"/>
            <w:tcBorders>
              <w:right w:val="single" w:sz="8" w:color="auto"/>
            </w:tcBorders>
            <w:vMerge w:val="restart"/>
          </w:tcPr>
          <w:p>
            <w:pPr>
              <w:ind w:left="220"/>
              <w:spacing w:after="0"/>
              <w:rPr>
                <w:sz w:val="20"/>
                <w:szCs w:val="20"/>
                <w:color w:val="auto"/>
              </w:rPr>
            </w:pPr>
            <w:r>
              <w:rPr>
                <w:rFonts w:ascii="Arial" w:cs="Arial" w:eastAsia="Arial" w:hAnsi="Arial"/>
                <w:sz w:val="14"/>
                <w:szCs w:val="14"/>
                <w:color w:val="auto"/>
              </w:rPr>
              <w:t>0.0001381</w:t>
            </w: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$14,787.58</w:t>
            </w:r>
          </w:p>
        </w:tc>
        <w:tc>
          <w:tcPr>
            <w:tcW w:w="0" w:type="dxa"/>
            <w:vAlign w:val="bottom"/>
          </w:tcPr>
          <w:p>
            <w:pPr>
              <w:spacing w:after="0"/>
              <w:rPr>
                <w:sz w:val="1"/>
                <w:szCs w:val="1"/>
                <w:color w:val="auto"/>
              </w:rPr>
            </w:pPr>
          </w:p>
        </w:tc>
      </w:tr>
      <w:tr>
        <w:trPr>
          <w:trHeight w:val="189"/>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2018 Equity Incentive Plan</w:t>
            </w:r>
          </w:p>
        </w:tc>
        <w:tc>
          <w:tcPr>
            <w:tcW w:w="1160" w:type="dxa"/>
            <w:vAlign w:val="bottom"/>
            <w:tcBorders>
              <w:bottom w:val="single" w:sz="8" w:color="auto"/>
              <w:right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right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right w:val="single" w:sz="8" w:color="auto"/>
            </w:tcBorders>
            <w:vMerge w:val="continue"/>
          </w:tcPr>
          <w:p>
            <w:pPr>
              <w:spacing w:after="0"/>
              <w:rPr>
                <w:sz w:val="16"/>
                <w:szCs w:val="16"/>
                <w:color w:val="auto"/>
              </w:rPr>
            </w:pPr>
          </w:p>
        </w:tc>
        <w:tc>
          <w:tcPr>
            <w:tcW w:w="142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880" w:type="dxa"/>
            <w:vAlign w:val="bottom"/>
            <w:tcBorders>
              <w:left w:val="single" w:sz="8" w:color="auto"/>
              <w:right w:val="single" w:sz="8" w:color="auto"/>
            </w:tcBorders>
          </w:tcPr>
          <w:p>
            <w:pPr>
              <w:spacing w:after="0"/>
              <w:rPr>
                <w:sz w:val="12"/>
                <w:szCs w:val="12"/>
                <w:color w:val="auto"/>
              </w:rPr>
            </w:pPr>
          </w:p>
        </w:tc>
        <w:tc>
          <w:tcPr>
            <w:tcW w:w="224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color w:val="auto"/>
              </w:rPr>
              <w:t>Common Stock, par value $0.01</w:t>
            </w:r>
          </w:p>
        </w:tc>
        <w:tc>
          <w:tcPr>
            <w:tcW w:w="1160" w:type="dxa"/>
            <w:vAlign w:val="bottom"/>
            <w:tcBorders>
              <w:right w:val="single" w:sz="8" w:color="auto"/>
            </w:tcBorders>
          </w:tcPr>
          <w:p>
            <w:pPr>
              <w:spacing w:after="0"/>
              <w:rPr>
                <w:sz w:val="12"/>
                <w:szCs w:val="12"/>
                <w:color w:val="auto"/>
              </w:rPr>
            </w:pPr>
          </w:p>
        </w:tc>
        <w:tc>
          <w:tcPr>
            <w:tcW w:w="102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18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0" w:type="dxa"/>
            <w:vAlign w:val="bottom"/>
            <w:tcBorders>
              <w:left w:val="single" w:sz="8" w:color="auto"/>
              <w:right w:val="single" w:sz="8" w:color="auto"/>
            </w:tcBorders>
          </w:tcPr>
          <w:p>
            <w:pPr>
              <w:spacing w:after="0"/>
              <w:rPr>
                <w:sz w:val="12"/>
                <w:szCs w:val="12"/>
                <w:color w:val="auto"/>
              </w:rPr>
            </w:pPr>
          </w:p>
        </w:tc>
        <w:tc>
          <w:tcPr>
            <w:tcW w:w="224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rPr>
              <w:t>per share,</w:t>
            </w:r>
          </w:p>
        </w:tc>
        <w:tc>
          <w:tcPr>
            <w:tcW w:w="1160" w:type="dxa"/>
            <w:vAlign w:val="bottom"/>
            <w:tcBorders>
              <w:right w:val="single" w:sz="8" w:color="auto"/>
            </w:tcBorders>
          </w:tcPr>
          <w:p>
            <w:pPr>
              <w:spacing w:after="0"/>
              <w:rPr>
                <w:sz w:val="12"/>
                <w:szCs w:val="12"/>
                <w:color w:val="auto"/>
              </w:rPr>
            </w:pPr>
          </w:p>
        </w:tc>
        <w:tc>
          <w:tcPr>
            <w:tcW w:w="102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18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rPr>
              <w:t>Equity</w:t>
            </w:r>
          </w:p>
        </w:tc>
        <w:tc>
          <w:tcPr>
            <w:tcW w:w="224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rPr>
              <w:t>2018 Employee Stock Purchase</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Other</w:t>
            </w:r>
            <w:r>
              <w:rPr>
                <w:rFonts w:ascii="Arial" w:cs="Arial" w:eastAsia="Arial" w:hAnsi="Arial"/>
                <w:sz w:val="18"/>
                <w:szCs w:val="18"/>
                <w:color w:val="auto"/>
                <w:w w:val="92"/>
                <w:vertAlign w:val="superscript"/>
              </w:rPr>
              <w:t>(4)</w:t>
            </w:r>
          </w:p>
        </w:tc>
        <w:tc>
          <w:tcPr>
            <w:tcW w:w="1020" w:type="dxa"/>
            <w:vAlign w:val="bottom"/>
            <w:vMerge w:val="restart"/>
          </w:tcPr>
          <w:p>
            <w:pPr>
              <w:jc w:val="right"/>
              <w:ind w:right="124"/>
              <w:spacing w:after="0"/>
              <w:rPr>
                <w:sz w:val="20"/>
                <w:szCs w:val="20"/>
                <w:color w:val="auto"/>
              </w:rPr>
            </w:pPr>
            <w:r>
              <w:rPr>
                <w:rFonts w:ascii="Arial" w:cs="Arial" w:eastAsia="Arial" w:hAnsi="Arial"/>
                <w:sz w:val="14"/>
                <w:szCs w:val="14"/>
                <w:color w:val="auto"/>
              </w:rPr>
              <w:t>1,776,749</w:t>
            </w:r>
          </w:p>
        </w:tc>
        <w:tc>
          <w:tcPr>
            <w:tcW w:w="400" w:type="dxa"/>
            <w:vAlign w:val="bottom"/>
            <w:tcBorders>
              <w:right w:val="single" w:sz="8" w:color="auto"/>
            </w:tcBorders>
            <w:vMerge w:val="restart"/>
          </w:tcPr>
          <w:p>
            <w:pPr>
              <w:jc w:val="right"/>
              <w:ind w:right="148"/>
              <w:spacing w:after="0"/>
              <w:rPr>
                <w:sz w:val="20"/>
                <w:szCs w:val="20"/>
                <w:color w:val="auto"/>
              </w:rPr>
            </w:pPr>
            <w:r>
              <w:rPr>
                <w:rFonts w:ascii="Arial" w:cs="Arial" w:eastAsia="Arial" w:hAnsi="Arial"/>
                <w:sz w:val="14"/>
                <w:szCs w:val="14"/>
                <w:color w:val="auto"/>
                <w:w w:val="93"/>
              </w:rPr>
              <w:t>(5)</w:t>
            </w:r>
          </w:p>
        </w:tc>
        <w:tc>
          <w:tcPr>
            <w:tcW w:w="1180" w:type="dxa"/>
            <w:vAlign w:val="bottom"/>
            <w:vMerge w:val="restart"/>
          </w:tcPr>
          <w:p>
            <w:pPr>
              <w:ind w:left="360"/>
              <w:spacing w:after="0"/>
              <w:rPr>
                <w:sz w:val="20"/>
                <w:szCs w:val="20"/>
                <w:color w:val="auto"/>
              </w:rPr>
            </w:pPr>
            <w:r>
              <w:rPr>
                <w:rFonts w:ascii="Arial" w:cs="Arial" w:eastAsia="Arial" w:hAnsi="Arial"/>
                <w:sz w:val="14"/>
                <w:szCs w:val="14"/>
                <w:color w:val="auto"/>
              </w:rPr>
              <w:t>15.37</w:t>
            </w:r>
          </w:p>
        </w:tc>
        <w:tc>
          <w:tcPr>
            <w:tcW w:w="380" w:type="dxa"/>
            <w:vAlign w:val="bottom"/>
            <w:tcBorders>
              <w:right w:val="single" w:sz="8" w:color="auto"/>
            </w:tcBorders>
            <w:vMerge w:val="restart"/>
          </w:tcPr>
          <w:p>
            <w:pPr>
              <w:jc w:val="right"/>
              <w:ind w:right="88"/>
              <w:spacing w:after="0"/>
              <w:rPr>
                <w:sz w:val="20"/>
                <w:szCs w:val="20"/>
                <w:color w:val="auto"/>
              </w:rPr>
            </w:pPr>
            <w:r>
              <w:rPr>
                <w:rFonts w:ascii="Arial" w:cs="Arial" w:eastAsia="Arial" w:hAnsi="Arial"/>
                <w:sz w:val="14"/>
                <w:szCs w:val="14"/>
                <w:color w:val="auto"/>
              </w:rPr>
              <w:t>(4)</w:t>
            </w: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$27,308,632.13</w:t>
            </w:r>
          </w:p>
        </w:tc>
        <w:tc>
          <w:tcPr>
            <w:tcW w:w="1140" w:type="dxa"/>
            <w:vAlign w:val="bottom"/>
            <w:tcBorders>
              <w:right w:val="single" w:sz="8" w:color="auto"/>
            </w:tcBorders>
            <w:vMerge w:val="restart"/>
          </w:tcPr>
          <w:p>
            <w:pPr>
              <w:ind w:left="220"/>
              <w:spacing w:after="0"/>
              <w:rPr>
                <w:sz w:val="20"/>
                <w:szCs w:val="20"/>
                <w:color w:val="auto"/>
              </w:rPr>
            </w:pPr>
            <w:r>
              <w:rPr>
                <w:rFonts w:ascii="Arial" w:cs="Arial" w:eastAsia="Arial" w:hAnsi="Arial"/>
                <w:sz w:val="14"/>
                <w:szCs w:val="14"/>
                <w:color w:val="auto"/>
              </w:rPr>
              <w:t>0.0001381</w:t>
            </w: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$3,771.33</w:t>
            </w:r>
          </w:p>
        </w:tc>
        <w:tc>
          <w:tcPr>
            <w:tcW w:w="0" w:type="dxa"/>
            <w:vAlign w:val="bottom"/>
          </w:tcPr>
          <w:p>
            <w:pPr>
              <w:spacing w:after="0"/>
              <w:rPr>
                <w:sz w:val="1"/>
                <w:szCs w:val="1"/>
                <w:color w:val="auto"/>
              </w:rPr>
            </w:pPr>
          </w:p>
        </w:tc>
      </w:tr>
      <w:tr>
        <w:trPr>
          <w:trHeight w:val="198"/>
        </w:trPr>
        <w:tc>
          <w:tcPr>
            <w:tcW w:w="88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Plan</w:t>
            </w:r>
          </w:p>
        </w:tc>
        <w:tc>
          <w:tcPr>
            <w:tcW w:w="1160" w:type="dxa"/>
            <w:vAlign w:val="bottom"/>
            <w:tcBorders>
              <w:bottom w:val="single" w:sz="8" w:color="auto"/>
              <w:right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400" w:type="dxa"/>
            <w:vAlign w:val="bottom"/>
            <w:tcBorders>
              <w:bottom w:val="single" w:sz="8" w:color="auto"/>
              <w:right w:val="single" w:sz="8" w:color="auto"/>
            </w:tcBorders>
            <w:vMerge w:val="continue"/>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right w:val="single" w:sz="8" w:color="auto"/>
            </w:tcBorders>
            <w:vMerge w:val="continue"/>
          </w:tcPr>
          <w:p>
            <w:pPr>
              <w:spacing w:after="0"/>
              <w:rPr>
                <w:sz w:val="17"/>
                <w:szCs w:val="17"/>
                <w:color w:val="auto"/>
              </w:rPr>
            </w:pPr>
          </w:p>
        </w:tc>
        <w:tc>
          <w:tcPr>
            <w:tcW w:w="1420" w:type="dxa"/>
            <w:vAlign w:val="bottom"/>
            <w:tcBorders>
              <w:bottom w:val="single" w:sz="8" w:color="auto"/>
              <w:right w:val="single" w:sz="8" w:color="auto"/>
            </w:tcBorders>
            <w:vMerge w:val="continue"/>
          </w:tcPr>
          <w:p>
            <w:pPr>
              <w:spacing w:after="0"/>
              <w:rPr>
                <w:sz w:val="17"/>
                <w:szCs w:val="17"/>
                <w:color w:val="auto"/>
              </w:rPr>
            </w:pPr>
          </w:p>
        </w:tc>
        <w:tc>
          <w:tcPr>
            <w:tcW w:w="1140" w:type="dxa"/>
            <w:vAlign w:val="bottom"/>
            <w:tcBorders>
              <w:bottom w:val="single" w:sz="8" w:color="auto"/>
              <w:right w:val="single" w:sz="8" w:color="auto"/>
            </w:tcBorders>
            <w:vMerge w:val="continue"/>
          </w:tcPr>
          <w:p>
            <w:pPr>
              <w:spacing w:after="0"/>
              <w:rPr>
                <w:sz w:val="17"/>
                <w:szCs w:val="17"/>
                <w:color w:val="auto"/>
              </w:rPr>
            </w:pPr>
          </w:p>
        </w:tc>
        <w:tc>
          <w:tcPr>
            <w:tcW w:w="126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880" w:type="dxa"/>
            <w:vAlign w:val="bottom"/>
            <w:tcBorders>
              <w:left w:val="single" w:sz="8" w:color="auto"/>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Total Offering Amounts</w:t>
            </w:r>
          </w:p>
        </w:tc>
        <w:tc>
          <w:tcPr>
            <w:tcW w:w="116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$134,387,414.05</w:t>
            </w:r>
          </w:p>
        </w:tc>
        <w:tc>
          <w:tcPr>
            <w:tcW w:w="1140" w:type="dxa"/>
            <w:vAlign w:val="bottom"/>
            <w:tcBorders>
              <w:bottom w:val="single" w:sz="8" w:color="auto"/>
              <w:right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$18,558.91</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Total Fee Offsets</w:t>
            </w:r>
          </w:p>
        </w:tc>
        <w:tc>
          <w:tcPr>
            <w:tcW w:w="116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380" w:type="dxa"/>
            <w:vAlign w:val="bottom"/>
            <w:tcBorders>
              <w:bottom w:val="single" w:sz="8" w:color="auto"/>
              <w:right w:val="single" w:sz="8" w:color="auto"/>
            </w:tcBorders>
          </w:tcPr>
          <w:p>
            <w:pPr>
              <w:spacing w:after="0"/>
              <w:rPr>
                <w:sz w:val="17"/>
                <w:szCs w:val="17"/>
                <w:color w:val="auto"/>
              </w:rPr>
            </w:pPr>
          </w:p>
        </w:tc>
        <w:tc>
          <w:tcPr>
            <w:tcW w:w="142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Net Fee Due</w:t>
            </w:r>
          </w:p>
        </w:tc>
        <w:tc>
          <w:tcPr>
            <w:tcW w:w="116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380" w:type="dxa"/>
            <w:vAlign w:val="bottom"/>
            <w:tcBorders>
              <w:bottom w:val="single" w:sz="8" w:color="auto"/>
              <w:right w:val="single" w:sz="8" w:color="auto"/>
            </w:tcBorders>
          </w:tcPr>
          <w:p>
            <w:pPr>
              <w:spacing w:after="0"/>
              <w:rPr>
                <w:sz w:val="17"/>
                <w:szCs w:val="17"/>
                <w:color w:val="auto"/>
              </w:rPr>
            </w:pPr>
          </w:p>
        </w:tc>
        <w:tc>
          <w:tcPr>
            <w:tcW w:w="142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$18,558.91</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left="340" w:hanging="332"/>
        <w:spacing w:after="0" w:line="265" w:lineRule="auto"/>
        <w:tabs>
          <w:tab w:leader="none" w:pos="335" w:val="left"/>
        </w:tabs>
        <w:numPr>
          <w:ilvl w:val="0"/>
          <w:numId w:val="3"/>
        </w:numPr>
        <w:rPr>
          <w:rFonts w:ascii="Arial" w:cs="Arial" w:eastAsia="Arial" w:hAnsi="Arial"/>
          <w:sz w:val="16"/>
          <w:szCs w:val="16"/>
          <w:color w:val="auto"/>
        </w:rPr>
      </w:pPr>
      <w:r>
        <w:rPr>
          <w:rFonts w:ascii="Arial" w:cs="Arial" w:eastAsia="Arial" w:hAnsi="Arial"/>
          <w:sz w:val="16"/>
          <w:szCs w:val="16"/>
          <w:color w:val="auto"/>
        </w:rPr>
        <w:t>Pursuant to Rule 416(a) promulgated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this Registration Statement shall also cover any additional shares of common stock of Tenable Holdings, Inc. (the “</w:t>
      </w:r>
      <w:r>
        <w:rPr>
          <w:rFonts w:ascii="Arial" w:cs="Arial" w:eastAsia="Arial" w:hAnsi="Arial"/>
          <w:sz w:val="16"/>
          <w:szCs w:val="16"/>
          <w:b w:val="1"/>
          <w:bCs w:val="1"/>
          <w:i w:val="1"/>
          <w:iCs w:val="1"/>
          <w:color w:val="auto"/>
        </w:rPr>
        <w:t>Registrant</w:t>
      </w:r>
      <w:r>
        <w:rPr>
          <w:rFonts w:ascii="Arial" w:cs="Arial" w:eastAsia="Arial" w:hAnsi="Arial"/>
          <w:sz w:val="16"/>
          <w:szCs w:val="16"/>
          <w:color w:val="auto"/>
        </w:rPr>
        <w:t>”) that become issuable under the plans set forth herein by reason of any stock dividend, stock split, recapitalization, or other similar transaction effected that results in an increase to the number of outstanding shares of Registrant’s common stock.</w:t>
      </w:r>
    </w:p>
    <w:p>
      <w:pPr>
        <w:spacing w:after="0" w:line="64" w:lineRule="exact"/>
        <w:rPr>
          <w:rFonts w:ascii="Arial" w:cs="Arial" w:eastAsia="Arial" w:hAnsi="Arial"/>
          <w:sz w:val="16"/>
          <w:szCs w:val="16"/>
          <w:color w:val="auto"/>
        </w:rPr>
      </w:pPr>
    </w:p>
    <w:p>
      <w:pPr>
        <w:ind w:left="340" w:hanging="332"/>
        <w:spacing w:after="0" w:line="304" w:lineRule="auto"/>
        <w:tabs>
          <w:tab w:leader="none" w:pos="413" w:val="left"/>
        </w:tabs>
        <w:numPr>
          <w:ilvl w:val="0"/>
          <w:numId w:val="3"/>
        </w:numPr>
        <w:rPr>
          <w:rFonts w:ascii="Arial" w:cs="Arial" w:eastAsia="Arial" w:hAnsi="Arial"/>
          <w:sz w:val="16"/>
          <w:szCs w:val="16"/>
          <w:color w:val="auto"/>
        </w:rPr>
      </w:pPr>
      <w:r>
        <w:rPr>
          <w:rFonts w:ascii="Arial" w:cs="Arial" w:eastAsia="Arial" w:hAnsi="Arial"/>
          <w:sz w:val="16"/>
          <w:szCs w:val="16"/>
          <w:color w:val="auto"/>
        </w:rPr>
        <w:t>Estimated in accordance with Rule 457(c) and (h) solely for purposes of calculating the registration fee on the basis of $18.08, the average of the high and low prices of the Registrant’s common stock as reported on the Nasdaq Global Select Market on February 24, 2026.</w:t>
      </w:r>
    </w:p>
    <w:p>
      <w:pPr>
        <w:spacing w:after="0" w:line="33" w:lineRule="exact"/>
        <w:rPr>
          <w:rFonts w:ascii="Arial" w:cs="Arial" w:eastAsia="Arial" w:hAnsi="Arial"/>
          <w:sz w:val="16"/>
          <w:szCs w:val="16"/>
          <w:color w:val="auto"/>
        </w:rPr>
      </w:pPr>
    </w:p>
    <w:p>
      <w:pPr>
        <w:jc w:val="both"/>
        <w:ind w:left="340" w:hanging="332"/>
        <w:spacing w:after="0" w:line="238" w:lineRule="auto"/>
        <w:tabs>
          <w:tab w:leader="none" w:pos="421"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an automatic annual increase equal to 5% of the total number of shares of the Registrant’s capital stock outstanding on December 31</w:t>
      </w:r>
      <w:r>
        <w:rPr>
          <w:rFonts w:ascii="Arial" w:cs="Arial" w:eastAsia="Arial" w:hAnsi="Arial"/>
          <w:sz w:val="21"/>
          <w:szCs w:val="21"/>
          <w:color w:val="auto"/>
          <w:vertAlign w:val="superscript"/>
        </w:rPr>
        <w:t>st</w:t>
      </w:r>
      <w:r>
        <w:rPr>
          <w:rFonts w:ascii="Arial" w:cs="Arial" w:eastAsia="Arial" w:hAnsi="Arial"/>
          <w:sz w:val="16"/>
          <w:szCs w:val="16"/>
          <w:color w:val="auto"/>
        </w:rPr>
        <w:t xml:space="preserve"> of the preceding calendar year to the aggregate number of shares of the Registrant’s common stock reserved for issuance under, and which annual increase is provided by, the Registrant’s 2018 Equity Incentive Plan.</w:t>
      </w:r>
    </w:p>
    <w:p>
      <w:pPr>
        <w:spacing w:after="0" w:line="84" w:lineRule="exact"/>
        <w:rPr>
          <w:rFonts w:ascii="Arial" w:cs="Arial" w:eastAsia="Arial" w:hAnsi="Arial"/>
          <w:sz w:val="16"/>
          <w:szCs w:val="16"/>
          <w:color w:val="auto"/>
        </w:rPr>
      </w:pPr>
    </w:p>
    <w:p>
      <w:pPr>
        <w:jc w:val="both"/>
        <w:ind w:left="340" w:hanging="332"/>
        <w:spacing w:after="0" w:line="280" w:lineRule="auto"/>
        <w:tabs>
          <w:tab w:leader="none" w:pos="435" w:val="left"/>
        </w:tabs>
        <w:numPr>
          <w:ilvl w:val="0"/>
          <w:numId w:val="3"/>
        </w:numPr>
        <w:rPr>
          <w:rFonts w:ascii="Arial" w:cs="Arial" w:eastAsia="Arial" w:hAnsi="Arial"/>
          <w:sz w:val="16"/>
          <w:szCs w:val="16"/>
          <w:color w:val="auto"/>
        </w:rPr>
      </w:pPr>
      <w:r>
        <w:rPr>
          <w:rFonts w:ascii="Arial" w:cs="Arial" w:eastAsia="Arial" w:hAnsi="Arial"/>
          <w:sz w:val="16"/>
          <w:szCs w:val="16"/>
          <w:color w:val="auto"/>
        </w:rPr>
        <w:t>Estimated in accordance with Rule 457(c) and (h) solely for the purpose of calculating the registration fee on the basis of $15.37, the average of the high and low prices of the Registrant’s common stock as reported on the Nasdaq Global Select Market on February 24, 2026, multiplied by 85%, which is the percentage of the price per share applicable to purchases under the 2018 Employee Stock Purchase Plan (the “</w:t>
      </w:r>
      <w:r>
        <w:rPr>
          <w:rFonts w:ascii="Arial" w:cs="Arial" w:eastAsia="Arial" w:hAnsi="Arial"/>
          <w:sz w:val="16"/>
          <w:szCs w:val="16"/>
          <w:b w:val="1"/>
          <w:bCs w:val="1"/>
          <w:i w:val="1"/>
          <w:iCs w:val="1"/>
          <w:color w:val="auto"/>
        </w:rPr>
        <w:t>2018 ESPP</w:t>
      </w:r>
      <w:r>
        <w:rPr>
          <w:rFonts w:ascii="Arial" w:cs="Arial" w:eastAsia="Arial" w:hAnsi="Arial"/>
          <w:sz w:val="16"/>
          <w:szCs w:val="16"/>
          <w:color w:val="auto"/>
        </w:rPr>
        <w:t>”).</w:t>
      </w:r>
    </w:p>
    <w:p>
      <w:pPr>
        <w:spacing w:after="0" w:line="44" w:lineRule="exact"/>
        <w:rPr>
          <w:rFonts w:ascii="Arial" w:cs="Arial" w:eastAsia="Arial" w:hAnsi="Arial"/>
          <w:sz w:val="16"/>
          <w:szCs w:val="16"/>
          <w:color w:val="auto"/>
        </w:rPr>
      </w:pPr>
    </w:p>
    <w:p>
      <w:pPr>
        <w:jc w:val="both"/>
        <w:ind w:left="340" w:hanging="332"/>
        <w:spacing w:after="0" w:line="238" w:lineRule="auto"/>
        <w:tabs>
          <w:tab w:leader="none" w:pos="439"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an automatic increase equal to 1.5% of the total number of shares of the Registrant’s capital stock outstanding on December 31</w:t>
      </w:r>
      <w:r>
        <w:rPr>
          <w:rFonts w:ascii="Arial" w:cs="Arial" w:eastAsia="Arial" w:hAnsi="Arial"/>
          <w:sz w:val="21"/>
          <w:szCs w:val="21"/>
          <w:color w:val="auto"/>
          <w:vertAlign w:val="superscript"/>
        </w:rPr>
        <w:t>st</w:t>
      </w:r>
      <w:r>
        <w:rPr>
          <w:rFonts w:ascii="Arial" w:cs="Arial" w:eastAsia="Arial" w:hAnsi="Arial"/>
          <w:sz w:val="16"/>
          <w:szCs w:val="16"/>
          <w:color w:val="auto"/>
        </w:rPr>
        <w:t xml:space="preserve"> of the preceding calendar year to the aggregate number of shares of the Registrant’s common stock reserved for issuance under, and which annual increase is provided by, the 2018 ESPP.</w:t>
      </w:r>
    </w:p>
    <w:p>
      <w:pPr>
        <w:sectPr>
          <w:pgSz w:w="11900" w:h="16838" w:orient="portrait"/>
          <w:cols w:equalWidth="0" w:num="1">
            <w:col w:w="11240"/>
          </w:cols>
          <w:pgMar w:left="320" w:top="121" w:right="339" w:bottom="1440" w:gutter="0" w:footer="0" w:header="0"/>
        </w:sectPr>
      </w:pPr>
    </w:p>
    <w:bookmarkStart w:id="6" w:name="page7"/>
    <w:bookmarkEnd w:id="6"/>
    <w:p>
      <w:pPr>
        <w:spacing w:after="0" w:line="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51585" cy="4286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251585" cy="42862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Madison A. Jones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+1 202 728 7087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madison.jones@cooley.com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Tenable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6100 Merriweather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Columbia, MD 21044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Registration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acted as counsel to Tenable Holdings,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filing of a Registration Statement on Form S-8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covering the offering of up to 7,699,248 shares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of the Company’s common stock, par value $0.01 per share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consisting of (a) 5,922,499 shares of Common Stock issuable pursuant to the Company’s 2018 Equity Incentive Plan (the “</w:t>
      </w:r>
      <w:r>
        <w:rPr>
          <w:rFonts w:ascii="Arial" w:cs="Arial" w:eastAsia="Arial" w:hAnsi="Arial"/>
          <w:sz w:val="18"/>
          <w:szCs w:val="18"/>
          <w:b w:val="1"/>
          <w:bCs w:val="1"/>
          <w:i w:val="1"/>
          <w:iCs w:val="1"/>
          <w:color w:val="auto"/>
        </w:rPr>
        <w:t>2018 EIP</w:t>
      </w:r>
      <w:r>
        <w:rPr>
          <w:rFonts w:ascii="Arial" w:cs="Arial" w:eastAsia="Arial" w:hAnsi="Arial"/>
          <w:sz w:val="18"/>
          <w:szCs w:val="18"/>
          <w:color w:val="auto"/>
        </w:rPr>
        <w:t>”) and (b) 1,776,749 shares of Common Stock issuable pursuant to the Company’s 2018 Employee Stock Purchase Plan (together with the 2018 EIP, the “</w:t>
      </w:r>
      <w:r>
        <w:rPr>
          <w:rFonts w:ascii="Arial" w:cs="Arial" w:eastAsia="Arial" w:hAnsi="Arial"/>
          <w:sz w:val="18"/>
          <w:szCs w:val="18"/>
          <w:b w:val="1"/>
          <w:bCs w:val="1"/>
          <w:color w:val="auto"/>
        </w:rPr>
        <w:t>Plans</w:t>
      </w:r>
      <w:r>
        <w:rPr>
          <w:rFonts w:ascii="Arial" w:cs="Arial" w:eastAsia="Arial" w:hAnsi="Arial"/>
          <w:sz w:val="18"/>
          <w:szCs w:val="18"/>
          <w:color w:val="auto"/>
        </w:rPr>
        <w:t>”).</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this opinion, we have examined and relied upon (a) the Registration Statement and the related prospectuses, (b) the Company’s certificate of incorporation and bylaws, each as currently in effect, (c) the Plans and (d)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the basis of the foregoing, and in reliance thereon, we are of the opinion that the Shares, when sold and issued in accordance with the Plans, the Registration Statement and the related prospectuses, will be validly issued, fully paid, and nonassessable (except as to Shares issued pursuant to deferred payment arrangements, which will be fully paid and nonassessable when such deferred payments are made in full).</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This opinion is limited to the matters expressly set forth in this letter, and no opinion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Cooley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Madison A. Jones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Madison A. Jones</w:t>
      </w:r>
    </w:p>
    <w:p>
      <w:pPr>
        <w:sectPr>
          <w:pgSz w:w="11900" w:h="16838" w:orient="portrait"/>
          <w:cols w:equalWidth="0" w:num="1">
            <w:col w:w="11240"/>
          </w:cols>
          <w:pgMar w:left="320" w:top="1440"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Tenable Holdings, Inc. 2018 Equity Incentive Plan and the Tenable Holdings, Inc. 2018 Employee Stock Purchase Plan of our reports dated February 27, 2026, with respect to the consolidated financial statements and schedule of Tenable Holdings, Inc. and the effectiveness of internal control over financial reporting of Tenable Holdings, Inc. included in its Annual Report (Form 10-K) for the year ended December 31, 2025, filed with the Securities and Exchange Commission.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2026</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jpeg"/><Relationship Id="rId9" Type="http://schemas.openxmlformats.org/officeDocument/2006/relationships/hyperlink" Target="https://www.sec.gov/Archives/edgar/data/1660280/000119312518231446/d562353dex31.htm" TargetMode="External"/><Relationship Id="rId10" Type="http://schemas.openxmlformats.org/officeDocument/2006/relationships/hyperlink" Target="https://www.sec.gov/Archives/edgar/data/1660280/000166028023000147/ex31.htm" TargetMode="External"/><Relationship Id="rId11" Type="http://schemas.openxmlformats.org/officeDocument/2006/relationships/hyperlink" Target="https://www.sec.gov/Archives/edgar/data/1660280/000119312518218215/d548092dex41.htm" TargetMode="External"/><Relationship Id="rId12" Type="http://schemas.openxmlformats.org/officeDocument/2006/relationships/hyperlink" Target="https://www.sec.gov/Archives/edgar/data/1660280/000119312518226924/d494510dex104.htm" TargetMode="External"/><Relationship Id="rId13" Type="http://schemas.openxmlformats.org/officeDocument/2006/relationships/hyperlink" Target="https://www.sec.gov/Archives/edgar/data/1660280/000166028023000144/q32023exhibit101.htm" TargetMode="External"/><Relationship Id="rId14" Type="http://schemas.openxmlformats.org/officeDocument/2006/relationships/hyperlink" Target="https://www.sec.gov/Archives/edgar/data/1660280/000119312518226924/d494510dex105.htm" TargetMode="External"/><Relationship Id="rId15" Type="http://schemas.openxmlformats.org/officeDocument/2006/relationships/hyperlink" Target="https://www.sec.gov/Archives/edgar/data/1660280/000166028022000039/ex101performancevestrsuag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2026-02-27T17:12:23Z</dcterms:created>
  <dcterms:modified xsi:type="dcterms:W3CDTF">2026-02-27T17:12:23Z</dcterms:modified>
</cp:coreProperties>
</file>