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9342" w:type="dxa"/>
        <w:jc w:val="center"/>
        <w:tblInd w:w="0" w:type="dxa"/>
        <w:tblLayout w:type="fixed"/>
        <w:tblCellMar>
          <w:top w:w="28" w:type="dxa"/>
          <w:left w:w="28" w:type="dxa"/>
          <w:bottom w:w="28" w:type="dxa"/>
          <w:right w:w="28" w:type="dxa"/>
        </w:tblCellMar>
      </w:tblPr>
      <w:tblGrid>
        <w:gridCol w:w="124"/>
        <w:gridCol w:w="109"/>
        <w:gridCol w:w="109"/>
        <w:gridCol w:w="2328"/>
        <w:gridCol w:w="2328"/>
        <w:gridCol w:w="2334"/>
        <w:gridCol w:w="588"/>
        <w:gridCol w:w="588"/>
        <w:gridCol w:w="8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0" w:type="dxa"/>
            <w:gridSpan w:val="3"/>
            <w:tcBorders/>
            <w:tcMar>
              <w:top w:w="0" w:type="dxa"/>
              <w:left w:w="0" w:type="dxa"/>
              <w:bottom w:w="0" w:type="dxa"/>
              <w:right w:w="0" w:type="dxa"/>
            </w:tcMar>
            <w:vAlign w:val="center"/>
          </w:tcPr>
          <w:p>
            <w:pPr>
              <w:pStyle w:val="TableContents"/>
              <w:bidi w:val="0"/>
              <w:spacing w:lineRule="auto" w:line="417" w:before="0" w:after="0"/>
              <w:jc w:val="center"/>
              <w:rPr>
                <w:rFonts w:ascii="Arial;sans-serif" w:hAnsi="Arial;sans-serif"/>
                <w:b/>
                <w:color w:val="000000"/>
                <w:sz w:val="18"/>
              </w:rPr>
            </w:pPr>
            <w:r>
              <w:rPr>
                <w:rFonts w:ascii="Arial;sans-serif" w:hAnsi="Arial;sans-serif"/>
                <w:b/>
                <w:color w:val="000000"/>
                <w:sz w:val="18"/>
              </w:rPr>
              <w:t>As filed with the U.S. Securities and Exchange Commission on February 28, 2024</w:t>
            </w:r>
          </w:p>
        </w:tc>
        <w:tc>
          <w:tcPr>
            <w:tcW w:w="2010" w:type="dxa"/>
            <w:gridSpan w:val="3"/>
            <w:tcBorders/>
            <w:tcMar>
              <w:top w:w="0" w:type="dxa"/>
              <w:left w:w="0" w:type="dxa"/>
              <w:bottom w:w="0" w:type="dxa"/>
              <w:right w:w="0" w:type="dxa"/>
            </w:tcMar>
            <w:vAlign w:val="center"/>
          </w:tcPr>
          <w:p>
            <w:pPr>
              <w:pStyle w:val="TableContents"/>
              <w:bidi w:val="0"/>
              <w:spacing w:lineRule="auto" w:line="417" w:before="0" w:after="283"/>
              <w:jc w:val="right"/>
              <w:rPr>
                <w:color w:val="000000"/>
              </w:rPr>
            </w:pPr>
            <w:r>
              <w:rPr>
                <w:color w:val="000000"/>
              </w:rPr>
              <w:t> </w:t>
            </w:r>
            <w:r>
              <w:rPr>
                <w:rFonts w:ascii="Arial;sans-serif" w:hAnsi="Arial;sans-serif"/>
                <w:b/>
                <w:color w:val="000000"/>
                <w:sz w:val="18"/>
              </w:rPr>
              <w:t>Registration No. 333-</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231F20"/>
          <w:sz w:val="32"/>
        </w:rPr>
      </w:pPr>
      <w:r>
        <w:rPr>
          <w:rFonts w:ascii="Arial;sans-serif" w:hAnsi="Arial;sans-serif"/>
          <w:b/>
          <w:color w:val="231F20"/>
          <w:sz w:val="32"/>
        </w:rPr>
        <w:t>UNITED STATES</w:t>
      </w:r>
    </w:p>
    <w:p>
      <w:pPr>
        <w:pStyle w:val="TextBody"/>
        <w:bidi w:val="0"/>
        <w:spacing w:lineRule="auto" w:line="288" w:before="0" w:after="0"/>
        <w:jc w:val="center"/>
        <w:rPr>
          <w:rFonts w:ascii="Arial;sans-serif" w:hAnsi="Arial;sans-serif"/>
          <w:b/>
          <w:color w:val="231F20"/>
          <w:sz w:val="32"/>
        </w:rPr>
      </w:pPr>
      <w:r>
        <w:rPr>
          <w:rFonts w:ascii="Arial;sans-serif" w:hAnsi="Arial;sans-serif"/>
          <w:b/>
          <w:color w:val="231F20"/>
          <w:sz w:val="32"/>
        </w:rPr>
        <w:t>SECURITIES AND EXCHANGE COMMISSION</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Washington, D.C. 20549</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__________________________</w:t>
      </w:r>
    </w:p>
    <w:p>
      <w:pPr>
        <w:pStyle w:val="TextBody"/>
        <w:bidi w:val="0"/>
        <w:spacing w:lineRule="auto" w:line="288" w:before="0" w:after="0"/>
        <w:jc w:val="center"/>
        <w:rPr>
          <w:rFonts w:ascii="Arial;sans-serif" w:hAnsi="Arial;sans-serif"/>
          <w:b/>
          <w:color w:val="231F20"/>
          <w:sz w:val="28"/>
        </w:rPr>
      </w:pPr>
      <w:r>
        <w:rPr>
          <w:rFonts w:ascii="Arial;sans-serif" w:hAnsi="Arial;sans-serif"/>
          <w:b/>
          <w:color w:val="231F20"/>
          <w:sz w:val="28"/>
        </w:rPr>
        <w:t>FORM S-8</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REGISTRATION STATEMENT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UNDER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SECURITIES ACT OF 1933</w:t>
      </w:r>
    </w:p>
    <w:p>
      <w:pPr>
        <w:pStyle w:val="TextBody"/>
        <w:bidi w:val="0"/>
        <w:spacing w:lineRule="auto" w:line="288" w:before="0" w:after="0"/>
        <w:jc w:val="center"/>
        <w:rPr/>
      </w:pPr>
      <w:r>
        <w:rPr>
          <w:rFonts w:ascii="Arial;sans-serif" w:hAnsi="Arial;sans-serif"/>
          <w:b/>
          <w:color w:val="231F20"/>
          <w:sz w:val="20"/>
        </w:rPr>
        <w:t>__________________</w:t>
      </w:r>
      <w:r>
        <w:rPr>
          <w:rFonts w:ascii="Arial;sans-serif" w:hAnsi="Arial;sans-serif"/>
          <w:b/>
          <w:color w:val="000000"/>
          <w:sz w:val="20"/>
        </w:rPr>
        <w:t>________</w:t>
      </w:r>
    </w:p>
    <w:p>
      <w:pPr>
        <w:pStyle w:val="TextBody"/>
        <w:bidi w:val="0"/>
        <w:spacing w:lineRule="auto" w:line="288" w:before="0" w:after="0"/>
        <w:jc w:val="center"/>
        <w:rPr>
          <w:rFonts w:ascii="Arial;sans-serif" w:hAnsi="Arial;sans-serif"/>
          <w:b/>
          <w:color w:val="231F20"/>
          <w:sz w:val="44"/>
        </w:rPr>
      </w:pPr>
      <w:r>
        <w:rPr>
          <w:rFonts w:ascii="Arial;sans-serif" w:hAnsi="Arial;sans-serif"/>
          <w:b/>
          <w:color w:val="231F20"/>
          <w:sz w:val="44"/>
        </w:rPr>
        <w:t>TENABLE HOLDINGS, INC.</w:t>
      </w:r>
    </w:p>
    <w:p>
      <w:pPr>
        <w:pStyle w:val="TextBody"/>
        <w:bidi w:val="0"/>
        <w:spacing w:lineRule="auto" w:line="288" w:before="0" w:after="0"/>
        <w:jc w:val="center"/>
        <w:rPr>
          <w:rFonts w:ascii="Arial;sans-serif" w:hAnsi="Arial;sans-serif"/>
          <w:b/>
          <w:color w:val="231F20"/>
          <w:sz w:val="16"/>
        </w:rPr>
      </w:pPr>
      <w:r>
        <w:rPr>
          <w:rFonts w:ascii="Arial;sans-serif" w:hAnsi="Arial;sans-serif"/>
          <w:b/>
          <w:color w:val="231F20"/>
          <w:sz w:val="16"/>
        </w:rPr>
        <w:t>(Exact name of registrant as specified in its charter)</w:t>
      </w:r>
    </w:p>
    <w:p>
      <w:pPr>
        <w:pStyle w:val="TextBody"/>
        <w:bidi w:val="0"/>
        <w:spacing w:lineRule="auto" w:line="288" w:before="0" w:after="0"/>
        <w:jc w:val="center"/>
        <w:rPr/>
      </w:pPr>
      <w:r>
        <w:rPr>
          <w:rFonts w:ascii="Arial;sans-serif" w:hAnsi="Arial;sans-serif"/>
          <w:b/>
          <w:color w:val="231F20"/>
          <w:sz w:val="20"/>
        </w:rPr>
        <w:t>__________________</w:t>
      </w:r>
      <w:r>
        <w:rPr>
          <w:rFonts w:ascii="Arial;sans-serif" w:hAnsi="Arial;sans-serif"/>
          <w:b/>
          <w:color w:val="000000"/>
          <w:sz w:val="20"/>
        </w:rPr>
        <w:t>________</w:t>
      </w:r>
    </w:p>
    <w:tbl>
      <w:tblPr>
        <w:tblW w:w="7646" w:type="dxa"/>
        <w:jc w:val="left"/>
        <w:tblInd w:w="0" w:type="dxa"/>
        <w:tblLayout w:type="fixed"/>
        <w:tblCellMar>
          <w:top w:w="28" w:type="dxa"/>
          <w:left w:w="28" w:type="dxa"/>
          <w:bottom w:w="28" w:type="dxa"/>
          <w:right w:w="28" w:type="dxa"/>
        </w:tblCellMar>
      </w:tblPr>
      <w:tblGrid>
        <w:gridCol w:w="1566"/>
        <w:gridCol w:w="1374"/>
        <w:gridCol w:w="1395"/>
        <w:gridCol w:w="109"/>
        <w:gridCol w:w="109"/>
        <w:gridCol w:w="109"/>
        <w:gridCol w:w="871"/>
        <w:gridCol w:w="871"/>
        <w:gridCol w:w="1242"/>
      </w:tblGrid>
      <w:tr>
        <w:trPr/>
        <w:tc>
          <w:tcPr>
            <w:tcW w:w="156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47-5580846</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Number)</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6100 Merriweather Drive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Columbia, Maryland, 21044</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(410) 872-0555</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Tenable Holdings, Inc. 2018 Equity Incentive Plan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Tenable Holdings, Inc. 2018 Employee Stock Purchase Plan</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(Full titles of the plans)</w:t>
      </w:r>
    </w:p>
    <w:p>
      <w:pPr>
        <w:pStyle w:val="TextBody"/>
        <w:bidi w:val="0"/>
        <w:spacing w:lineRule="auto" w:line="288" w:before="0" w:after="0"/>
        <w:jc w:val="center"/>
        <w:rPr/>
      </w:pPr>
      <w:r>
        <w:rPr>
          <w:rFonts w:ascii="Arial;sans-serif" w:hAnsi="Arial;sans-serif"/>
          <w:b/>
          <w:color w:val="231F20"/>
          <w:sz w:val="20"/>
        </w:rPr>
        <w:t>__________________</w:t>
      </w:r>
      <w:r>
        <w:rPr>
          <w:rFonts w:ascii="Arial;sans-serif" w:hAnsi="Arial;sans-serif"/>
          <w:b/>
          <w:color w:val="000000"/>
          <w:sz w:val="20"/>
        </w:rPr>
        <w:t>________</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Amit Yoran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Chief Executive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Tenable Holdings,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6100 Merriweather Drive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Columbia, Maryland 21044</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(410) 872-0555</w:t>
      </w:r>
    </w:p>
    <w:p>
      <w:pPr>
        <w:pStyle w:val="TextBody"/>
        <w:bidi w:val="0"/>
        <w:spacing w:lineRule="auto" w:line="417" w:before="0" w:after="0"/>
        <w:jc w:val="center"/>
        <w:rPr>
          <w:rFonts w:ascii="Arial;sans-serif" w:hAnsi="Arial;sans-serif"/>
          <w:b w:val="false"/>
          <w:color w:val="000000"/>
          <w:sz w:val="16"/>
        </w:rPr>
      </w:pPr>
      <w:r>
        <w:rPr>
          <w:rFonts w:ascii="Arial;sans-serif" w:hAnsi="Arial;sans-serif"/>
          <w:b w:val="false"/>
          <w:color w:val="000000"/>
          <w:sz w:val="16"/>
        </w:rPr>
        <w:t>(Name and address of agent for service) (Telephone number, including area code, of agent for service)</w:t>
      </w:r>
    </w:p>
    <w:tbl>
      <w:tblPr>
        <w:tblW w:w="4782" w:type="dxa"/>
        <w:jc w:val="center"/>
        <w:tblInd w:w="0" w:type="dxa"/>
        <w:tblLayout w:type="fixed"/>
        <w:tblCellMar>
          <w:top w:w="28" w:type="dxa"/>
          <w:left w:w="28" w:type="dxa"/>
          <w:bottom w:w="28" w:type="dxa"/>
          <w:right w:w="28" w:type="dxa"/>
        </w:tblCellMar>
      </w:tblPr>
      <w:tblGrid>
        <w:gridCol w:w="739"/>
        <w:gridCol w:w="649"/>
        <w:gridCol w:w="652"/>
        <w:gridCol w:w="109"/>
        <w:gridCol w:w="109"/>
        <w:gridCol w:w="109"/>
        <w:gridCol w:w="706"/>
        <w:gridCol w:w="706"/>
        <w:gridCol w:w="1003"/>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Copies to:</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Eric C. Jensen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Michelle VonderHaar</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Madison A.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Tenable Holdings, Inc.</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Mark Ballantyne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6100 Merriweather Drive</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Cooley LLP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Columbia, Maryland 21044</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11951 Freedom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Reston, Virginia 20190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616"/>
        <w:gridCol w:w="1309"/>
        <w:gridCol w:w="1260"/>
        <w:gridCol w:w="221"/>
        <w:gridCol w:w="221"/>
        <w:gridCol w:w="221"/>
        <w:gridCol w:w="221"/>
        <w:gridCol w:w="221"/>
        <w:gridCol w:w="221"/>
        <w:gridCol w:w="1311"/>
        <w:gridCol w:w="1311"/>
        <w:gridCol w:w="1316"/>
        <w:gridCol w:w="221"/>
        <w:gridCol w:w="221"/>
        <w:gridCol w:w="314"/>
      </w:tblGrid>
      <w:tr>
        <w:trPr/>
        <w:tc>
          <w:tcPr>
            <w:tcW w:w="161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tc>
      </w:tr>
    </w:tbl>
    <w:p>
      <w:pPr>
        <w:pStyle w:val="TextBody"/>
        <w:bidi w:val="0"/>
        <w:spacing w:before="0" w:after="120"/>
        <w:jc w:val="center"/>
        <w:rPr/>
      </w:pPr>
      <w:r>
        <w:rPr/>
      </w:r>
    </w:p>
    <w:p>
      <w:pPr>
        <w:pStyle w:val="TextBody"/>
        <w:bidi w:val="0"/>
        <w:spacing w:before="0" w:after="12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REGISTRATION OF ADDITIONAL SHARES</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PURSUANT TO GENERAL INSTRUCTION E</w:t>
      </w:r>
    </w:p>
    <w:p>
      <w:pPr>
        <w:pStyle w:val="TextBody"/>
        <w:bidi w:val="0"/>
        <w:spacing w:lineRule="auto" w:line="288" w:before="0" w:after="240"/>
        <w:ind w:left="0" w:right="0" w:firstLine="360"/>
        <w:jc w:val="both"/>
        <w:rPr/>
      </w:pPr>
      <w:r>
        <w:rPr>
          <w:rFonts w:ascii="Arial;sans-serif" w:hAnsi="Arial;sans-serif"/>
          <w:b w:val="false"/>
          <w:color w:val="000000"/>
          <w:sz w:val="20"/>
        </w:rPr>
        <w:t>Pursuant to General Instruction E of Form S-8, Tenable Holdings, Inc. (the “</w:t>
      </w:r>
      <w:r>
        <w:rPr>
          <w:rFonts w:ascii="Arial;sans-serif" w:hAnsi="Arial;sans-serif"/>
          <w:b/>
          <w:i/>
          <w:color w:val="000000"/>
          <w:sz w:val="20"/>
        </w:rPr>
        <w:t>Registrant</w:t>
      </w:r>
      <w:r>
        <w:rPr>
          <w:color w:val="000000"/>
        </w:rPr>
        <w:t>”</w:t>
      </w:r>
      <w:r>
        <w:rPr>
          <w:rFonts w:ascii="Arial;sans-serif" w:hAnsi="Arial;sans-serif"/>
          <w:b w:val="false"/>
          <w:color w:val="000000"/>
          <w:sz w:val="20"/>
        </w:rPr>
        <w:t>) is filing this Registration Statement with the Securities and Exchange Commission (the “</w:t>
      </w:r>
      <w:r>
        <w:rPr>
          <w:rFonts w:ascii="Arial;sans-serif" w:hAnsi="Arial;sans-serif"/>
          <w:b/>
          <w:i/>
          <w:color w:val="000000"/>
          <w:sz w:val="20"/>
        </w:rPr>
        <w:t>Commission</w:t>
      </w:r>
      <w:r>
        <w:rPr>
          <w:color w:val="000000"/>
        </w:rPr>
        <w:t>”</w:t>
      </w:r>
      <w:r>
        <w:rPr>
          <w:rFonts w:ascii="Arial;sans-serif" w:hAnsi="Arial;sans-serif"/>
          <w:b w:val="false"/>
          <w:color w:val="000000"/>
          <w:sz w:val="20"/>
        </w:rPr>
        <w:t>) to register (1) 5,857,374 additional shares of its common stock under the 2018 Equity Incentive Plan (the "</w:t>
      </w:r>
      <w:r>
        <w:rPr>
          <w:rFonts w:ascii="Arial;sans-serif" w:hAnsi="Arial;sans-serif"/>
          <w:b/>
          <w:i/>
          <w:color w:val="000000"/>
          <w:sz w:val="20"/>
        </w:rPr>
        <w:t>2018 Plan</w:t>
      </w:r>
      <w:r>
        <w:rPr>
          <w:rFonts w:ascii="Arial;sans-serif" w:hAnsi="Arial;sans-serif"/>
          <w:b w:val="false"/>
          <w:color w:val="000000"/>
          <w:sz w:val="20"/>
        </w:rPr>
        <w:t>"), pursuant to the provisions of the 2018 Plan providing for an automatic increase in the number of shares common stock reserved and available for issuance under the 2018 Plan on January 1, 2024 and (2) 1,757,212 additional shares of its common stock under the 2018 Employee Stock Purchase Plan (the "</w:t>
      </w:r>
      <w:r>
        <w:rPr>
          <w:rFonts w:ascii="Arial;sans-serif" w:hAnsi="Arial;sans-serif"/>
          <w:b/>
          <w:i/>
          <w:color w:val="000000"/>
          <w:sz w:val="20"/>
        </w:rPr>
        <w:t>2018 ESPP</w:t>
      </w:r>
      <w:r>
        <w:rPr>
          <w:rFonts w:ascii="Arial;sans-serif" w:hAnsi="Arial;sans-serif"/>
          <w:b w:val="false"/>
          <w:color w:val="000000"/>
          <w:sz w:val="20"/>
        </w:rPr>
        <w:t>"), pursuant to the provisions of 2018 ESPP providing for an automatic increase in the number of shares of common stock reserved and available for issuance under the 2018 ESPP on January 1, 2024. In accordance with the instructional note to Part I of Form S-8 as promulgated by the Commission, the information specified by Part I of the Form S-8 has been omitted from this Registration Statement.</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PART II</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3        Incorporation of Certain Documents by Reference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documents filed by the Registrant with the Commission are incorporated by reference into this Registration Statement:</w:t>
      </w:r>
    </w:p>
    <w:p>
      <w:pPr>
        <w:pStyle w:val="TextBody"/>
        <w:bidi w:val="0"/>
        <w:spacing w:lineRule="auto" w:line="288" w:before="0" w:after="240"/>
        <w:ind w:left="0" w:right="0" w:firstLine="360"/>
        <w:jc w:val="both"/>
        <w:rPr/>
      </w:pPr>
      <w:r>
        <w:rPr>
          <w:rFonts w:ascii="Arial;sans-serif" w:hAnsi="Arial;sans-serif"/>
          <w:b w:val="false"/>
          <w:color w:val="000000"/>
          <w:sz w:val="20"/>
        </w:rPr>
        <w:t>a.</w:t>
      </w:r>
      <w:r>
        <w:rPr>
          <w:rFonts w:ascii="Arial;sans-serif" w:hAnsi="Arial;sans-serif"/>
          <w:b w:val="false"/>
          <w:color w:val="000000"/>
          <w:sz w:val="20"/>
        </w:rPr>
        <w:t>The contents of the Registrant’s Registration Statement on Form S-8 (File No. 333-270021), filed with the Commission on February 24, 2023;</w:t>
      </w:r>
    </w:p>
    <w:p>
      <w:pPr>
        <w:pStyle w:val="TextBody"/>
        <w:bidi w:val="0"/>
        <w:spacing w:lineRule="auto" w:line="288" w:before="0" w:after="240"/>
        <w:ind w:left="0" w:right="0" w:firstLine="360"/>
        <w:jc w:val="both"/>
        <w:rPr/>
      </w:pPr>
      <w:r>
        <w:rPr>
          <w:rFonts w:ascii="Arial;sans-serif" w:hAnsi="Arial;sans-serif"/>
          <w:b w:val="false"/>
          <w:color w:val="000000"/>
          <w:sz w:val="20"/>
        </w:rPr>
        <w:t>b.</w:t>
      </w:r>
      <w:r>
        <w:rPr>
          <w:rFonts w:ascii="Arial;sans-serif" w:hAnsi="Arial;sans-serif"/>
          <w:b w:val="false"/>
          <w:color w:val="000000"/>
          <w:sz w:val="20"/>
        </w:rPr>
        <w:t>The Registrant’s Annual Report on Form 10-K for the fiscal year ended December 31, 2023, filed with the Commission on February 28, 2024;</w:t>
      </w:r>
    </w:p>
    <w:p>
      <w:pPr>
        <w:pStyle w:val="TextBody"/>
        <w:bidi w:val="0"/>
        <w:spacing w:lineRule="auto" w:line="288" w:before="0" w:after="240"/>
        <w:ind w:left="0" w:right="0" w:firstLine="360"/>
        <w:jc w:val="both"/>
        <w:rPr/>
      </w:pPr>
      <w:r>
        <w:rPr>
          <w:rFonts w:ascii="Arial;sans-serif" w:hAnsi="Arial;sans-serif"/>
          <w:b w:val="false"/>
          <w:color w:val="000000"/>
          <w:sz w:val="20"/>
        </w:rPr>
        <w:t>c.</w:t>
      </w:r>
      <w:r>
        <w:rPr>
          <w:rFonts w:ascii="Arial;sans-serif" w:hAnsi="Arial;sans-serif"/>
          <w:b w:val="false"/>
          <w:color w:val="000000"/>
          <w:sz w:val="20"/>
        </w:rPr>
        <w:t>All other reports of the Registrant filed pursuant to Sections 13(a) or 15(d) of the Securities Exchange Act of 1934, as amended (the “</w:t>
      </w:r>
      <w:r>
        <w:rPr>
          <w:rFonts w:ascii="Arial;sans-serif" w:hAnsi="Arial;sans-serif"/>
          <w:b/>
          <w:i/>
          <w:color w:val="000000"/>
          <w:sz w:val="20"/>
        </w:rPr>
        <w:t>Exchange Act</w:t>
      </w:r>
      <w:r>
        <w:rPr>
          <w:color w:val="000000"/>
        </w:rPr>
        <w:t>”</w:t>
      </w:r>
      <w:r>
        <w:rPr>
          <w:rFonts w:ascii="Arial;sans-serif" w:hAnsi="Arial;sans-serif"/>
          <w:b w:val="false"/>
          <w:color w:val="000000"/>
          <w:sz w:val="20"/>
        </w:rPr>
        <w:t>) since the end of the fiscal year covered by the Registrant’s Annual Report referred to in (b) above (other than Current Reports furnished under Item 2.02 or Item 7.01 of Form 8-K and exhibits furnished on such form that relate to such items).</w:t>
      </w:r>
    </w:p>
    <w:p>
      <w:pPr>
        <w:pStyle w:val="TextBody"/>
        <w:bidi w:val="0"/>
        <w:spacing w:lineRule="auto" w:line="288" w:before="0" w:after="240"/>
        <w:ind w:left="0" w:right="0" w:firstLine="360"/>
        <w:jc w:val="both"/>
        <w:rPr/>
      </w:pPr>
      <w:r>
        <w:rPr>
          <w:rFonts w:ascii="Arial;sans-serif" w:hAnsi="Arial;sans-serif"/>
          <w:b w:val="false"/>
          <w:color w:val="000000"/>
          <w:sz w:val="20"/>
        </w:rPr>
        <w:t>d.</w:t>
      </w:r>
      <w:r>
        <w:rPr>
          <w:rFonts w:ascii="Arial;sans-serif" w:hAnsi="Arial;sans-serif"/>
          <w:b w:val="false"/>
          <w:color w:val="000000"/>
          <w:sz w:val="20"/>
        </w:rPr>
        <w:t>The description of the Registrant’s common stock, which is contained in a registration statement on Form 8-A filed on July 20, 2018 (File No. 001-38600) under the Exchange Act, including any amendment or report filed for the purpose of updating such description.</w:t>
      </w:r>
    </w:p>
    <w:p>
      <w:pPr>
        <w:pStyle w:val="TextBody"/>
        <w:bidi w:val="0"/>
        <w:spacing w:lineRule="auto" w:line="288" w:before="0" w:after="240"/>
        <w:ind w:left="0" w:right="0" w:firstLine="360"/>
        <w:jc w:val="both"/>
        <w:rPr/>
      </w:pPr>
      <w:r>
        <w:rPr>
          <w:rFonts w:ascii="Arial;sans-serif" w:hAnsi="Arial;sans-serif"/>
          <w:b w:val="false"/>
          <w:color w:val="000000"/>
          <w:sz w:val="20"/>
        </w:rPr>
        <w:t>e.</w:t>
      </w:r>
      <w:r>
        <w:rPr>
          <w:rFonts w:ascii="Arial;sans-serif" w:hAnsi="Arial;sans-serif"/>
          <w:b w:val="false"/>
          <w:color w:val="000000"/>
          <w:sz w:val="20"/>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8        Exhibits</w:t>
      </w:r>
    </w:p>
    <w:tbl>
      <w:tblPr>
        <w:tblW w:w="10205" w:type="dxa"/>
        <w:jc w:val="left"/>
        <w:tblInd w:w="0" w:type="dxa"/>
        <w:tblLayout w:type="fixed"/>
        <w:tblCellMar>
          <w:top w:w="28" w:type="dxa"/>
          <w:left w:w="28" w:type="dxa"/>
          <w:bottom w:w="28" w:type="dxa"/>
          <w:right w:w="28" w:type="dxa"/>
        </w:tblCellMar>
      </w:tblPr>
      <w:tblGrid>
        <w:gridCol w:w="348"/>
        <w:gridCol w:w="305"/>
        <w:gridCol w:w="306"/>
        <w:gridCol w:w="109"/>
        <w:gridCol w:w="109"/>
        <w:gridCol w:w="109"/>
        <w:gridCol w:w="1270"/>
        <w:gridCol w:w="1270"/>
        <w:gridCol w:w="1282"/>
        <w:gridCol w:w="109"/>
        <w:gridCol w:w="109"/>
        <w:gridCol w:w="109"/>
        <w:gridCol w:w="339"/>
        <w:gridCol w:w="339"/>
        <w:gridCol w:w="340"/>
        <w:gridCol w:w="110"/>
        <w:gridCol w:w="110"/>
        <w:gridCol w:w="110"/>
        <w:gridCol w:w="292"/>
        <w:gridCol w:w="292"/>
        <w:gridCol w:w="293"/>
        <w:gridCol w:w="110"/>
        <w:gridCol w:w="110"/>
        <w:gridCol w:w="110"/>
        <w:gridCol w:w="230"/>
        <w:gridCol w:w="230"/>
        <w:gridCol w:w="231"/>
        <w:gridCol w:w="110"/>
        <w:gridCol w:w="110"/>
        <w:gridCol w:w="110"/>
        <w:gridCol w:w="400"/>
        <w:gridCol w:w="400"/>
        <w:gridCol w:w="394"/>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Incorporated by Reference</w:t>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Schedule Form</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File Number</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Filing Date</w:t>
            </w:r>
          </w:p>
        </w:tc>
      </w:tr>
      <w:tr>
        <w:trPr/>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8"/>
                  <w:u w:val="single"/>
                </w:rPr>
                <w:t>Amended and Restated Certificate of Incorporation of the Registrant,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001-38600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30, 2018</w:t>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8"/>
                  <w:u w:val="single"/>
                </w:rPr>
                <w:t>Amended and Restated Bylaws of the Registrant,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001-38600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November 15, 2023</w:t>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8"/>
                  <w:u w:val="single"/>
                </w:rPr>
                <w:t>Form of Common Stock Certificate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S-1/A</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333-226002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16, 2018</w:t>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22824exhibit51.htm">
              <w:r>
                <w:rPr>
                  <w:rStyle w:val="InternetLink"/>
                  <w:rFonts w:ascii="Arial;sans-serif" w:hAnsi="Arial;sans-serif"/>
                  <w:b w:val="false"/>
                  <w:color w:val="0000FF"/>
                  <w:sz w:val="18"/>
                  <w:u w:val="single"/>
                </w:rPr>
                <w:t>Opinion of Cooley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22824exhibit231.htm">
              <w:r>
                <w:rPr>
                  <w:rStyle w:val="InternetLink"/>
                  <w:rFonts w:ascii="Arial;sans-serif" w:hAnsi="Arial;sans-serif"/>
                  <w:b w:val="false"/>
                  <w:color w:val="0000FF"/>
                  <w:sz w:val="18"/>
                  <w:u w:val="single"/>
                </w:rPr>
                <w:t>Consent of Ernst &amp; Young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22824exhibit51.htm">
              <w:r>
                <w:rPr>
                  <w:rStyle w:val="InternetLink"/>
                  <w:rFonts w:ascii="Arial;sans-serif" w:hAnsi="Arial;sans-serif"/>
                  <w:b w:val="false"/>
                  <w:color w:val="0000FF"/>
                  <w:sz w:val="18"/>
                  <w:u w:val="single"/>
                </w:rPr>
                <w:t>Consent of Cooley LLP (included in Exhibit 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186bfdcd8b4996bf84a151da4d8ed7_10">
              <w:r>
                <w:rPr>
                  <w:rStyle w:val="InternetLink"/>
                  <w:rFonts w:ascii="Arial;sans-serif" w:hAnsi="Arial;sans-serif"/>
                  <w:b w:val="false"/>
                  <w:color w:val="0000FF"/>
                  <w:sz w:val="18"/>
                  <w:u w:val="single"/>
                </w:rPr>
                <w:t>Power of Attorney (included on the signature page of this Form S-8)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8"/>
                  <w:u w:val="single"/>
                </w:rPr>
                <w:t>2018 Equity Incentive Plan and Forms of Stock Option Grant Notice and Agreement and Restricted Stock Unit Grant Notice and Agreement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333-226347</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26, 2018</w:t>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8"/>
                  <w:u w:val="single"/>
                </w:rPr>
                <w:t>Form of Restricted Stock Unit Grant Notice and Agreement under the 2018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10-Q</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001-38600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2, 2023</w:t>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8"/>
                  <w:u w:val="single"/>
                </w:rPr>
                <w:t>Form of Restricted Stock Unit Grant Notice and Agreement under the 2018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10-Q</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001-38600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November 9, 2023</w:t>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18"/>
                  <w:u w:val="single"/>
                </w:rPr>
                <w:t>2018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333-226347</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26, 2018</w:t>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18"/>
                  <w:u w:val="single"/>
                </w:rPr>
                <w:t>Form of Performance Restricted Stock Unit Grant Notice and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001-38600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28, 2022</w:t>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22824exhibit107.htm">
              <w:r>
                <w:rPr>
                  <w:rStyle w:val="InternetLink"/>
                  <w:rFonts w:ascii="Arial;sans-serif" w:hAnsi="Arial;sans-serif"/>
                  <w:b w:val="false"/>
                  <w:color w:val="0000FF"/>
                  <w:sz w:val="18"/>
                  <w:u w:val="single"/>
                </w:rPr>
                <w:t>Filing Fee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w:t>
      </w:r>
    </w:p>
    <w:p>
      <w:pPr>
        <w:pStyle w:val="TextBody"/>
        <w:bidi w:val="0"/>
        <w:spacing w:lineRule="auto" w:line="417" w:before="0" w:after="200"/>
        <w:jc w:val="left"/>
        <w:rPr>
          <w:rFonts w:ascii="Arial;sans-serif" w:hAnsi="Arial;sans-serif"/>
          <w:b w:val="false"/>
          <w:color w:val="000000"/>
          <w:sz w:val="18"/>
        </w:rPr>
      </w:pPr>
      <w:r>
        <w:rPr>
          <w:rFonts w:ascii="Arial;sans-serif" w:hAnsi="Arial;sans-serif"/>
          <w:b w:val="false"/>
          <w:color w:val="000000"/>
          <w:sz w:val="18"/>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Columbia, Maryland, on February 28, 2024.</w:t>
      </w:r>
    </w:p>
    <w:tbl>
      <w:tblPr>
        <w:tblW w:w="533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12"/>
        <w:gridCol w:w="412"/>
        <w:gridCol w:w="412"/>
        <w:gridCol w:w="997"/>
        <w:gridCol w:w="997"/>
        <w:gridCol w:w="14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TENABLE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Amit Yoran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Amit Yoran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Chief Executive Officer and Chairman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POWER OF ATTORNEY</w:t>
      </w:r>
    </w:p>
    <w:p>
      <w:pPr>
        <w:pStyle w:val="TextBody"/>
        <w:bidi w:val="0"/>
        <w:spacing w:lineRule="auto" w:line="288" w:before="0" w:after="240"/>
        <w:ind w:left="0" w:right="0" w:firstLine="360"/>
        <w:jc w:val="left"/>
        <w:rPr/>
      </w:pPr>
      <w:r>
        <w:rPr>
          <w:rFonts w:ascii="Arial;sans-serif" w:hAnsi="Arial;sans-serif"/>
          <w:b/>
          <w:color w:val="000000"/>
          <w:sz w:val="20"/>
        </w:rPr>
        <w:t>KNOW ALL PERSONS BY THESE PRESENTS</w:t>
      </w:r>
      <w:r>
        <w:rPr>
          <w:rFonts w:ascii="Arial;sans-serif" w:hAnsi="Arial;sans-serif"/>
          <w:b w:val="false"/>
          <w:color w:val="000000"/>
          <w:sz w:val="20"/>
        </w:rPr>
        <w:t>, that each person whose signature appears below constitutes and appoints Amit Yoran, Stephen A. Vintz and Michelle VonderHaar, and each or any one of them, as his or her true and lawful attorney-in-fact and agent, each with the full power of substitution and resubstitution, for him or her and in their name, place or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attorney-in-fact and agent, and each or any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Pursuant to the requirements of the Securities Act, this Registration Statement has been signed by the following persons in the capacities and on the dates indicated.</w:t>
      </w:r>
    </w:p>
    <w:tbl>
      <w:tblPr>
        <w:tblW w:w="10205" w:type="dxa"/>
        <w:jc w:val="center"/>
        <w:tblInd w:w="0" w:type="dxa"/>
        <w:tblLayout w:type="fixed"/>
        <w:tblCellMar>
          <w:top w:w="28" w:type="dxa"/>
          <w:left w:w="28" w:type="dxa"/>
          <w:bottom w:w="28" w:type="dxa"/>
          <w:right w:w="28" w:type="dxa"/>
        </w:tblCellMar>
      </w:tblPr>
      <w:tblGrid>
        <w:gridCol w:w="956"/>
        <w:gridCol w:w="839"/>
        <w:gridCol w:w="842"/>
        <w:gridCol w:w="109"/>
        <w:gridCol w:w="109"/>
        <w:gridCol w:w="109"/>
        <w:gridCol w:w="1730"/>
        <w:gridCol w:w="1727"/>
        <w:gridCol w:w="1750"/>
        <w:gridCol w:w="109"/>
        <w:gridCol w:w="109"/>
        <w:gridCol w:w="109"/>
        <w:gridCol w:w="494"/>
        <w:gridCol w:w="494"/>
        <w:gridCol w:w="719"/>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Date</w:t>
            </w:r>
          </w:p>
        </w:tc>
      </w:tr>
      <w:tr>
        <w:trPr/>
        <w:tc>
          <w:tcPr>
            <w:tcW w:w="2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Amit Yoran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 and 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r>
      <w:tr>
        <w:trPr/>
        <w:tc>
          <w:tcPr>
            <w:tcW w:w="2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Amit Yoran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Stephen A. Vintz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r>
      <w:tr>
        <w:trPr/>
        <w:tc>
          <w:tcPr>
            <w:tcW w:w="2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A. Vintz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Arthur W. Coviello,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r>
      <w:tr>
        <w:trPr/>
        <w:tc>
          <w:tcPr>
            <w:tcW w:w="2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Arthur W. Coviello,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Linda Zecher Higgins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r>
      <w:tr>
        <w:trPr/>
        <w:tc>
          <w:tcPr>
            <w:tcW w:w="2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Linda Zecher Higgins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Niloofar Razi Howe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r>
      <w:tr>
        <w:trPr/>
        <w:tc>
          <w:tcPr>
            <w:tcW w:w="2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Niloofar Razi Howe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John C. Huffard,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r>
      <w:tr>
        <w:trPr/>
        <w:tc>
          <w:tcPr>
            <w:tcW w:w="2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John C. Huffard,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Margaret Keane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r>
      <w:tr>
        <w:trPr/>
        <w:tc>
          <w:tcPr>
            <w:tcW w:w="2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Margaret Keane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 Brooke Seawell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r>
      <w:tr>
        <w:trPr/>
        <w:tc>
          <w:tcPr>
            <w:tcW w:w="2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 Brooke Seawell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George Alexander Tosheff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r>
      <w:tr>
        <w:trPr/>
        <w:tc>
          <w:tcPr>
            <w:tcW w:w="2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George Alexander Tosheff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Raymond Vicks,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r>
      <w:tr>
        <w:trPr/>
        <w:tc>
          <w:tcPr>
            <w:tcW w:w="2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Raymond Vicks,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107</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9.2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CALCULATION OF FILING FEE TABLE</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FORM S-8</w:t>
      </w:r>
    </w:p>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(Form Type)</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327"/>
        <w:gridCol w:w="288"/>
        <w:gridCol w:w="289"/>
        <w:gridCol w:w="520"/>
        <w:gridCol w:w="404"/>
        <w:gridCol w:w="406"/>
        <w:gridCol w:w="392"/>
        <w:gridCol w:w="392"/>
        <w:gridCol w:w="393"/>
        <w:gridCol w:w="403"/>
        <w:gridCol w:w="403"/>
        <w:gridCol w:w="404"/>
        <w:gridCol w:w="455"/>
        <w:gridCol w:w="455"/>
        <w:gridCol w:w="456"/>
        <w:gridCol w:w="859"/>
        <w:gridCol w:w="434"/>
        <w:gridCol w:w="435"/>
        <w:gridCol w:w="364"/>
        <w:gridCol w:w="364"/>
        <w:gridCol w:w="368"/>
        <w:gridCol w:w="404"/>
        <w:gridCol w:w="404"/>
        <w:gridCol w:w="586"/>
      </w:tblGrid>
      <w:tr>
        <w:trPr/>
        <w:tc>
          <w:tcPr>
            <w:tcW w:w="32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9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Security Type</w:t>
            </w:r>
          </w:p>
        </w:tc>
        <w:tc>
          <w:tcPr>
            <w:tcW w:w="1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Security Class Title</w:t>
            </w:r>
          </w:p>
        </w:tc>
        <w:tc>
          <w:tcPr>
            <w:tcW w:w="11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Fee Calculation Rule</w:t>
            </w:r>
          </w:p>
        </w:tc>
        <w:tc>
          <w:tcPr>
            <w:tcW w:w="12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Amount Registered</w:t>
            </w:r>
            <w:r>
              <w:rPr>
                <w:rFonts w:ascii="Arial;sans-serif" w:hAnsi="Arial;sans-serif"/>
                <w:b/>
                <w:color w:val="000000"/>
                <w:sz w:val="12"/>
              </w:rPr>
              <w:t>(1)</w:t>
            </w:r>
          </w:p>
        </w:tc>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Proposed Maximum Offering Price per Share</w:t>
            </w:r>
          </w:p>
        </w:tc>
        <w:tc>
          <w:tcPr>
            <w:tcW w:w="17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Maximum Aggregate Offering Price</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Fee Rate</w:t>
            </w:r>
          </w:p>
        </w:tc>
        <w:tc>
          <w:tcPr>
            <w:tcW w:w="13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 of Registration Fee</w:t>
            </w:r>
          </w:p>
        </w:tc>
      </w:tr>
      <w:tr>
        <w:trPr/>
        <w:tc>
          <w:tcPr>
            <w:tcW w:w="9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Equity</w:t>
            </w:r>
          </w:p>
        </w:tc>
        <w:tc>
          <w:tcPr>
            <w:tcW w:w="1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Common Stock, par value $0.01 per share,</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2018 Equity Incentive Plan</w:t>
            </w:r>
          </w:p>
        </w:tc>
        <w:tc>
          <w:tcPr>
            <w:tcW w:w="11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Other</w:t>
            </w:r>
            <w:r>
              <w:rPr>
                <w:rFonts w:ascii="Arial;sans-serif" w:hAnsi="Arial;sans-serif"/>
                <w:b w:val="false"/>
                <w:color w:val="000000"/>
                <w:sz w:val="12"/>
              </w:rPr>
              <w:t>(2)</w:t>
            </w:r>
          </w:p>
        </w:tc>
        <w:tc>
          <w:tcPr>
            <w:tcW w:w="12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5,857,374</w:t>
            </w:r>
            <w:r>
              <w:rPr>
                <w:rFonts w:ascii="Arial;sans-serif" w:hAnsi="Arial;sans-serif"/>
                <w:b w:val="false"/>
                <w:color w:val="000000"/>
                <w:sz w:val="12"/>
              </w:rPr>
              <w:t>(3)</w:t>
            </w:r>
          </w:p>
        </w:tc>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$47.60</w:t>
            </w:r>
            <w:r>
              <w:rPr>
                <w:rFonts w:ascii="Arial;sans-serif" w:hAnsi="Arial;sans-serif"/>
                <w:b w:val="false"/>
                <w:color w:val="000000"/>
                <w:sz w:val="12"/>
              </w:rPr>
              <w:t>(2)</w:t>
            </w:r>
          </w:p>
        </w:tc>
        <w:tc>
          <w:tcPr>
            <w:tcW w:w="17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$278,811,002.40</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$0.0001476</w:t>
            </w:r>
          </w:p>
        </w:tc>
        <w:tc>
          <w:tcPr>
            <w:tcW w:w="13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$41,152.50</w:t>
            </w:r>
          </w:p>
        </w:tc>
      </w:tr>
      <w:tr>
        <w:trPr/>
        <w:tc>
          <w:tcPr>
            <w:tcW w:w="9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Equity</w:t>
            </w:r>
          </w:p>
        </w:tc>
        <w:tc>
          <w:tcPr>
            <w:tcW w:w="1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Common Stock, par value $0.01 per share,</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2018 Employee Stock Purchase Plan</w:t>
            </w:r>
          </w:p>
        </w:tc>
        <w:tc>
          <w:tcPr>
            <w:tcW w:w="11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Other</w:t>
            </w:r>
            <w:r>
              <w:rPr>
                <w:rFonts w:ascii="Arial;sans-serif" w:hAnsi="Arial;sans-serif"/>
                <w:b w:val="false"/>
                <w:color w:val="000000"/>
                <w:sz w:val="12"/>
              </w:rPr>
              <w:t>(4)</w:t>
            </w:r>
          </w:p>
        </w:tc>
        <w:tc>
          <w:tcPr>
            <w:tcW w:w="12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1,757,212</w:t>
            </w:r>
            <w:r>
              <w:rPr>
                <w:rFonts w:ascii="Arial;sans-serif" w:hAnsi="Arial;sans-serif"/>
                <w:b w:val="false"/>
                <w:color w:val="000000"/>
                <w:sz w:val="12"/>
              </w:rPr>
              <w:t>(5)</w:t>
            </w:r>
          </w:p>
        </w:tc>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$40.46</w:t>
            </w:r>
            <w:r>
              <w:rPr>
                <w:rFonts w:ascii="Arial;sans-serif" w:hAnsi="Arial;sans-serif"/>
                <w:b w:val="false"/>
                <w:color w:val="000000"/>
                <w:sz w:val="12"/>
              </w:rPr>
              <w:t>(4)</w:t>
            </w:r>
          </w:p>
        </w:tc>
        <w:tc>
          <w:tcPr>
            <w:tcW w:w="17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$71,096,797.52</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$0.0001476</w:t>
            </w:r>
          </w:p>
        </w:tc>
        <w:tc>
          <w:tcPr>
            <w:tcW w:w="13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$10,493.89</w:t>
            </w:r>
          </w:p>
        </w:tc>
      </w:tr>
      <w:tr>
        <w:trPr/>
        <w:tc>
          <w:tcPr>
            <w:tcW w:w="90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Offering Amounts</w:t>
            </w:r>
          </w:p>
        </w:tc>
        <w:tc>
          <w:tcPr>
            <w:tcW w:w="117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$349,907,799.92</w:t>
            </w:r>
          </w:p>
        </w:tc>
        <w:tc>
          <w:tcPr>
            <w:tcW w:w="109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$51,646.39</w:t>
            </w:r>
          </w:p>
        </w:tc>
      </w:tr>
      <w:tr>
        <w:trPr/>
        <w:tc>
          <w:tcPr>
            <w:tcW w:w="90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Fee Offsets</w:t>
            </w:r>
          </w:p>
        </w:tc>
        <w:tc>
          <w:tcPr>
            <w:tcW w:w="117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90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left w:val="single" w:sz="8" w:space="0" w:color="000000"/>
              <w:bottom w:val="single" w:sz="8" w:space="0" w:color="000000"/>
            </w:tcBorders>
            <w:tcMar>
              <w:top w:w="30" w:type="dxa"/>
              <w:left w:w="14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Fee Due</w:t>
            </w:r>
          </w:p>
        </w:tc>
        <w:tc>
          <w:tcPr>
            <w:tcW w:w="117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$51,646.39</w:t>
            </w:r>
          </w:p>
        </w:tc>
      </w:tr>
    </w:tbl>
    <w:p>
      <w:pPr>
        <w:pStyle w:val="TextBody"/>
        <w:bidi w:val="0"/>
        <w:spacing w:lineRule="auto" w:line="288" w:before="0" w:after="120"/>
        <w:ind w:left="0" w:right="0" w:hanging="360"/>
        <w:jc w:val="both"/>
        <w:rPr/>
      </w:pPr>
      <w:r>
        <w:rPr>
          <w:rFonts w:ascii="Arial;sans-serif" w:hAnsi="Arial;sans-serif"/>
          <w:b w:val="false"/>
          <w:color w:val="000000"/>
          <w:sz w:val="18"/>
        </w:rPr>
        <w:t>(1)Pursuant to Rule 416(a) promulgated under the Securities Act of 1933, as amended (the “</w:t>
      </w:r>
      <w:r>
        <w:rPr>
          <w:rFonts w:ascii="Arial;sans-serif" w:hAnsi="Arial;sans-serif"/>
          <w:b/>
          <w:i/>
          <w:color w:val="000000"/>
          <w:sz w:val="18"/>
        </w:rPr>
        <w:t>Securities Act</w:t>
      </w:r>
      <w:r>
        <w:rPr>
          <w:color w:val="000000"/>
        </w:rPr>
        <w:t>”</w:t>
      </w:r>
      <w:r>
        <w:rPr>
          <w:rFonts w:ascii="Arial;sans-serif" w:hAnsi="Arial;sans-serif"/>
          <w:b w:val="false"/>
          <w:color w:val="000000"/>
          <w:sz w:val="18"/>
        </w:rPr>
        <w:t>), this Registration Statement shall also cover any additional shares of common stock of Tenable Holdings, Inc. (the “</w:t>
      </w:r>
      <w:r>
        <w:rPr>
          <w:rFonts w:ascii="Arial;sans-serif" w:hAnsi="Arial;sans-serif"/>
          <w:b/>
          <w:i/>
          <w:color w:val="000000"/>
          <w:sz w:val="18"/>
        </w:rPr>
        <w:t>Registrant</w:t>
      </w:r>
      <w:r>
        <w:rPr>
          <w:color w:val="000000"/>
        </w:rPr>
        <w:t>”</w:t>
      </w:r>
      <w:r>
        <w:rPr>
          <w:rFonts w:ascii="Arial;sans-serif" w:hAnsi="Arial;sans-serif"/>
          <w:b w:val="false"/>
          <w:color w:val="000000"/>
          <w:sz w:val="18"/>
        </w:rPr>
        <w:t>) that become issuable under the plans set forth herein by reason of any stock dividend, stock split, recapitalization, or other similar transaction effected that results in an increase to the number of outstanding shares of Registrant’s common stock.</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(2)    Estimated in accordance with Rule 457(c) and (h) solely for purposes of calculating the registration fee on the basis of $47.60, the average of the high and low prices of the Registrant’s common stock as reported on the Nasdaq Global Select Market on February 23, 2024.</w:t>
      </w:r>
    </w:p>
    <w:p>
      <w:pPr>
        <w:pStyle w:val="TextBody"/>
        <w:bidi w:val="0"/>
        <w:spacing w:lineRule="auto" w:line="288" w:before="0" w:after="120"/>
        <w:ind w:left="0" w:right="0" w:hanging="360"/>
        <w:jc w:val="both"/>
        <w:rPr/>
      </w:pPr>
      <w:r>
        <w:rPr>
          <w:rFonts w:ascii="Arial;sans-serif" w:hAnsi="Arial;sans-serif"/>
          <w:b w:val="false"/>
          <w:color w:val="000000"/>
          <w:sz w:val="18"/>
        </w:rPr>
        <w:t>(3)    Represents an automatic annual increase equal to 5% of the total number of shares of the Registrant’s capital stock outstanding on December 31</w:t>
      </w:r>
      <w:r>
        <w:rPr>
          <w:rFonts w:ascii="Arial;sans-serif" w:hAnsi="Arial;sans-serif"/>
          <w:b w:val="false"/>
          <w:color w:val="000000"/>
          <w:sz w:val="12"/>
        </w:rPr>
        <w:t>st</w:t>
      </w:r>
      <w:r>
        <w:rPr>
          <w:color w:val="000000"/>
        </w:rPr>
        <w:t xml:space="preserve"> </w:t>
      </w:r>
      <w:r>
        <w:rPr>
          <w:rFonts w:ascii="Arial;sans-serif" w:hAnsi="Arial;sans-serif"/>
          <w:b w:val="false"/>
          <w:color w:val="000000"/>
          <w:sz w:val="18"/>
        </w:rPr>
        <w:t>of the preceding calendar year to the aggregate number of shares of the Registrant’s common stock reserved for issuance under, and which annual increase is provided by, the Registrant’s 2018 Equity Incentive Plan.</w:t>
      </w:r>
    </w:p>
    <w:p>
      <w:pPr>
        <w:pStyle w:val="TextBody"/>
        <w:bidi w:val="0"/>
        <w:spacing w:lineRule="auto" w:line="288" w:before="0" w:after="120"/>
        <w:ind w:left="0" w:right="0" w:hanging="360"/>
        <w:jc w:val="both"/>
        <w:rPr/>
      </w:pPr>
      <w:r>
        <w:rPr>
          <w:rFonts w:ascii="Arial;sans-serif" w:hAnsi="Arial;sans-serif"/>
          <w:b w:val="false"/>
          <w:color w:val="000000"/>
          <w:sz w:val="18"/>
        </w:rPr>
        <w:t>(4)    Estimated in accordance with Rule 457(c) and (h) solely for the purpose of calculating the registration fee on the basis of $40.46, the average of the high and low prices of the Registrant’s common stock as reported on the Nasdaq Global Select Market on February 23, 2024, multiplied by 85%, which is the percentage of the price per share applicable to purchases under the 2018 Employee Stock Purchase Plan (the “</w:t>
      </w:r>
      <w:r>
        <w:rPr>
          <w:rFonts w:ascii="Arial;sans-serif" w:hAnsi="Arial;sans-serif"/>
          <w:b/>
          <w:i/>
          <w:color w:val="000000"/>
          <w:sz w:val="18"/>
        </w:rPr>
        <w:t>2018 ESPP</w:t>
      </w:r>
      <w:r>
        <w:rPr>
          <w:color w:val="000000"/>
        </w:rPr>
        <w:t>”</w:t>
      </w:r>
      <w:r>
        <w:rPr>
          <w:rFonts w:ascii="Arial;sans-serif" w:hAnsi="Arial;sans-serif"/>
          <w:b w:val="false"/>
          <w:color w:val="000000"/>
          <w:sz w:val="18"/>
        </w:rPr>
        <w:t>).</w:t>
      </w:r>
    </w:p>
    <w:p>
      <w:pPr>
        <w:pStyle w:val="TextBody"/>
        <w:bidi w:val="0"/>
        <w:spacing w:lineRule="auto" w:line="288" w:before="0" w:after="120"/>
        <w:ind w:left="0" w:right="0" w:hanging="360"/>
        <w:jc w:val="both"/>
        <w:rPr/>
      </w:pPr>
      <w:r>
        <w:rPr>
          <w:rFonts w:ascii="Arial;sans-serif" w:hAnsi="Arial;sans-serif"/>
          <w:b w:val="false"/>
          <w:color w:val="000000"/>
          <w:sz w:val="18"/>
        </w:rPr>
        <w:t>(5)    Represents an automatic increase equal to 1.5% of the total number of shares of the Registrant’s capital stock outstanding on December 31</w:t>
      </w:r>
      <w:r>
        <w:rPr>
          <w:rFonts w:ascii="Arial;sans-serif" w:hAnsi="Arial;sans-serif"/>
          <w:b w:val="false"/>
          <w:color w:val="000000"/>
          <w:sz w:val="12"/>
        </w:rPr>
        <w:t>st</w:t>
      </w:r>
      <w:r>
        <w:rPr>
          <w:color w:val="000000"/>
        </w:rPr>
        <w:t xml:space="preserve"> </w:t>
      </w:r>
      <w:r>
        <w:rPr>
          <w:rFonts w:ascii="Arial;sans-serif" w:hAnsi="Arial;sans-serif"/>
          <w:b w:val="false"/>
          <w:color w:val="000000"/>
          <w:sz w:val="18"/>
        </w:rPr>
        <w:t>of the preceding calendar year to the aggregate number of shares of the Registrant’s common stock reserved for issuance under, and which annual increase is provided by, the 2018 ESPP.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drawing>
          <wp:inline distT="0" distB="0" distL="0" distR="0">
            <wp:extent cx="1390650" cy="47625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10"/>
                    <a:stretch>
                      <a:fillRect/>
                    </a:stretch>
                  </pic:blipFill>
                  <pic:spPr bwMode="auto">
                    <a:xfrm>
                      <a:off x="0" y="0"/>
                      <a:ext cx="1390650" cy="476250"/>
                    </a:xfrm>
                    <a:prstGeom prst="rect">
                      <a:avLst/>
                    </a:prstGeom>
                  </pic:spPr>
                </pic:pic>
              </a:graphicData>
            </a:graphic>
          </wp:inline>
        </w:drawing>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Mark Ballantyne</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 +1 703 456 8084</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mballantyne@cooley.com</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February 28, 2024</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Tenable Holdings, Inc.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6100 Merriweather Drive</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Columbia, MD 21044</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Re: Registration on Form S-8</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Ladies and Gentlemen:</w:t>
      </w:r>
    </w:p>
    <w:p>
      <w:pPr>
        <w:pStyle w:val="TextBody"/>
        <w:bidi w:val="0"/>
        <w:spacing w:lineRule="auto" w:line="288" w:before="0" w:after="240"/>
        <w:jc w:val="both"/>
        <w:rPr/>
      </w:pPr>
      <w:r>
        <w:rPr>
          <w:rFonts w:ascii="Arial;sans-serif" w:hAnsi="Arial;sans-serif"/>
          <w:b w:val="false"/>
          <w:color w:val="000000"/>
          <w:sz w:val="22"/>
        </w:rPr>
        <w:t>We have acted as counsel to Tenable Holdings, Inc., a Delaware corporation (the “</w:t>
      </w:r>
      <w:r>
        <w:rPr>
          <w:rFonts w:ascii="Arial;sans-serif" w:hAnsi="Arial;sans-serif"/>
          <w:b/>
          <w:color w:val="000000"/>
          <w:sz w:val="22"/>
        </w:rPr>
        <w:t>Company</w:t>
      </w:r>
      <w:r>
        <w:rPr>
          <w:color w:val="000000"/>
        </w:rPr>
        <w:t>”</w:t>
      </w:r>
      <w:r>
        <w:rPr>
          <w:rFonts w:ascii="Arial;sans-serif" w:hAnsi="Arial;sans-serif"/>
          <w:b w:val="false"/>
          <w:color w:val="000000"/>
          <w:sz w:val="22"/>
        </w:rPr>
        <w:t>), in connection with the filing of a Registration Statement on Form S-8 (the “</w:t>
      </w:r>
      <w:r>
        <w:rPr>
          <w:rFonts w:ascii="Arial;sans-serif" w:hAnsi="Arial;sans-serif"/>
          <w:b/>
          <w:color w:val="000000"/>
          <w:sz w:val="22"/>
        </w:rPr>
        <w:t>Registration Statement</w:t>
      </w:r>
      <w:r>
        <w:rPr>
          <w:color w:val="000000"/>
        </w:rPr>
        <w:t>”</w:t>
      </w:r>
      <w:r>
        <w:rPr>
          <w:rFonts w:ascii="Arial;sans-serif" w:hAnsi="Arial;sans-serif"/>
          <w:b w:val="false"/>
          <w:color w:val="000000"/>
          <w:sz w:val="22"/>
        </w:rPr>
        <w:t>) with the Securities and Exchange Commission (the “</w:t>
      </w:r>
      <w:r>
        <w:rPr>
          <w:rFonts w:ascii="Arial;sans-serif" w:hAnsi="Arial;sans-serif"/>
          <w:b/>
          <w:i/>
          <w:color w:val="000000"/>
          <w:sz w:val="22"/>
        </w:rPr>
        <w:t>Commission</w:t>
      </w:r>
      <w:r>
        <w:rPr>
          <w:color w:val="000000"/>
        </w:rPr>
        <w:t>”</w:t>
      </w:r>
      <w:r>
        <w:rPr>
          <w:rFonts w:ascii="Arial;sans-serif" w:hAnsi="Arial;sans-serif"/>
          <w:b w:val="false"/>
          <w:color w:val="000000"/>
          <w:sz w:val="22"/>
        </w:rPr>
        <w:t>), covering the offering of up to 7,614,586 shares (the “</w:t>
      </w:r>
      <w:r>
        <w:rPr>
          <w:rFonts w:ascii="Arial;sans-serif" w:hAnsi="Arial;sans-serif"/>
          <w:b/>
          <w:i/>
          <w:color w:val="000000"/>
          <w:sz w:val="22"/>
        </w:rPr>
        <w:t>Shares</w:t>
      </w:r>
      <w:r>
        <w:rPr>
          <w:color w:val="000000"/>
        </w:rPr>
        <w:t>”</w:t>
      </w:r>
      <w:r>
        <w:rPr>
          <w:rFonts w:ascii="Arial;sans-serif" w:hAnsi="Arial;sans-serif"/>
          <w:b w:val="false"/>
          <w:color w:val="000000"/>
          <w:sz w:val="22"/>
        </w:rPr>
        <w:t>) of the Company’s common stock, par value $0.01 per share (the “</w:t>
      </w:r>
      <w:r>
        <w:rPr>
          <w:rFonts w:ascii="Arial;sans-serif" w:hAnsi="Arial;sans-serif"/>
          <w:b/>
          <w:i/>
          <w:color w:val="000000"/>
          <w:sz w:val="22"/>
        </w:rPr>
        <w:t>Common Stock</w:t>
      </w:r>
      <w:r>
        <w:rPr>
          <w:color w:val="000000"/>
        </w:rPr>
        <w:t>”</w:t>
      </w:r>
      <w:r>
        <w:rPr>
          <w:rFonts w:ascii="Arial;sans-serif" w:hAnsi="Arial;sans-serif"/>
          <w:b w:val="false"/>
          <w:color w:val="000000"/>
          <w:sz w:val="22"/>
        </w:rPr>
        <w:t>) consisting of (a) 5,857,374 shares of Common Stock issuable pursuant to the Company’s 2018 Equity Incentive Plan (the “</w:t>
      </w:r>
      <w:r>
        <w:rPr>
          <w:rFonts w:ascii="Arial;sans-serif" w:hAnsi="Arial;sans-serif"/>
          <w:b/>
          <w:i/>
          <w:color w:val="000000"/>
          <w:sz w:val="22"/>
        </w:rPr>
        <w:t>2018 EIP</w:t>
      </w:r>
      <w:r>
        <w:rPr>
          <w:color w:val="000000"/>
        </w:rPr>
        <w:t>”</w:t>
      </w:r>
      <w:r>
        <w:rPr>
          <w:rFonts w:ascii="Arial;sans-serif" w:hAnsi="Arial;sans-serif"/>
          <w:b w:val="false"/>
          <w:color w:val="000000"/>
          <w:sz w:val="22"/>
        </w:rPr>
        <w:t>) and (b) 1,757,212 shares of Common Stock issuable pursuant to the Company’s 2018 Employee Stock Purchase Plan (together with the Company’s 2018 EIP, the “</w:t>
      </w:r>
      <w:r>
        <w:rPr>
          <w:rFonts w:ascii="Arial;sans-serif" w:hAnsi="Arial;sans-serif"/>
          <w:b/>
          <w:color w:val="000000"/>
          <w:sz w:val="22"/>
        </w:rPr>
        <w:t>Plans</w:t>
      </w:r>
      <w:r>
        <w:rPr>
          <w:color w:val="000000"/>
        </w:rPr>
        <w:t>”</w:t>
      </w:r>
      <w:r>
        <w:rPr>
          <w:rFonts w:ascii="Arial;sans-serif" w:hAnsi="Arial;sans-serif"/>
          <w:b w:val="false"/>
          <w:color w:val="000000"/>
          <w:sz w:val="22"/>
        </w:rPr>
        <w:t xml:space="preserve">). </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In connection with this opinion, we have examined and relied upon (a) the Registration Statement and the related prospectuses, (b) the Company’s certificate of incorporation and bylaws, each as currently in effect, (c) the Plans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On the basis of the foregoing, and in reliance thereon, we are of the opinion that the Shares, when sold and issued in accordance with the Plans, the Registration Statement and the related prospectuses, will be validly issued, fully paid, and nonassessable (except as to Shares issued pursuant to deferred payment arrangements, which will be fully paid and nonassessable when such deferred payments are made in full).</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This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pStyle w:val="TextBody"/>
        <w:bidi w:val="0"/>
        <w:spacing w:before="0" w:after="240"/>
        <w:jc w:val="left"/>
        <w:rPr/>
      </w:pPr>
      <w:r>
        <w:rPr/>
        <w:drawing>
          <wp:inline distT="0" distB="0" distL="0" distR="0">
            <wp:extent cx="1390650" cy="47625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11"/>
                    <a:stretch>
                      <a:fillRect/>
                    </a:stretch>
                  </pic:blipFill>
                  <pic:spPr bwMode="auto">
                    <a:xfrm>
                      <a:off x="0" y="0"/>
                      <a:ext cx="1390650" cy="476250"/>
                    </a:xfrm>
                    <a:prstGeom prst="rect">
                      <a:avLst/>
                    </a:prstGeom>
                  </pic:spPr>
                </pic:pic>
              </a:graphicData>
            </a:graphic>
          </wp:inline>
        </w:drawing>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360"/>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 xml:space="preserve">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 </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Sincerely,</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Cooley LLP</w:t>
      </w:r>
    </w:p>
    <w:p>
      <w:pPr>
        <w:pStyle w:val="TextBody"/>
        <w:bidi w:val="0"/>
        <w:spacing w:lineRule="auto" w:line="288" w:before="0" w:after="120"/>
        <w:jc w:val="left"/>
        <w:rPr/>
      </w:pPr>
      <w:r>
        <w:rPr>
          <w:rFonts w:ascii="Arial;sans-serif" w:hAnsi="Arial;sans-serif"/>
          <w:b w:val="false"/>
          <w:color w:val="000000"/>
          <w:sz w:val="22"/>
        </w:rPr>
        <w:t xml:space="preserve">By: </w:t>
      </w:r>
      <w:r>
        <w:rPr>
          <w:rFonts w:ascii="Arial;sans-serif" w:hAnsi="Arial;sans-serif"/>
          <w:b w:val="false"/>
          <w:color w:val="000000"/>
          <w:sz w:val="22"/>
          <w:u w:val="single"/>
        </w:rPr>
        <w:t>/s/ Mark Ballantyne</w:t>
      </w:r>
    </w:p>
    <w:p>
      <w:pPr>
        <w:pStyle w:val="TextBody"/>
        <w:bidi w:val="0"/>
        <w:spacing w:lineRule="auto" w:line="288" w:before="0" w:after="240"/>
        <w:ind w:left="0" w:right="0" w:firstLine="720"/>
        <w:jc w:val="left"/>
        <w:rPr>
          <w:rFonts w:ascii="Arial;sans-serif" w:hAnsi="Arial;sans-serif"/>
          <w:b w:val="false"/>
          <w:color w:val="000000"/>
          <w:sz w:val="22"/>
        </w:rPr>
      </w:pPr>
      <w:r>
        <w:rPr>
          <w:rFonts w:ascii="Arial;sans-serif" w:hAnsi="Arial;sans-serif"/>
          <w:b w:val="false"/>
          <w:color w:val="000000"/>
          <w:sz w:val="22"/>
        </w:rPr>
        <w:t>Mark Ballantyne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23.1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240"/>
                        <w:ind w:left="0" w:right="0" w:firstLine="360"/>
                        <w:jc w:val="left"/>
                        <w:rPr/>
                      </w:pPr>
                      <w:r>
                        <w:rPr/>
                      </w:r>
                    </w:p>
                  </w:txbxContent>
                </v:textbox>
                <w10:wrap type="none"/>
              </v:rect>
            </w:pict>
          </mc:Fallback>
        </mc:AlternateContent>
      </w:r>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consent to the incorporation by reference in the Registration Statement (Form S-8) pertaining to the Tenable Holdings, Inc. 2018 Equity Incentive Plan and the Tenable Holdings, Inc. 2018 Employee Stock Purchase Plan of our reports dated February 28, 2024, with respect to the consolidated financial statements and schedule of Tenable Holdings, Inc. and the effectiveness of internal control over financial reporting of Tenable Holdings, Inc. included in its Annual Report (Form 10-K) for the year ended December 31, 2023, filed with the Securities and Exchange Commission.</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/s/ Ernst &amp; Young LLP</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Baltimore, Maryland</w:t>
      </w:r>
    </w:p>
    <w:p>
      <w:pPr>
        <w:pStyle w:val="TextBody"/>
        <w:bidi w:val="0"/>
        <w:spacing w:lineRule="auto" w:line="288" w:before="0" w:after="60"/>
        <w:jc w:val="both"/>
        <w:rPr>
          <w:rFonts w:ascii="Arial;sans-serif" w:hAnsi="Arial;sans-serif"/>
          <w:b w:val="false"/>
          <w:color w:val="000000"/>
          <w:sz w:val="20"/>
        </w:rPr>
      </w:pPr>
      <w:r>
        <w:rPr>
          <w:rFonts w:ascii="Arial;sans-serif" w:hAnsi="Arial;sans-serif"/>
          <w:b w:val="false"/>
          <w:color w:val="000000"/>
          <w:sz w:val="20"/>
        </w:rPr>
        <w:t>February 28, 2024</w:t>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60280/000119312518231446/d562353dex31.htm" TargetMode="External"/><Relationship Id="rId3" Type="http://schemas.openxmlformats.org/officeDocument/2006/relationships/hyperlink" Target="https://www.sec.gov/Archives/edgar/data/1660280/000166028023000147/ex31.htm" TargetMode="External"/><Relationship Id="rId4" Type="http://schemas.openxmlformats.org/officeDocument/2006/relationships/hyperlink" Target="http://www.sec.gov/Archives/edgar/data/1660280/000119312518218215/d548092dex41.htm" TargetMode="External"/><Relationship Id="rId5" Type="http://schemas.openxmlformats.org/officeDocument/2006/relationships/hyperlink" Target="http://www.sec.gov/Archives/edgar/data/1660280/000119312518226924/d494510dex104.htm" TargetMode="External"/><Relationship Id="rId6" Type="http://schemas.openxmlformats.org/officeDocument/2006/relationships/hyperlink" Target="https://www.sec.gov/Archives/edgar/data/1660280/000166028023000144/q32023exhibit101.htm" TargetMode="External"/><Relationship Id="rId7" Type="http://schemas.openxmlformats.org/officeDocument/2006/relationships/hyperlink" Target="https://www.sec.gov/Archives/edgar/data/1660280/000166028023000144/q32023exhibit101.htm" TargetMode="External"/><Relationship Id="rId8" Type="http://schemas.openxmlformats.org/officeDocument/2006/relationships/hyperlink" Target="http://www.sec.gov/Archives/edgar/data/1660280/000119312518226924/d494510dex105.htm" TargetMode="External"/><Relationship Id="rId9" Type="http://schemas.openxmlformats.org/officeDocument/2006/relationships/hyperlink" Target="http://www.sec.gov/Archives/edgar/data/1660280/000166028022000039/ex101performancevestrsuagr.htm" TargetMode="External"/><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2527</Words>
  <Characters>13658</Characters>
  <CharactersWithSpaces>15956</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