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12" w:lineRule="exact"/>
        <w:rPr>
          <w:sz w:val="24"/>
          <w:szCs w:val="24"/>
          <w:color w:val="auto"/>
        </w:rPr>
      </w:pPr>
    </w:p>
    <w:p>
      <w:pPr>
        <w:jc w:val="center"/>
        <w:ind w:left="320"/>
        <w:spacing w:after="0"/>
        <w:rPr>
          <w:sz w:val="20"/>
          <w:szCs w:val="20"/>
          <w:color w:val="auto"/>
        </w:rPr>
      </w:pPr>
      <w:r>
        <w:rPr>
          <w:rFonts w:ascii="Arial" w:cs="Arial" w:eastAsia="Arial" w:hAnsi="Arial"/>
          <w:sz w:val="25"/>
          <w:szCs w:val="25"/>
          <w:b w:val="1"/>
          <w:bCs w:val="1"/>
          <w:color w:val="231F20"/>
        </w:rPr>
        <w:t>UNITED STATES</w:t>
      </w:r>
    </w:p>
    <w:p>
      <w:pPr>
        <w:spacing w:after="0" w:line="42" w:lineRule="exact"/>
        <w:rPr>
          <w:sz w:val="24"/>
          <w:szCs w:val="24"/>
          <w:color w:val="auto"/>
        </w:rPr>
      </w:pPr>
    </w:p>
    <w:p>
      <w:pPr>
        <w:jc w:val="center"/>
        <w:ind w:left="320"/>
        <w:spacing w:after="0"/>
        <w:rPr>
          <w:sz w:val="20"/>
          <w:szCs w:val="20"/>
          <w:color w:val="auto"/>
        </w:rPr>
      </w:pPr>
      <w:r>
        <w:rPr>
          <w:rFonts w:ascii="Arial" w:cs="Arial" w:eastAsia="Arial" w:hAnsi="Arial"/>
          <w:sz w:val="25"/>
          <w:szCs w:val="25"/>
          <w:b w:val="1"/>
          <w:bCs w:val="1"/>
          <w:color w:val="231F20"/>
        </w:rPr>
        <w:t>SECURITIES AND EXCHANGE COMMISSION</w:t>
      </w:r>
    </w:p>
    <w:p>
      <w:pPr>
        <w:spacing w:after="0" w:line="60" w:lineRule="exact"/>
        <w:rPr>
          <w:sz w:val="24"/>
          <w:szCs w:val="24"/>
          <w:color w:val="auto"/>
        </w:rPr>
      </w:pPr>
    </w:p>
    <w:p>
      <w:pPr>
        <w:jc w:val="center"/>
        <w:ind w:left="320"/>
        <w:spacing w:after="0"/>
        <w:rPr>
          <w:sz w:val="20"/>
          <w:szCs w:val="20"/>
          <w:color w:val="auto"/>
        </w:rPr>
      </w:pPr>
      <w:r>
        <w:rPr>
          <w:rFonts w:ascii="Arial" w:cs="Arial" w:eastAsia="Arial" w:hAnsi="Arial"/>
          <w:sz w:val="14"/>
          <w:szCs w:val="14"/>
          <w:color w:val="231F20"/>
        </w:rPr>
        <w:t>Washington, D.C. 20549</w:t>
      </w:r>
    </w:p>
    <w:p>
      <w:pPr>
        <w:ind w:left="474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22" w:lineRule="exact"/>
        <w:rPr>
          <w:sz w:val="24"/>
          <w:szCs w:val="24"/>
          <w:color w:val="auto"/>
        </w:rPr>
      </w:pPr>
    </w:p>
    <w:p>
      <w:pPr>
        <w:jc w:val="center"/>
        <w:ind w:left="320"/>
        <w:spacing w:after="0"/>
        <w:rPr>
          <w:sz w:val="20"/>
          <w:szCs w:val="20"/>
          <w:color w:val="auto"/>
        </w:rPr>
      </w:pPr>
      <w:r>
        <w:rPr>
          <w:rFonts w:ascii="Arial" w:cs="Arial" w:eastAsia="Arial" w:hAnsi="Arial"/>
          <w:sz w:val="25"/>
          <w:szCs w:val="25"/>
          <w:b w:val="1"/>
          <w:bCs w:val="1"/>
          <w:color w:val="231F20"/>
        </w:rPr>
        <w:t>FORM 10-K</w:t>
      </w:r>
    </w:p>
    <w:p>
      <w:pPr>
        <w:spacing w:after="0" w:line="37" w:lineRule="exact"/>
        <w:rPr>
          <w:sz w:val="24"/>
          <w:szCs w:val="24"/>
          <w:color w:val="auto"/>
        </w:rPr>
      </w:pPr>
    </w:p>
    <w:p>
      <w:pPr>
        <w:ind w:left="474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61"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3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15" w:lineRule="exact"/>
        <w:rPr>
          <w:sz w:val="24"/>
          <w:szCs w:val="24"/>
          <w:color w:val="auto"/>
        </w:rPr>
      </w:pPr>
    </w:p>
    <w:p>
      <w:pPr>
        <w:ind w:left="5640"/>
        <w:spacing w:after="0"/>
        <w:rPr>
          <w:sz w:val="20"/>
          <w:szCs w:val="20"/>
          <w:color w:val="auto"/>
        </w:rPr>
      </w:pPr>
      <w:r>
        <w:rPr>
          <w:rFonts w:ascii="Arial" w:cs="Arial" w:eastAsia="Arial" w:hAnsi="Arial"/>
          <w:sz w:val="14"/>
          <w:szCs w:val="14"/>
          <w:b w:val="1"/>
          <w:bCs w:val="1"/>
          <w:color w:val="auto"/>
        </w:rPr>
        <w:t>or</w:t>
      </w:r>
    </w:p>
    <w:p>
      <w:pPr>
        <w:spacing w:after="0" w:line="159" w:lineRule="exact"/>
        <w:rPr>
          <w:sz w:val="24"/>
          <w:szCs w:val="24"/>
          <w:color w:val="auto"/>
        </w:rPr>
      </w:pPr>
    </w:p>
    <w:p>
      <w:pPr>
        <w:ind w:left="580" w:hanging="545"/>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8"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Commission file number 001-38600</w:t>
      </w:r>
    </w:p>
    <w:p>
      <w:pPr>
        <w:ind w:left="4740"/>
        <w:spacing w:after="0" w:line="229" w:lineRule="auto"/>
        <w:rPr>
          <w:sz w:val="20"/>
          <w:szCs w:val="20"/>
          <w:color w:val="auto"/>
        </w:rPr>
      </w:pPr>
      <w:r>
        <w:rPr>
          <w:rFonts w:ascii="Arial" w:cs="Arial" w:eastAsia="Arial" w:hAnsi="Arial"/>
          <w:sz w:val="11"/>
          <w:szCs w:val="11"/>
          <w:b w:val="1"/>
          <w:bCs w:val="1"/>
          <w:color w:val="auto"/>
        </w:rPr>
        <w:t>______________________________________</w:t>
      </w:r>
    </w:p>
    <w:p>
      <w:pPr>
        <w:jc w:val="center"/>
        <w:ind w:left="320"/>
        <w:spacing w:after="0"/>
        <w:rPr>
          <w:sz w:val="20"/>
          <w:szCs w:val="20"/>
          <w:color w:val="auto"/>
        </w:rPr>
      </w:pPr>
      <w:r>
        <w:rPr>
          <w:rFonts w:ascii="Arial" w:cs="Arial" w:eastAsia="Arial" w:hAnsi="Arial"/>
          <w:sz w:val="29"/>
          <w:szCs w:val="29"/>
          <w:b w:val="1"/>
          <w:bCs w:val="1"/>
          <w:color w:val="231F20"/>
        </w:rPr>
        <w:t>TENABLE HOLDINGS, INC.</w:t>
      </w:r>
    </w:p>
    <w:p>
      <w:pPr>
        <w:spacing w:after="0" w:line="40" w:lineRule="exact"/>
        <w:rPr>
          <w:sz w:val="24"/>
          <w:szCs w:val="24"/>
          <w:color w:val="auto"/>
        </w:rPr>
      </w:pPr>
    </w:p>
    <w:p>
      <w:pPr>
        <w:jc w:val="center"/>
        <w:ind w:left="320"/>
        <w:spacing w:after="0"/>
        <w:rPr>
          <w:sz w:val="20"/>
          <w:szCs w:val="20"/>
          <w:color w:val="auto"/>
        </w:rPr>
      </w:pPr>
      <w:r>
        <w:rPr>
          <w:rFonts w:ascii="Arial" w:cs="Arial" w:eastAsia="Arial" w:hAnsi="Arial"/>
          <w:sz w:val="13"/>
          <w:szCs w:val="13"/>
          <w:b w:val="1"/>
          <w:bCs w:val="1"/>
          <w:color w:val="231F20"/>
        </w:rPr>
        <w:t>(Exact name of registrant as specified in its charter)</w:t>
      </w:r>
    </w:p>
    <w:p>
      <w:pPr>
        <w:spacing w:after="0" w:line="18" w:lineRule="exact"/>
        <w:rPr>
          <w:sz w:val="24"/>
          <w:szCs w:val="24"/>
          <w:color w:val="auto"/>
        </w:rPr>
      </w:pPr>
    </w:p>
    <w:p>
      <w:pPr>
        <w:ind w:left="4740"/>
        <w:spacing w:after="0"/>
        <w:rPr>
          <w:sz w:val="20"/>
          <w:szCs w:val="20"/>
          <w:color w:val="auto"/>
        </w:rPr>
      </w:pPr>
      <w:r>
        <w:rPr>
          <w:rFonts w:ascii="Arial" w:cs="Arial" w:eastAsia="Arial" w:hAnsi="Arial"/>
          <w:sz w:val="11"/>
          <w:szCs w:val="11"/>
          <w:b w:val="1"/>
          <w:bCs w:val="1"/>
          <w:color w:val="auto"/>
        </w:rPr>
        <w:t>______________________________________</w:t>
      </w:r>
    </w:p>
    <w:p>
      <w:pPr>
        <w:sectPr>
          <w:pgSz w:w="11900" w:h="16838" w:orient="portrait"/>
          <w:cols w:equalWidth="0" w:num="1">
            <w:col w:w="11420"/>
          </w:cols>
          <w:pgMar w:left="240" w:top="247" w:right="239" w:bottom="1440" w:gutter="0" w:footer="0" w:header="0"/>
        </w:sectPr>
      </w:pPr>
    </w:p>
    <w:p>
      <w:pPr>
        <w:spacing w:after="0" w:line="201" w:lineRule="exact"/>
        <w:rPr>
          <w:sz w:val="24"/>
          <w:szCs w:val="24"/>
          <w:color w:val="auto"/>
        </w:rPr>
      </w:pPr>
    </w:p>
    <w:p>
      <w:pPr>
        <w:ind w:left="20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47-5580846</w:t>
      </w:r>
    </w:p>
    <w:p>
      <w:pPr>
        <w:spacing w:after="0" w:line="127" w:lineRule="exact"/>
        <w:rPr>
          <w:sz w:val="24"/>
          <w:szCs w:val="24"/>
          <w:color w:val="auto"/>
        </w:rPr>
      </w:pPr>
    </w:p>
    <w:p>
      <w:pPr>
        <w:sectPr>
          <w:pgSz w:w="11900" w:h="16838" w:orient="portrait"/>
          <w:cols w:equalWidth="0" w:num="2">
            <w:col w:w="7920" w:space="720"/>
            <w:col w:w="2780"/>
          </w:cols>
          <w:pgMar w:left="240" w:top="247" w:right="23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64" w:lineRule="exact"/>
        <w:rPr>
          <w:sz w:val="24"/>
          <w:szCs w:val="24"/>
          <w:color w:val="auto"/>
        </w:rPr>
      </w:pPr>
    </w:p>
    <w:p>
      <w:pPr>
        <w:sectPr>
          <w:pgSz w:w="11900" w:h="16838" w:orient="portrait"/>
          <w:cols w:equalWidth="0" w:num="2">
            <w:col w:w="7060" w:space="720"/>
            <w:col w:w="3640"/>
          </w:cols>
          <w:pgMar w:left="240" w:top="247" w:right="239" w:bottom="1440" w:gutter="0" w:footer="0" w:header="0"/>
          <w:type w:val="continuous"/>
        </w:sectPr>
      </w:pPr>
    </w:p>
    <w:p>
      <w:pPr>
        <w:jc w:val="center"/>
        <w:ind w:left="340"/>
        <w:spacing w:after="0"/>
        <w:rPr>
          <w:sz w:val="20"/>
          <w:szCs w:val="20"/>
          <w:color w:val="auto"/>
        </w:rPr>
      </w:pPr>
      <w:r>
        <w:rPr>
          <w:rFonts w:ascii="Arial" w:cs="Arial" w:eastAsia="Arial" w:hAnsi="Arial"/>
          <w:sz w:val="14"/>
          <w:szCs w:val="14"/>
          <w:b w:val="1"/>
          <w:bCs w:val="1"/>
          <w:color w:val="auto"/>
        </w:rPr>
        <w:t>7021 Columbia Gateway Drive, Suite 500, Columbia, Maryland, 21046</w:t>
      </w:r>
    </w:p>
    <w:p>
      <w:pPr>
        <w:spacing w:after="0" w:line="19" w:lineRule="exact"/>
        <w:rPr>
          <w:sz w:val="24"/>
          <w:szCs w:val="24"/>
          <w:color w:val="auto"/>
        </w:rPr>
      </w:pPr>
    </w:p>
    <w:p>
      <w:pPr>
        <w:jc w:val="center"/>
        <w:ind w:left="34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(410) 872-0555</w:t>
      </w:r>
    </w:p>
    <w:p>
      <w:pPr>
        <w:jc w:val="center"/>
        <w:ind w:left="340"/>
        <w:spacing w:after="0" w:line="231" w:lineRule="auto"/>
        <w:rPr>
          <w:sz w:val="20"/>
          <w:szCs w:val="20"/>
          <w:color w:val="auto"/>
        </w:rPr>
      </w:pPr>
      <w:r>
        <w:rPr>
          <w:rFonts w:ascii="Arial" w:cs="Arial" w:eastAsia="Arial" w:hAnsi="Arial"/>
          <w:sz w:val="14"/>
          <w:szCs w:val="14"/>
          <w:color w:val="auto"/>
        </w:rPr>
        <w:t>(Registrant’s telephone number, including area code)</w:t>
      </w:r>
    </w:p>
    <w:p>
      <w:pPr>
        <w:ind w:left="474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420"/>
          </w:cols>
          <w:pgMar w:left="240" w:top="247" w:right="239" w:bottom="1440" w:gutter="0" w:footer="0" w:header="0"/>
          <w:type w:val="continuous"/>
        </w:sectPr>
      </w:pPr>
    </w:p>
    <w:p>
      <w:pPr>
        <w:spacing w:after="0" w:line="37" w:lineRule="exact"/>
        <w:rPr>
          <w:sz w:val="24"/>
          <w:szCs w:val="24"/>
          <w:color w:val="auto"/>
        </w:rPr>
      </w:pPr>
    </w:p>
    <w:p>
      <w:pPr>
        <w:ind w:left="17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73" w:lineRule="exact"/>
        <w:rPr>
          <w:sz w:val="24"/>
          <w:szCs w:val="24"/>
          <w:color w:val="auto"/>
        </w:rPr>
      </w:pPr>
    </w:p>
    <w:p>
      <w:pPr>
        <w:sectPr>
          <w:pgSz w:w="11900" w:h="16838" w:orient="portrait"/>
          <w:cols w:equalWidth="0" w:num="3">
            <w:col w:w="4320" w:space="720"/>
            <w:col w:w="1940" w:space="720"/>
            <w:col w:w="3720"/>
          </w:cols>
          <w:pgMar w:left="240" w:top="247" w:right="239" w:bottom="1440" w:gutter="0" w:footer="0" w:header="0"/>
          <w:type w:val="continuous"/>
        </w:sectPr>
      </w:pPr>
    </w:p>
    <w:p>
      <w:pPr>
        <w:ind w:left="102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55" w:lineRule="exact"/>
        <w:rPr>
          <w:sz w:val="24"/>
          <w:szCs w:val="24"/>
          <w:color w:val="auto"/>
        </w:rPr>
      </w:pPr>
    </w:p>
    <w:p>
      <w:pPr>
        <w:sectPr>
          <w:pgSz w:w="11900" w:h="16838" w:orient="portrait"/>
          <w:cols w:equalWidth="0" w:num="3">
            <w:col w:w="4760" w:space="720"/>
            <w:col w:w="1900" w:space="720"/>
            <w:col w:w="3320"/>
          </w:cols>
          <w:pgMar w:left="240" w:top="247"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Securities registered pursuant to Section 12(g) of the Act: None</w:t>
      </w:r>
    </w:p>
    <w:p>
      <w:pPr>
        <w:sectPr>
          <w:pgSz w:w="11900" w:h="16838" w:orient="portrait"/>
          <w:cols w:equalWidth="0" w:num="1">
            <w:col w:w="11420"/>
          </w:cols>
          <w:pgMar w:left="240" w:top="247" w:right="239" w:bottom="1440" w:gutter="0" w:footer="0" w:header="0"/>
          <w:type w:val="continuous"/>
        </w:sectPr>
      </w:pPr>
    </w:p>
    <w:p>
      <w:pPr>
        <w:spacing w:after="0" w:line="45" w:lineRule="exact"/>
        <w:rPr>
          <w:sz w:val="24"/>
          <w:szCs w:val="24"/>
          <w:color w:val="auto"/>
        </w:rPr>
      </w:pPr>
    </w:p>
    <w:p>
      <w:pPr>
        <w:ind w:right="3060"/>
        <w:spacing w:after="0" w:line="22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ind w:right="2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14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26" w:lineRule="exact"/>
        <w:rPr>
          <w:sz w:val="24"/>
          <w:szCs w:val="24"/>
          <w:color w:val="auto"/>
        </w:rPr>
      </w:pPr>
    </w:p>
    <w:tbl>
      <w:tblPr>
        <w:tblLayout w:type="fixed"/>
        <w:tblInd w:w="40" w:type="dxa"/>
        <w:tblCellMar>
          <w:top w:w="0" w:type="dxa"/>
          <w:left w:w="0" w:type="dxa"/>
          <w:bottom w:w="0" w:type="dxa"/>
          <w:right w:w="0" w:type="dxa"/>
        </w:tblCellMar>
      </w:tblPr>
      <w:tr>
        <w:trPr>
          <w:trHeight w:val="237"/>
        </w:trPr>
        <w:tc>
          <w:tcPr>
            <w:tcW w:w="3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440"/>
              <w:spacing w:after="0"/>
              <w:rPr>
                <w:sz w:val="20"/>
                <w:szCs w:val="20"/>
                <w:color w:val="auto"/>
              </w:rPr>
            </w:pPr>
            <w:r>
              <w:rPr>
                <w:rFonts w:ascii="Arial" w:cs="Arial" w:eastAsia="Arial" w:hAnsi="Arial"/>
                <w:sz w:val="14"/>
                <w:szCs w:val="14"/>
                <w:color w:val="auto"/>
              </w:rPr>
              <w:t>Accelerated filer</w:t>
            </w:r>
          </w:p>
        </w:tc>
        <w:tc>
          <w:tcPr>
            <w:tcW w:w="1720" w:type="dxa"/>
            <w:vAlign w:val="bottom"/>
          </w:tcPr>
          <w:p>
            <w:pPr>
              <w:ind w:left="1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32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440"/>
              <w:spacing w:after="0"/>
              <w:rPr>
                <w:sz w:val="20"/>
                <w:szCs w:val="20"/>
                <w:color w:val="auto"/>
              </w:rPr>
            </w:pPr>
            <w:r>
              <w:rPr>
                <w:rFonts w:ascii="Arial" w:cs="Arial" w:eastAsia="Arial" w:hAnsi="Arial"/>
                <w:sz w:val="14"/>
                <w:szCs w:val="14"/>
                <w:color w:val="auto"/>
              </w:rPr>
              <w:t>Smaller reporting company</w:t>
            </w:r>
          </w:p>
        </w:tc>
        <w:tc>
          <w:tcPr>
            <w:tcW w:w="1720" w:type="dxa"/>
            <w:vAlign w:val="bottom"/>
          </w:tcPr>
          <w:p>
            <w:pPr>
              <w:ind w:left="1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3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760" w:type="dxa"/>
            <w:vAlign w:val="bottom"/>
          </w:tcPr>
          <w:p>
            <w:pPr>
              <w:ind w:left="440"/>
              <w:spacing w:after="0"/>
              <w:rPr>
                <w:sz w:val="20"/>
                <w:szCs w:val="20"/>
                <w:color w:val="auto"/>
              </w:rPr>
            </w:pPr>
            <w:r>
              <w:rPr>
                <w:rFonts w:ascii="Arial" w:cs="Arial" w:eastAsia="Arial" w:hAnsi="Arial"/>
                <w:sz w:val="14"/>
                <w:szCs w:val="14"/>
                <w:color w:val="auto"/>
              </w:rPr>
              <w:t>Emerging growth company</w:t>
            </w:r>
          </w:p>
        </w:tc>
        <w:tc>
          <w:tcPr>
            <w:tcW w:w="1720" w:type="dxa"/>
            <w:vAlign w:val="bottom"/>
          </w:tcPr>
          <w:p>
            <w:pPr>
              <w:ind w:left="16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4" w:lineRule="exact"/>
        <w:rPr>
          <w:sz w:val="24"/>
          <w:szCs w:val="24"/>
          <w:color w:val="auto"/>
        </w:rPr>
      </w:pPr>
    </w:p>
    <w:p>
      <w:pPr>
        <w:ind w:left="40" w:right="460"/>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4"/>
          <w:szCs w:val="24"/>
          <w:color w:val="auto"/>
        </w:rPr>
      </w:pPr>
    </w:p>
    <w:p>
      <w:pPr>
        <w:spacing w:after="0"/>
        <w:rPr>
          <w:sz w:val="20"/>
          <w:szCs w:val="20"/>
          <w:color w:val="auto"/>
        </w:rPr>
      </w:pPr>
      <w:r>
        <w:rPr>
          <w:rFonts w:ascii="Arial" w:cs="Arial" w:eastAsia="Arial" w:hAnsi="Arial"/>
          <w:sz w:val="14"/>
          <w:szCs w:val="14"/>
          <w:color w:val="auto"/>
        </w:rPr>
        <w:t>As of June 28, 2019, the aggregate market value of the common stock of the registrant held by non-affiliates was approximately $1.2 billion.</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outstanding as of February 24, 2020 was 99,404,819.</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 w:lineRule="exact"/>
        <w:rPr>
          <w:sz w:val="24"/>
          <w:szCs w:val="24"/>
          <w:color w:val="auto"/>
        </w:rPr>
      </w:pPr>
    </w:p>
    <w:p>
      <w:pPr>
        <w:ind w:firstLine="324"/>
        <w:spacing w:after="0" w:line="258" w:lineRule="auto"/>
        <w:rPr>
          <w:sz w:val="20"/>
          <w:szCs w:val="20"/>
          <w:color w:val="auto"/>
        </w:rPr>
      </w:pPr>
      <w:r>
        <w:rPr>
          <w:rFonts w:ascii="Arial" w:cs="Arial" w:eastAsia="Arial" w:hAnsi="Arial"/>
          <w:sz w:val="14"/>
          <w:szCs w:val="14"/>
          <w:color w:val="auto"/>
        </w:rPr>
        <w:t>Portions of the registrant's definitive Proxy Statement relating to the 2020 Annual Meeting of Stockholders are incorporated herein by reference in Part III of this Annual Report on Form 10-K. The Proxy Statement will be filed with the Securities and Exchange Commission within 120 days after the year ended December 31, 2019.</w:t>
      </w:r>
    </w:p>
    <w:p>
      <w:pPr>
        <w:sectPr>
          <w:pgSz w:w="11900" w:h="16838" w:orient="portrait"/>
          <w:cols w:equalWidth="0" w:num="1">
            <w:col w:w="11420"/>
          </w:cols>
          <w:pgMar w:left="240" w:top="2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gridSpan w:val="9"/>
          </w:tcPr>
          <w:p>
            <w:pPr>
              <w:jc w:val="center"/>
              <w:ind w:right="3400"/>
              <w:spacing w:after="0"/>
              <w:rPr>
                <w:sz w:val="20"/>
                <w:szCs w:val="20"/>
                <w:color w:val="auto"/>
              </w:rPr>
            </w:pPr>
            <w:r>
              <w:rPr>
                <w:rFonts w:ascii="Arial" w:cs="Arial" w:eastAsia="Arial" w:hAnsi="Arial"/>
                <w:sz w:val="18"/>
                <w:szCs w:val="18"/>
                <w:b w:val="1"/>
                <w:bCs w:val="1"/>
                <w:color w:val="auto"/>
              </w:rPr>
              <w:t>TENABLE HOLDINGS, INC.</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80" w:type="dxa"/>
            <w:vAlign w:val="bottom"/>
            <w:gridSpan w:val="8"/>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67"/>
        </w:trPr>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Page</w:t>
            </w:r>
          </w:p>
        </w:tc>
      </w:tr>
      <w:tr>
        <w:trPr>
          <w:trHeight w:val="277"/>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Risk Factors</w:t>
              </w:r>
            </w:hyperlink>
          </w:p>
        </w:tc>
        <w:tc>
          <w:tcPr>
            <w:tcW w:w="8800" w:type="dxa"/>
            <w:vAlign w:val="bottom"/>
            <w:gridSpan w:val="18"/>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10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980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5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0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gridSpan w:val="2"/>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Properties</w:t>
              </w:r>
            </w:hyperlink>
          </w:p>
        </w:tc>
        <w:tc>
          <w:tcPr>
            <w:tcW w:w="1420" w:type="dxa"/>
            <w:vAlign w:val="bottom"/>
            <w:gridSpan w:val="9"/>
          </w:tcPr>
          <w:p>
            <w:pPr>
              <w:spacing w:after="0"/>
              <w:rPr>
                <w:sz w:val="20"/>
                <w:szCs w:val="20"/>
                <w:color w:val="auto"/>
              </w:rPr>
            </w:pPr>
          </w:p>
        </w:tc>
        <w:tc>
          <w:tcPr>
            <w:tcW w:w="7560" w:type="dxa"/>
            <w:vAlign w:val="bottom"/>
            <w:gridSpan w:val="11"/>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0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5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5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615"/>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80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 Purchases of Equity Securities</w:t>
              </w:r>
            </w:hyperlink>
          </w:p>
        </w:tc>
        <w:tc>
          <w:tcPr>
            <w:tcW w:w="5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900" w:type="dxa"/>
            <w:vAlign w:val="bottom"/>
            <w:gridSpan w:val="8"/>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Selected Financial Data</w:t>
              </w:r>
            </w:hyperlink>
          </w:p>
        </w:tc>
        <w:tc>
          <w:tcPr>
            <w:tcW w:w="6960" w:type="dxa"/>
            <w:vAlign w:val="bottom"/>
            <w:gridSpan w:val="13"/>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gridSpan w:val="18"/>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Management's Discussion and Analysis of Financial Condition and Results of Operations</w:t>
              </w:r>
            </w:hyperlink>
          </w:p>
        </w:tc>
        <w:tc>
          <w:tcPr>
            <w:tcW w:w="2720" w:type="dxa"/>
            <w:vAlign w:val="bottom"/>
            <w:gridSpan w:val="4"/>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7080" w:type="dxa"/>
            <w:vAlign w:val="bottom"/>
            <w:gridSpan w:val="1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2720" w:type="dxa"/>
            <w:vAlign w:val="bottom"/>
            <w:gridSpan w:val="4"/>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3720" w:type="dxa"/>
            <w:vAlign w:val="bottom"/>
            <w:gridSpan w:val="14"/>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Financial Statements and Supplementary Data</w:t>
              </w:r>
            </w:hyperlink>
          </w:p>
        </w:tc>
        <w:tc>
          <w:tcPr>
            <w:tcW w:w="960" w:type="dxa"/>
            <w:vAlign w:val="bottom"/>
            <w:gridSpan w:val="2"/>
          </w:tcPr>
          <w:p>
            <w:pPr>
              <w:spacing w:after="0"/>
              <w:rPr>
                <w:sz w:val="20"/>
                <w:szCs w:val="20"/>
                <w:color w:val="auto"/>
              </w:rPr>
            </w:pPr>
          </w:p>
        </w:tc>
        <w:tc>
          <w:tcPr>
            <w:tcW w:w="5120" w:type="dxa"/>
            <w:vAlign w:val="bottom"/>
            <w:gridSpan w:val="6"/>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9800" w:type="dxa"/>
            <w:vAlign w:val="bottom"/>
            <w:gridSpan w:val="22"/>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Changes in and Disagreements with Accountants on Accounting and Financial Disclosure</w:t>
              </w:r>
            </w:hyperlink>
          </w:p>
        </w:tc>
        <w:tc>
          <w:tcPr>
            <w:tcW w:w="52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7120" w:type="dxa"/>
            <w:vAlign w:val="bottom"/>
            <w:gridSpan w:val="19"/>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Controls and Procedures</w:t>
              </w:r>
            </w:hyperlink>
          </w:p>
        </w:tc>
        <w:tc>
          <w:tcPr>
            <w:tcW w:w="2680" w:type="dxa"/>
            <w:vAlign w:val="bottom"/>
            <w:gridSpan w:val="3"/>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980" w:type="dxa"/>
            <w:vAlign w:val="bottom"/>
            <w:gridSpan w:val="1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Other Information</w:t>
              </w:r>
            </w:hyperlink>
          </w:p>
        </w:tc>
        <w:tc>
          <w:tcPr>
            <w:tcW w:w="7820" w:type="dxa"/>
            <w:vAlign w:val="bottom"/>
            <w:gridSpan w:val="12"/>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92</w:t>
              </w:r>
            </w:hyperlink>
          </w:p>
        </w:tc>
      </w:tr>
      <w:tr>
        <w:trPr>
          <w:trHeight w:val="601"/>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4500" w:type="dxa"/>
            <w:vAlign w:val="bottom"/>
            <w:gridSpan w:val="15"/>
          </w:tcPr>
          <w:p>
            <w:pPr>
              <w:spacing w:after="0"/>
              <w:rPr>
                <w:rFonts w:ascii="Arial" w:cs="Arial" w:eastAsia="Arial" w:hAnsi="Arial"/>
                <w:sz w:val="18"/>
                <w:szCs w:val="18"/>
                <w:color w:val="0000EE"/>
                <w:w w:val="99"/>
              </w:rPr>
            </w:pPr>
            <w:hyperlink w:anchor="page93">
              <w:r>
                <w:rPr>
                  <w:rFonts w:ascii="Arial" w:cs="Arial" w:eastAsia="Arial" w:hAnsi="Arial"/>
                  <w:sz w:val="18"/>
                  <w:szCs w:val="18"/>
                  <w:color w:val="0000EE"/>
                  <w:w w:val="99"/>
                </w:rPr>
                <w:t>Directors, Executive Officers and Corporate Governance</w:t>
              </w:r>
            </w:hyperlink>
          </w:p>
        </w:tc>
        <w:tc>
          <w:tcPr>
            <w:tcW w:w="5300" w:type="dxa"/>
            <w:vAlign w:val="bottom"/>
            <w:gridSpan w:val="7"/>
          </w:tcPr>
          <w:p>
            <w:pPr>
              <w:spacing w:after="0"/>
              <w:rPr>
                <w:sz w:val="19"/>
                <w:szCs w:val="19"/>
                <w:color w:val="auto"/>
              </w:rPr>
            </w:pPr>
          </w:p>
        </w:tc>
        <w:tc>
          <w:tcPr>
            <w:tcW w:w="52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4500" w:type="dxa"/>
            <w:vAlign w:val="bottom"/>
            <w:gridSpan w:val="1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Executive Compensation</w:t>
              </w:r>
            </w:hyperlink>
          </w:p>
        </w:tc>
        <w:tc>
          <w:tcPr>
            <w:tcW w:w="5300" w:type="dxa"/>
            <w:vAlign w:val="bottom"/>
            <w:gridSpan w:val="7"/>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9800" w:type="dxa"/>
            <w:vAlign w:val="bottom"/>
            <w:gridSpan w:val="22"/>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Security Ownership of Certain Beneficial Owners and Management and Related Stockholder Matters</w:t>
              </w:r>
            </w:hyperlink>
          </w:p>
        </w:tc>
        <w:tc>
          <w:tcPr>
            <w:tcW w:w="52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8000" w:type="dxa"/>
            <w:vAlign w:val="bottom"/>
            <w:gridSpan w:val="2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Certain Relationships and Related Transactions and Director Independence</w:t>
              </w:r>
            </w:hyperlink>
          </w:p>
        </w:tc>
        <w:tc>
          <w:tcPr>
            <w:tcW w:w="1800" w:type="dxa"/>
            <w:vAlign w:val="bottom"/>
            <w:gridSpan w:val="2"/>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6020" w:type="dxa"/>
            <w:vAlign w:val="bottom"/>
            <w:gridSpan w:val="1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Principal Accountant Fees and Services</w:t>
              </w:r>
            </w:hyperlink>
          </w:p>
        </w:tc>
        <w:tc>
          <w:tcPr>
            <w:tcW w:w="3780" w:type="dxa"/>
            <w:vAlign w:val="bottom"/>
            <w:gridSpan w:val="5"/>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r>
      <w:tr>
        <w:trPr>
          <w:trHeight w:val="615"/>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9800" w:type="dxa"/>
            <w:vAlign w:val="bottom"/>
            <w:gridSpan w:val="2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Exhibits, Financial Statement Schedules</w:t>
              </w:r>
            </w:hyperlink>
          </w:p>
        </w:tc>
        <w:tc>
          <w:tcPr>
            <w:tcW w:w="520" w:type="dxa"/>
            <w:vAlign w:val="bottom"/>
            <w:gridSpan w:val="3"/>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3200" w:type="dxa"/>
            <w:vAlign w:val="bottom"/>
            <w:gridSpan w:val="13"/>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Form 10-K Summary</w:t>
              </w:r>
            </w:hyperlink>
          </w:p>
        </w:tc>
        <w:tc>
          <w:tcPr>
            <w:tcW w:w="6600" w:type="dxa"/>
            <w:vAlign w:val="bottom"/>
            <w:gridSpan w:val="9"/>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96</w:t>
              </w:r>
            </w:hyperlink>
          </w:p>
        </w:tc>
      </w:tr>
      <w:tr>
        <w:trPr>
          <w:trHeight w:val="250"/>
        </w:trPr>
        <w:tc>
          <w:tcPr>
            <w:tcW w:w="1040" w:type="dxa"/>
            <w:vAlign w:val="bottom"/>
          </w:tcPr>
          <w:p>
            <w:pPr>
              <w:spacing w:after="0"/>
              <w:rPr>
                <w:sz w:val="21"/>
                <w:szCs w:val="21"/>
                <w:color w:val="auto"/>
              </w:rPr>
            </w:pPr>
          </w:p>
        </w:tc>
        <w:tc>
          <w:tcPr>
            <w:tcW w:w="8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Signatures</w:t>
              </w:r>
            </w:hyperlink>
          </w:p>
        </w:tc>
        <w:tc>
          <w:tcPr>
            <w:tcW w:w="800" w:type="dxa"/>
            <w:vAlign w:val="bottom"/>
            <w:tcBorders>
              <w:top w:val="single" w:sz="8" w:color="0000EE"/>
            </w:tcBorders>
            <w:gridSpan w:val="4"/>
          </w:tcPr>
          <w:p>
            <w:pPr>
              <w:spacing w:after="0"/>
              <w:rPr>
                <w:sz w:val="21"/>
                <w:szCs w:val="21"/>
                <w:color w:val="auto"/>
              </w:rPr>
            </w:pPr>
          </w:p>
        </w:tc>
        <w:tc>
          <w:tcPr>
            <w:tcW w:w="8140" w:type="dxa"/>
            <w:vAlign w:val="bottom"/>
            <w:gridSpan w:val="15"/>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333" w:right="259" w:bottom="1440" w:gutter="0" w:footer="0" w:header="0"/>
        </w:sectPr>
      </w:pPr>
    </w:p>
    <w:bookmarkStart w:id="2" w:name="page3"/>
    <w:bookmarkEnd w:id="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w:t>
      </w:r>
    </w:p>
    <w:p>
      <w:pPr>
        <w:spacing w:after="0" w:line="5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63"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technological change, release new products and product features and effectively enhance, innovate and scale our enterprise platform and solutions;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achieve profitability;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 including channel partners;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and potential acquisitions and integration of complementary businesses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perceived or actual problems with the security, integrity, reliability, compatibility and quality of our platform and solutions;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capital requirements and stock performance;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further expand our overall headcount;</w:t>
      </w:r>
    </w:p>
    <w:p>
      <w:pPr>
        <w:spacing w:after="0" w:line="63"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 and the impact of securities analysts’ reports on these prices.</w:t>
      </w:r>
    </w:p>
    <w:p>
      <w:pPr>
        <w:spacing w:after="0" w:line="225"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These statements represent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included under Part I, Item 1A. Furthermore, such forward-looking statements speak only as of the date of this report. Except as required by law, we undertake no obligation to update any forward-looking statements to reflect events or circumstances that occur after the date of this report.</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are a leading provider of solutions for a new category of cybersecurity that we call Cyber Exposure. Cyber Exposure is a discipline for managing, measuring and comparing cybersecurity risk in the digital era. We are building on our deep technology expertise in the traditional vulnerability assessment and management market and are expanding that market to include modern attack surfaces and to provide analytics that help organizations translate vulnerability data into business insights to understand and reduce their cybersecurity risk.</w:t>
      </w:r>
    </w:p>
    <w:p>
      <w:pPr>
        <w:spacing w:after="0" w:line="200" w:lineRule="exact"/>
        <w:rPr>
          <w:sz w:val="20"/>
          <w:szCs w:val="20"/>
          <w:color w:val="auto"/>
        </w:rPr>
      </w:pP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40" w:right="259" w:bottom="1440" w:gutter="0" w:footer="0" w:header="0"/>
        </w:sectPr>
      </w:pPr>
    </w:p>
    <w:bookmarkStart w:id="3" w:name="page4"/>
    <w:bookmarkEnd w:id="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Digital transformation is driving radical change. As organizations modernize their IT infrastructure and adopt cloud or hybrid cloud architectures that are no longer housed in the confines of their corporate networks, they have less visibility and control over the security of these assets. Organizations are also increasingly implementing modern solutions, such as Internet of Things, or IoT, devices, web applications and application containers, to enable the rapid development and deployment of new products, services and business models, as well as to drive operational efficiencies. Further, safety-critical Operational Technology, or OT, such as Industrial Control Systems, are now network-connected and need to be secured from cybersecurity threats. This digital transformation increases IT complexity and cybersecurity risk as attack surfaces expand.</w:t>
      </w:r>
    </w:p>
    <w:p>
      <w:pPr>
        <w:spacing w:after="0" w:line="20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While other functions in an organization, such as finance and operations, have a system to help them manage and measure risk, cybersecurity risk has not historically been adequately measured and understood. We are building our enterprise platform to be the System of Record for cybersecurity risk. Our enterprise platform provides a unified view into the organization’s state of security and enables security teams to prioritize and focus their remediation efforts, and translates vulnerability data into actionable business metrics and insights that boards of directors and executives can understand and use to make strategic decisions. We believe our Cyber Exposure solutions are transforming how cybersecurity risk is managed and measured and will help organizations more rapidly embrace digital transformation.</w:t>
      </w:r>
    </w:p>
    <w:p>
      <w:pPr>
        <w:spacing w:after="0" w:line="20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enterprise platform offerings provide broad visibility into security issues such as vulnerabilities, misconfigurations, internal and regulatory compliance violations and other indicators of the state of an organization’s security across IT infrastructure and applications, cloud environments and Industrial IoT and OT environments. We also provide deep analytics to help organizations score, trend and compare their cyber exposure over time, and communicate cyber risk in business terms to make better strategic decisions. Our enterprise platform integrates and analyzes data from our native collectors alongside IT asset, vulnerability and threat data from third-party systems and applications to prioritize security issues for remediation and focus an organization’s resources based on risk and business criticality.</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experienced rapid growth in recent periods. In 2019, 2018 and 2017 our total revenue was $354.6 million, $267.4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$187.7 million, respectively, representing year-over-year growth rates of 33% from 2018 to 2019 and 42% from 2017 to 2018. Our net loss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$99.0 million, $73.5 million and $41.0 million in 2019, 2018 and 2017, respectively.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Platform Offerings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to empower every organization to understand and reduce their cybersecurity risk.</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Enterprise Platform Offerings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enterprise platform enables organizations to answer foundational and strategic questions such as: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Where are we exposed?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Where should we prioritize based on risk?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we reducing our exposure over time?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How do we compare to our peers?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enterprise platform offerings include Tenable.io, which is our software as a service, or SaaS, offering, and Tenable.sc, which is our on-premises offering, both of which provide organizations with applications purpose-built for areas of both traditional and modern attack surfaces. These applications are designed with views, workflows and dashboards to help identify vulnerabilities, internal and regulatory compliance violations, misconfigurations and other cybersecurity issues, prioritize these issues for remediation and provide insightful remediation guidance. In addition, our enterprise platform offerings provide a depth of insight that stems from risk-based and predictive analytics.</w:t>
      </w:r>
    </w:p>
    <w:p>
      <w:pPr>
        <w:spacing w:after="0" w:line="206"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In 2019, we released Predictive Prioritization, which combines vulnerability data and threat intelligence to predict which vulnerabilities are most likely to be exploited. We also combine asset data to layer in the asset’s business criticality to further help prioritization. Additionally, with the general availability of Tenable Lumin in 2019, we help organizations score their cyber exposure, or level of cyber risk, across technology areas, teams or business units, prioritize where to focus to reduce their risk, track improvement over time and benchmark their organization to industry peers. We leverage our unique data asset of vulnerability knowledge built over 20 years and combine it with other data sources, such as threat intelligence and asset information. Through machine learning algorithms, we provide insights</w:t>
      </w:r>
    </w:p>
    <w:p>
      <w:pPr>
        <w:spacing w:after="0" w:line="200" w:lineRule="exact"/>
        <w:rPr>
          <w:sz w:val="20"/>
          <w:szCs w:val="20"/>
          <w:color w:val="auto"/>
        </w:rPr>
      </w:pP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40" w:right="259" w:bottom="1440" w:gutter="0" w:footer="0" w:header="0"/>
        </w:sectPr>
      </w:pPr>
    </w:p>
    <w:bookmarkStart w:id="4" w:name="page5"/>
    <w:bookmarkEnd w:id="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that help organizations focus based on business impact. As we extend our depth of analytics to measure cybersecurity risk beyond vulnerability prioritization, for example, to assess which public cloud platforms pose the most risk to an organization, we believe Lumin will become a key component of an organization’s cybersecurity portfolio to help security executives better understand their overall cyber risk posture and make strategic decisions based on these insights.</w:t>
      </w:r>
    </w:p>
    <w:p>
      <w:pPr>
        <w:spacing w:after="0" w:line="204" w:lineRule="exact"/>
        <w:rPr>
          <w:sz w:val="20"/>
          <w:szCs w:val="20"/>
          <w:color w:val="auto"/>
        </w:rPr>
      </w:pPr>
    </w:p>
    <w:p>
      <w:pPr>
        <w:ind w:right="360" w:firstLine="324"/>
        <w:spacing w:after="0" w:line="254" w:lineRule="auto"/>
        <w:rPr>
          <w:sz w:val="20"/>
          <w:szCs w:val="20"/>
          <w:color w:val="auto"/>
        </w:rPr>
      </w:pPr>
      <w:r>
        <w:rPr>
          <w:rFonts w:ascii="Arial" w:cs="Arial" w:eastAsia="Arial" w:hAnsi="Arial"/>
          <w:sz w:val="18"/>
          <w:szCs w:val="18"/>
          <w:color w:val="auto"/>
        </w:rPr>
        <w:t>Enterprises typically start with vulnerability management to secure traditional IT assets and expand their deployment over time to cover more traditional IT assets and/or more types of modern assets by deploying additional applications. For organizations with hybrid IT environments, some customers choose to expand their deployments to include both Tenable.sc and Tenable.io as an integrated solution spanning both on-premises and cloud-based management.</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enterprise platform offerings deliver the following capabilities:</w:t>
      </w:r>
    </w:p>
    <w:p>
      <w:pPr>
        <w:spacing w:after="0" w:line="99" w:lineRule="exact"/>
        <w:rPr>
          <w:sz w:val="20"/>
          <w:szCs w:val="20"/>
          <w:color w:val="auto"/>
        </w:rPr>
      </w:pPr>
    </w:p>
    <w:p>
      <w:pPr>
        <w:ind w:left="660" w:right="4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Live asset discovery. </w:t>
      </w:r>
      <w:r>
        <w:rPr>
          <w:rFonts w:ascii="Arial" w:cs="Arial" w:eastAsia="Arial" w:hAnsi="Arial"/>
          <w:sz w:val="18"/>
          <w:szCs w:val="18"/>
          <w:color w:val="auto"/>
        </w:rPr>
        <w:t>We can automatically discover a broad range of traditional and modern IT assets, including on-premises</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web applications, cloud environments, mobile devices, containers, IoT devices and OT systems. We use a combination of active scanning, passive network monitoring and public cloud monitoring via our connector to identify known and unknown assets on the network.</w:t>
      </w:r>
    </w:p>
    <w:p>
      <w:pPr>
        <w:spacing w:after="0" w:line="71" w:lineRule="exact"/>
        <w:rPr>
          <w:rFonts w:ascii="Arial" w:cs="Arial" w:eastAsia="Arial" w:hAnsi="Arial"/>
          <w:sz w:val="18"/>
          <w:szCs w:val="18"/>
          <w:color w:val="auto"/>
        </w:rPr>
      </w:pPr>
    </w:p>
    <w:p>
      <w:pPr>
        <w:ind w:left="660" w:right="30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Automated exposure assessment. </w:t>
      </w:r>
      <w:r>
        <w:rPr>
          <w:rFonts w:ascii="Arial" w:cs="Arial" w:eastAsia="Arial" w:hAnsi="Arial"/>
          <w:sz w:val="18"/>
          <w:szCs w:val="18"/>
          <w:color w:val="auto"/>
        </w:rPr>
        <w:t>With every change in a customer’s computing environment, we can automatically assess and</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where there are vulnerabilities, internal and regulatory compliance violations and misconfigurations across assets and cloud environments, such as missing software patches or outdated software versions. In addition, we can help optimize existing security technology investments to identify indicators of cyber exposure, such as improperly configured anti-virus software.</w:t>
      </w:r>
    </w:p>
    <w:p>
      <w:pPr>
        <w:spacing w:after="0" w:line="71" w:lineRule="exact"/>
        <w:rPr>
          <w:rFonts w:ascii="Arial" w:cs="Arial" w:eastAsia="Arial" w:hAnsi="Arial"/>
          <w:sz w:val="18"/>
          <w:szCs w:val="18"/>
          <w:color w:val="auto"/>
        </w:rPr>
      </w:pPr>
    </w:p>
    <w:p>
      <w:pPr>
        <w:ind w:left="660" w:right="4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Deep analytics to allow for prioritization. </w:t>
      </w:r>
      <w:r>
        <w:rPr>
          <w:rFonts w:ascii="Arial" w:cs="Arial" w:eastAsia="Arial" w:hAnsi="Arial"/>
          <w:sz w:val="18"/>
          <w:szCs w:val="18"/>
          <w:color w:val="auto"/>
        </w:rPr>
        <w:t>We combine our product and vulnerability research IP with third-party data to provide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context and allow organizations to prioritize remediation efforts based on the business criticality of the asset and the likelihood of exploit. Predictive Prioritization enables organizations to reduce business risk by focusing on the vulnerabilities with the greatest likelihood of imminently being exploited, by combining Tenable vulnerability data with third-party threat and vulnerability data across more than 150 data sources using a proprietary machine learning algorithm developed by our Tenable Research data science team to predict the likelihood of a vulnerability being exploited. Predictive Prioritization provides a threat-based view of vulnerabilities, which is a critical component of modern risk-based vulnerability management.</w:t>
      </w:r>
    </w:p>
    <w:p>
      <w:pPr>
        <w:spacing w:after="0" w:line="81"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Open and extensible platform</w:t>
      </w:r>
      <w:r>
        <w:rPr>
          <w:rFonts w:ascii="Arial" w:cs="Arial" w:eastAsia="Arial" w:hAnsi="Arial"/>
          <w:sz w:val="18"/>
          <w:szCs w:val="18"/>
          <w:color w:val="auto"/>
        </w:rPr>
        <w:t>. Our enterprise platform ingests a wide set of third-party data sources to enhance analysis and integrates</w:t>
      </w:r>
      <w:r>
        <w:rPr>
          <w:rFonts w:ascii="Arial" w:cs="Arial" w:eastAsia="Arial" w:hAnsi="Arial"/>
          <w:sz w:val="18"/>
          <w:szCs w:val="18"/>
          <w:i w:val="1"/>
          <w:iCs w:val="1"/>
          <w:color w:val="auto"/>
        </w:rPr>
        <w:t xml:space="preserve"> </w:t>
      </w:r>
      <w:r>
        <w:rPr>
          <w:rFonts w:ascii="Arial" w:cs="Arial" w:eastAsia="Arial" w:hAnsi="Arial"/>
          <w:sz w:val="18"/>
          <w:szCs w:val="18"/>
          <w:color w:val="auto"/>
        </w:rPr>
        <w:t>that data with industry-leading IT workflow, security information and event management, or SIEM, and systems management tools to accelerate remediation and provide common visibility across security and IT operations teams.</w:t>
      </w:r>
    </w:p>
    <w:p>
      <w:pPr>
        <w:spacing w:after="0" w:line="68" w:lineRule="exact"/>
        <w:rPr>
          <w:rFonts w:ascii="Arial" w:cs="Arial" w:eastAsia="Arial" w:hAnsi="Arial"/>
          <w:sz w:val="18"/>
          <w:szCs w:val="18"/>
          <w:i w:val="1"/>
          <w:iCs w:val="1"/>
          <w:color w:val="auto"/>
        </w:rPr>
      </w:pPr>
    </w:p>
    <w:p>
      <w:pPr>
        <w:ind w:left="66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Cyber exposure measurement. </w:t>
      </w:r>
      <w:r>
        <w:rPr>
          <w:rFonts w:ascii="Arial" w:cs="Arial" w:eastAsia="Arial" w:hAnsi="Arial"/>
          <w:sz w:val="18"/>
          <w:szCs w:val="18"/>
          <w:color w:val="auto"/>
        </w:rPr>
        <w:t>Tenable Lumin leverages our expansive knowledge base of assets and vulnerabilities coupled with data</w:t>
      </w:r>
      <w:r>
        <w:rPr>
          <w:rFonts w:ascii="Arial" w:cs="Arial" w:eastAsia="Arial" w:hAnsi="Arial"/>
          <w:sz w:val="18"/>
          <w:szCs w:val="18"/>
          <w:i w:val="1"/>
          <w:iCs w:val="1"/>
          <w:color w:val="auto"/>
        </w:rPr>
        <w:t xml:space="preserve"> </w:t>
      </w:r>
      <w:r>
        <w:rPr>
          <w:rFonts w:ascii="Arial" w:cs="Arial" w:eastAsia="Arial" w:hAnsi="Arial"/>
          <w:sz w:val="18"/>
          <w:szCs w:val="18"/>
          <w:color w:val="auto"/>
        </w:rPr>
        <w:t>science insights to help our customers objectively score, trend and benchmark cyber exposure across their organizations, including by business unit or geography, and compare their cyber exposure against industry peers and best practices. We believe this capability is critical to help security executives effectively translate technical information and communicate cybersecurity risk to a non-technical audience, including the C-suite and the Board of Directors, to make better strategic decisions on where to focus investment to maximize cybersecurity risk reduction. As we continue to expand our database with more vulnerability and asset intelligence as well as additional third-party data sources, we anticipate that we will be able to leverage these insights in Lumin to measure an organization’s cyber exposure beyond vulnerabilities to overall cybersecurity program effectiveness. Lumin is a key component of building the System of Record for cybersecurity to help organizations make better decisions around cybersecurity risk, including but not limited to vulnerability prioritization. This supports our vision to create industry standard metrics and benchmarks for cyber exposure to create an objective measure of cyber risk.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Nessus</w:t>
      </w:r>
    </w:p>
    <w:p>
      <w:pPr>
        <w:spacing w:after="0" w:line="24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co-founder is the creator of Nessus, one of the most widely deployed vulnerability assessment solutions in the cybersecurity industry, which underpins our enterprise platform. Since the introduction of Nessus in 1998, an extensive community of Nessus users has emerged. We continue to cultivate knowledge and affinity within this user base, which, when combined with our enterprise customers and our Tenable Research team of cybersecurity and data science experts, creates powerful network effects in the form of a continuous feedback loop of data and insights. We use these</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5" w:name="page6"/>
    <w:bookmarkEnd w:id="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learnings to expand our assessment capabilities and coverage, continually optimize our solutions and inform our product strategy and innovation priorities. We believe these data and insights will also fuel and strengthen our benchmarking capabilities over time.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Nessus Professional</w:t>
      </w:r>
    </w:p>
    <w:p>
      <w:pPr>
        <w:spacing w:after="0" w:line="243"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Nessus Professional is a vulnerability assessment solution for identifying security vulnerabilities, configuration issues and malware. Nessus Professional serves as both a stand-alone product designed for security consultants and practitioners performing one-time or ad-</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hoc assessment as well as an on-ramp product to our enterprise platform. With broad vulnerability coverage, accurate analysis and an easy-to-use interface, Nessus Professional offers a cost-effective and comprehensive solution for security consultants and users with ad-hoc assessment needs.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Nessus Essentials</w:t>
      </w:r>
    </w:p>
    <w:p>
      <w:pPr>
        <w:spacing w:after="0" w:line="243"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We also offer a free version of our Nessus product, Nessus Essentials, which includes vulnerability and configuration assessment for a limited number of assets, but does not include access to support and certain features that Nessus Professional customers enjoy.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Architecture</w:t>
      </w:r>
    </w:p>
    <w:p>
      <w:pPr>
        <w:spacing w:after="0" w:line="247"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Our platform is built from the ground up to support the needs of modern IT assets and environments. Our platform’s scalability can meet the requirements of the largest global enterprise customers, which may require assessment for millions of assets.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Foundational elements of our technology architecture include:</w:t>
      </w:r>
    </w:p>
    <w:p>
      <w:pPr>
        <w:spacing w:after="0" w:line="95" w:lineRule="exact"/>
        <w:rPr>
          <w:sz w:val="20"/>
          <w:szCs w:val="20"/>
          <w:color w:val="auto"/>
        </w:rPr>
      </w:pPr>
    </w:p>
    <w:p>
      <w:pPr>
        <w:ind w:left="660" w:right="140" w:hanging="328"/>
        <w:spacing w:after="0" w:line="29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Public cloud infrastructure for agility. </w:t>
      </w:r>
      <w:r>
        <w:rPr>
          <w:rFonts w:ascii="Arial" w:cs="Arial" w:eastAsia="Arial" w:hAnsi="Arial"/>
          <w:sz w:val="17"/>
          <w:szCs w:val="17"/>
          <w:color w:val="auto"/>
        </w:rPr>
        <w:t>Our use of the public cloud delivers agility and market responsiveness without the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or time delay involved with planning, purchasing and deploying hardware. It also provides a flexible cost profile in which capacity can be quickly adjusted up or down in response to new opportunities and market demand, with relatively modest fixed costs.</w:t>
      </w:r>
    </w:p>
    <w:p>
      <w:pPr>
        <w:spacing w:after="0" w:line="45"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Scalability. </w:t>
      </w:r>
      <w:r>
        <w:rPr>
          <w:rFonts w:ascii="Arial" w:cs="Arial" w:eastAsia="Arial" w:hAnsi="Arial"/>
          <w:sz w:val="18"/>
          <w:szCs w:val="18"/>
          <w:color w:val="auto"/>
        </w:rPr>
        <w:t>Our platform scales up and down to continuously meet customer demands, through the use of public cloud infrastructure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around the world. This approach provides elastic resources for compute, data transfer and storage, and allows us to meet the needs of even the largest global enterprises and government agencies. Our platform manages and supports millions of assets for multiple enterprise customers across a variety of industries, with the ability to process millions of application programming interface, or API, calls daily. The platform can scale to support IoT deployments that are an order of magnitude larger than IT deployments.</w:t>
      </w:r>
    </w:p>
    <w:p>
      <w:pPr>
        <w:spacing w:after="0" w:line="71"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w:t>
      </w:r>
      <w:r>
        <w:rPr>
          <w:rFonts w:ascii="Arial" w:cs="Arial" w:eastAsia="Arial" w:hAnsi="Arial"/>
          <w:sz w:val="18"/>
          <w:szCs w:val="18"/>
          <w:color w:val="auto"/>
        </w:rPr>
        <w:t>Our modern architecture, leveraging state-of-the-art public cloud services, offers high availability and high performance.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geographic redundancy, as well as automated backup, without the need for us to build redundant infrastructure. As a result, we offer a service level agreement for Tenable.io that promises 99.95% availability to help ensure the reliability of operation for our customers.</w:t>
      </w:r>
    </w:p>
    <w:p>
      <w:pPr>
        <w:spacing w:after="0" w:line="68"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Extensibility and integration. </w:t>
      </w:r>
      <w:r>
        <w:rPr>
          <w:rFonts w:ascii="Arial" w:cs="Arial" w:eastAsia="Arial" w:hAnsi="Arial"/>
          <w:sz w:val="18"/>
          <w:szCs w:val="18"/>
          <w:color w:val="auto"/>
        </w:rPr>
        <w:t>Our open API and software development kit, or SDK, enables import of data from third-party 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sensors-including competitor products-to augment our native discovery, assessment and analytics. This is essential to providing a unified view of assets, vulnerabilities and exposure across the enterprise. These capabilities also enable flexible export of our data to third party systems.</w:t>
      </w:r>
    </w:p>
    <w:p>
      <w:pPr>
        <w:spacing w:after="0" w:line="68"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Unified Platform. </w:t>
      </w:r>
      <w:r>
        <w:rPr>
          <w:rFonts w:ascii="Arial" w:cs="Arial" w:eastAsia="Arial" w:hAnsi="Arial"/>
          <w:sz w:val="18"/>
          <w:szCs w:val="18"/>
          <w:color w:val="auto"/>
        </w:rPr>
        <w:t>Our products are built on a unified platform with a unified data model that enables us to share data,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vulnerabilities across our applications so our customers can run workflows and have a consistent user experience across our products.</w:t>
      </w:r>
    </w:p>
    <w:p>
      <w:pPr>
        <w:spacing w:after="0" w:line="45" w:lineRule="exact"/>
        <w:rPr>
          <w:rFonts w:ascii="Arial" w:cs="Arial" w:eastAsia="Arial" w:hAnsi="Arial"/>
          <w:sz w:val="18"/>
          <w:szCs w:val="18"/>
          <w:color w:val="auto"/>
        </w:rPr>
      </w:pPr>
    </w:p>
    <w:p>
      <w:pPr>
        <w:ind w:left="660" w:right="300" w:hanging="328"/>
        <w:spacing w:after="0" w:line="26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Widely adopted industry standard file format. </w:t>
      </w:r>
      <w:r>
        <w:rPr>
          <w:rFonts w:ascii="Arial" w:cs="Arial" w:eastAsia="Arial" w:hAnsi="Arial"/>
          <w:sz w:val="18"/>
          <w:szCs w:val="18"/>
          <w:color w:val="auto"/>
        </w:rPr>
        <w:t>The “.Nessus” file format for vulnerability data used in all of our products is openly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documented and supported by dozens of products and programming languages, which simplifies integration with our ecosystem partners’ technologies.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Technology Ecosystem</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have partnered and/or integrated with market leading technology companies to pioneer the industry’s first Cyber Exposure ecosystem to help organizations build resilient cybersecurity programs. Our ecosystem consists of a variety of third-party data import sources into our platform offerings, as well as export of our data out to third-party IT</w:t>
      </w:r>
    </w:p>
    <w:p>
      <w:pPr>
        <w:spacing w:after="0" w:line="200" w:lineRule="exact"/>
        <w:rPr>
          <w:sz w:val="20"/>
          <w:szCs w:val="20"/>
          <w:color w:val="auto"/>
        </w:rPr>
      </w:pPr>
    </w:p>
    <w:p>
      <w:pPr>
        <w:spacing w:after="0" w:line="218"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40" w:right="279" w:bottom="1440" w:gutter="0" w:footer="0" w:header="0"/>
        </w:sectPr>
      </w:pPr>
    </w:p>
    <w:bookmarkStart w:id="6" w:name="page7"/>
    <w:bookmarkEnd w:id="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systems. Our technology ecosystem connects disparate solutions and data to automate processes and accelerate an organization’s ability to understand, manage and reduce its cyber exposure.</w:t>
      </w:r>
    </w:p>
    <w:p>
      <w:pPr>
        <w:spacing w:after="0" w:line="196"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We integrate a variety of third-party data sources, including ticketing, configuration management databases, or CMDBs, and systems management, into our platform to augment our native data collection and help with analysis and remediation prioritization. Furthermore, our data is also exported out to enrich third-party IT management and security systems.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Growth Strategy</w:t>
      </w:r>
    </w:p>
    <w:p>
      <w:pPr>
        <w:spacing w:after="0" w:line="24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objectives are to maintain our market leadership in Cyber Exposure and to capture our large market opportunity. To accomplish these objectives, we intend to:</w:t>
      </w:r>
    </w:p>
    <w:p>
      <w:pPr>
        <w:spacing w:after="0" w:line="66" w:lineRule="exact"/>
        <w:rPr>
          <w:sz w:val="20"/>
          <w:szCs w:val="20"/>
          <w:color w:val="auto"/>
        </w:rPr>
      </w:pPr>
    </w:p>
    <w:p>
      <w:pPr>
        <w:ind w:left="660" w:right="2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Acquire New Enterprise Platform Customers. </w:t>
      </w:r>
      <w:r>
        <w:rPr>
          <w:rFonts w:ascii="Arial" w:cs="Arial" w:eastAsia="Arial" w:hAnsi="Arial"/>
          <w:sz w:val="18"/>
          <w:szCs w:val="18"/>
          <w:color w:val="auto"/>
        </w:rPr>
        <w:t>We believe there is a substantial opportunity to increase adoption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platform offerings. We have experienced growth in new enterprise platform customers due to investments in sales and marketing. We intend to continue to aggressively pursue new domestic and international customers by adding sales capacity and leveraging our network of channel partnerships around the world.</w:t>
      </w:r>
    </w:p>
    <w:p>
      <w:pPr>
        <w:spacing w:after="0" w:line="68" w:lineRule="exact"/>
        <w:rPr>
          <w:rFonts w:ascii="Arial" w:cs="Arial" w:eastAsia="Arial" w:hAnsi="Arial"/>
          <w:sz w:val="18"/>
          <w:szCs w:val="18"/>
          <w:color w:val="auto"/>
        </w:rPr>
      </w:pPr>
    </w:p>
    <w:p>
      <w:pPr>
        <w:ind w:left="660" w:right="60" w:hanging="328"/>
        <w:spacing w:after="0" w:line="26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 Asset Coverage Within Our Customer Base</w:t>
      </w:r>
      <w:r>
        <w:rPr>
          <w:rFonts w:ascii="Arial" w:cs="Arial" w:eastAsia="Arial" w:hAnsi="Arial"/>
          <w:sz w:val="18"/>
          <w:szCs w:val="18"/>
          <w:color w:val="auto"/>
        </w:rPr>
        <w:t>. We believe we have a significant opportunity to expand our relationships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existing customers by targeting additional teams, business units or geographies, pursuing broad enterprise deployments and generally expanding our coverage of their IT assets.</w:t>
      </w:r>
    </w:p>
    <w:p>
      <w:pPr>
        <w:spacing w:after="0" w:line="60"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Our Technology Platform and Expand Use Cases</w:t>
      </w:r>
      <w:r>
        <w:rPr>
          <w:rFonts w:ascii="Arial" w:cs="Arial" w:eastAsia="Arial" w:hAnsi="Arial"/>
          <w:sz w:val="18"/>
          <w:szCs w:val="18"/>
          <w:color w:val="auto"/>
        </w:rPr>
        <w:t>. We intend to continue to innovate and develop our enterprise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addition of incremental capabilities, such as coverage of new attack surfaces and asset types and the addition of analytical capabilities, to help our customers measure and benchmark their cyber exposure. As we collect more data and ingest more data from third-party sources, we believe our data set will become even more valuable over time, which will allow us to continue to develop new analytical products and capabilities to our existing product suite over time.</w:t>
      </w:r>
    </w:p>
    <w:p>
      <w:pPr>
        <w:spacing w:after="0" w:line="71"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Explore Acquisition Opportunities</w:t>
      </w:r>
      <w:r>
        <w:rPr>
          <w:rFonts w:ascii="Arial" w:cs="Arial" w:eastAsia="Arial" w:hAnsi="Arial"/>
          <w:sz w:val="18"/>
          <w:szCs w:val="18"/>
          <w:color w:val="auto"/>
        </w:rPr>
        <w:t>. In 2019 we acquired Indegy Ltd., or Indegy, a leader in industrial cybersecurity that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visibility, security and control across OT environments. Indegy further extends our depth of OT expertise and intelligence and our breadth of OT-specific capabilities from vulnerability management to asset inventory, configuration management and threat detection. We may acquire other businesses, technology and/or development personnel that will expand and enhance the functionality of our platform offerings.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Customers</w:t>
      </w:r>
    </w:p>
    <w:p>
      <w:pPr>
        <w:spacing w:after="0" w:line="247"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We sell and market our enterprise platform offerings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202"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Our customers are located in over 160 countries and include enterprises of all sizes and span a wide range of industries, including manufacturing, energy and industrials; technology, media and telecommunications; banking, insurance and finance; government, education and non-profit; healthcare; and retail and consumer.</w:t>
      </w:r>
    </w:p>
    <w:p>
      <w:pPr>
        <w:spacing w:after="0" w:line="20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As of December 31, 2019, we had over 30,000 customers who licensed our Tenable.io, Tenable.sc or Nessus Professional products. Our customers include more than 50% of the Fortune 500 and over 30% of the Global 2000 organizations at December 31, 2019. In 2019, 2018 and 2017, no single customer represented more than 2% of our revenue.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247" w:lineRule="exact"/>
        <w:rPr>
          <w:sz w:val="20"/>
          <w:szCs w:val="20"/>
          <w:color w:val="auto"/>
        </w:rPr>
      </w:pPr>
    </w:p>
    <w:p>
      <w:pPr>
        <w:jc w:val="both"/>
        <w:ind w:right="100" w:firstLine="324"/>
        <w:spacing w:after="0" w:line="254" w:lineRule="auto"/>
        <w:rPr>
          <w:sz w:val="20"/>
          <w:szCs w:val="20"/>
          <w:color w:val="auto"/>
        </w:rPr>
      </w:pPr>
      <w:r>
        <w:rPr>
          <w:rFonts w:ascii="Arial" w:cs="Arial" w:eastAsia="Arial" w:hAnsi="Arial"/>
          <w:sz w:val="18"/>
          <w:szCs w:val="18"/>
          <w:color w:val="auto"/>
        </w:rPr>
        <w:t>Our sales strategy employs both a direct-touch approach through our sales forces and a low-touch approach through sales closed by our channel partners and transacted on our e-commerce website. Both direct-touch and channel-originated sales are fulfilled through our channel partnerships. Our sales and customer success renewal teams collaborate closely with our channel partners to prospect, manage and support our customers, developing and maintaining close relationships with all of our enterprise platform customers.</w:t>
      </w:r>
    </w:p>
    <w:p>
      <w:pPr>
        <w:spacing w:after="0" w:line="200" w:lineRule="exact"/>
        <w:rPr>
          <w:sz w:val="20"/>
          <w:szCs w:val="20"/>
          <w:color w:val="auto"/>
        </w:rPr>
      </w:pP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140" w:right="319" w:bottom="1440" w:gutter="0" w:footer="0" w:header="0"/>
        </w:sectPr>
      </w:pPr>
    </w:p>
    <w:bookmarkStart w:id="7" w:name="page8"/>
    <w:bookmarkEnd w:id="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ind w:right="340" w:firstLine="324"/>
        <w:spacing w:after="0" w:line="256" w:lineRule="auto"/>
        <w:rPr>
          <w:sz w:val="20"/>
          <w:szCs w:val="20"/>
          <w:color w:val="auto"/>
        </w:rPr>
      </w:pPr>
      <w:r>
        <w:rPr>
          <w:rFonts w:ascii="Arial" w:cs="Arial" w:eastAsia="Arial" w:hAnsi="Arial"/>
          <w:sz w:val="18"/>
          <w:szCs w:val="18"/>
          <w:color w:val="auto"/>
        </w:rPr>
        <w:t>We sell to organizations of all sizes across a broad range of industries, with a specific focus on enterprise accounts. Our sales team is divided by customer size and geography, including Americas; Europe, the Middle East and Africa, or EMEA; and Asia Pacific and Japan, or APAC.</w:t>
      </w:r>
    </w:p>
    <w:p>
      <w:pPr>
        <w:spacing w:after="0" w:line="20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partner ecosystem provides us with a number of advantages, including increased in-bound registered sales leads, broader geographic reach and greater deal velocity. Our channel partners include distributors, value-added resellers, system integrators and managed security service providers.</w:t>
      </w:r>
    </w:p>
    <w:p>
      <w:pPr>
        <w:spacing w:after="0" w:line="94"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Our marketing efforts focus on cultivating brand awareness and leveraging our brand strength with Nessus, building demand across all segments with a specific emphasis on our enterprise customers and delivering tailored marketing programs focused on security executives, functional managers and security practitioners and consultants with Nessus. We also provide educational programs to DevOps teams for our Container Security and Web Application Scanning products. We execute marketing programs targeted at new customer acquisition, customer retention and cross-selling and up-selling of products across our platform.</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engineering expertise combines extensive security product development experience with individuals who possess deep cloud and user interface design background. Our engineering team has groups that focus on Nessus configuration auditing, Nessus vulnerability enumeration, passive network traffic analysis and system log analysis, including public cloud.</w:t>
      </w:r>
    </w:p>
    <w:p>
      <w:pPr>
        <w:spacing w:after="0" w:line="20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Additionally, our Tenable Research team includes a team of cybersecurity and data science experts who produce original research and apply data science techniques to our security telemetry data to provide meaningful insights. This data fuels the benchmarking offering in our enterprise platform and we believe will become a trusted source throughout the industry for understanding Cyber Exposure. Tenable Research, including data science, is a key component of our thought leadership.</w:t>
      </w:r>
    </w:p>
    <w:p>
      <w:pPr>
        <w:spacing w:after="0" w:line="204"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We believe ongoing and timely development of new products and features is imperative to maintaining our competitive position. We continue to invest in development of our solutions across our global innovation centers in Columbia, Maryland; Los Angeles, California; San Jose, California; Dublin, Ireland; and Tel Aviv, Israel.</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research and development expense was $87.1 million, $76.7 million and $57.7 million in 2019, 2018 and 2017, respectively.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Backlog</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define backlog as contractually committed orders to be invoiced under our existing agreements that are not included in the deferred revenue on our consolidated balance sheets. As of December 31, 2019 and 2018, we had backlog of $3.6 million and $3.3 million, respectively. We expect substantially all of the backlog at December 31, 2019 to be invoiced within the following twelve months.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207"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believe that the principal competitive factors affecting the market for cybersecurity solutions include product functionality, breadth and depth of offerings, flexibility of delivery models, ease of deployment and use, integration capabilities such as open APIs and scalability, uptime and performance. We believe that our suite of solutions generally competes favorably with respect to these factors and may serve as a complement to the solutions offered by our competitors in some cases. Some of our more established actual and potential competitors have greater name recognition, longer operating histories, more established customer relationships, larger marketing budgets and</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sectPr>
      </w:pPr>
    </w:p>
    <w:bookmarkStart w:id="8" w:name="page9"/>
    <w:bookmarkEnd w:id="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significantly greater resources than we do. In addition, as our market grows and rapidly changes, we expect it will continue to attract new competitors, including companies that are larger and more established than us and smaller emerging companies, which could introduce new products and services.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w:t>
      </w:r>
    </w:p>
    <w:p>
      <w:pPr>
        <w:spacing w:after="0" w:line="247"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Our success depends in part upon our ability to protect our core technology and intellectual property. We rely on a combination of trade secrets, copyrights, patents and trademarks, as well as contractual protections, to establish and protect our intellectual property rights and protect our proprietary technology.</w:t>
      </w:r>
    </w:p>
    <w:p>
      <w:pPr>
        <w:spacing w:after="0" w:line="20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of December 31, 2019, we had 16 issued patents and six patent applications pending in the United States. Our issued patents expire between 2027 and 2034 and cover our passive network scanning, monitoring and analysis technologies and additional features of our enterprise platform. As of December 31, 2019, we had 17 registered trademarks and two trademark applications pending in the United States. We view our copyrights, trade secrets and know-how as a significant component of our intellectual property assets.</w:t>
      </w:r>
    </w:p>
    <w:p>
      <w:pPr>
        <w:spacing w:after="0" w:line="20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also license certain software from third parties for integration into our solutions, including open source software and other software available on commercially reasonable terms. We cannot assure you that such third parties will maintain such software or continue to make it available.</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control access to and use of our proprietary software and other confidential information through the use of internal and external controls, including contractual protections with employees, contractors, customers and partners, and our software is protected by U.S. and international copyright and trade secret laws. Despite our efforts to protect our trade secrets and proprietary rights through intellectual property rights, licenses and confidentiality and invention assignment agreements, unauthorized parties may still attempt to copy, reverse engineer, misappropriate or otherwise obtain and use our software and technology. In addition, we intend to expand our international operations, and effective patent, copyright, trademark and trade secret protection may not be available or may be limited in foreign countries.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Regulation</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Various federal, state and foreign legislative and regulatory bodies have legislation pending that could affect our business. In particular, the European Union passed the General Data Protection Regulation, or GDPR, which came into force on May 25, 2018. The GDPR includes more stringent operational requirements on entities that receive or process personal data (as compared to existing EU law), along with significant penalties for non-compliance, more robust obligations on data processors and data controllers, greater rights for data subjects (potentially requiring significant changes to both our technology and operations), and heavier documentation requirements for data protection compliance programs. In addition, the GDPR increases the scrutiny of transfers of personal data from locations in the EEA to the United States and other jurisdictions that the European Commission does not recognize as having “adequate” data protection laws, and imposes substantial fines for breaches and violations (up to the greater of €20 million or 4% of consolidated annual worldwide gross revenue).</w:t>
      </w:r>
    </w:p>
    <w:p>
      <w:pPr>
        <w:spacing w:after="0" w:line="206"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Similarly, there are a number of federal and state level legislative proposals in the United States that could impose new obligations on us. For example, California recently enacted the California Consumer Privacy Act, or the CCPA, which went into effect on January 1, 2020 and creates new individual privacy rights for consumers and places increased privacy and security obligations on entities handling the personal data of consumers or households. The CCPA requires covered companies to provide new disclosures to California consumers, which could include our employees residing in California based on the broad definitions in the law, to provide such consumers new ways to opt out of certain sales of personal information, and to allow for a new private cause of action for data breaches. Other states are beginning to pass similar laws. In addition, some countries are considering or have passed legislation implementing more onerous data protection requirements or requiring local storage and processing of data or other requirements that could increase the cost and complexity of delivering our services.</w:t>
      </w:r>
    </w:p>
    <w:p>
      <w:pPr>
        <w:spacing w:after="0" w:line="19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Like other U.S.-based IT security products, our products are subject to U.S. export control laws and regulations, specifically the Export Administration Regulations, or EAR, U.S. economic and trade sanctions regulations and applicable foreign government import, export and use requirements. Certain of our products are subject to encryption controls under the EAR due to the nature of the product and its use or incorporation of encryption functionality. Under the encryption controls in the EAR, applicable products may only be exported outside of the United States with required export authorizations, such as a license, a license exception or other appropriate government authorizations. In addition to the restrictions under the EAR, U.S. export control laws and economic sanctions prohibit the export of</w:t>
      </w:r>
    </w:p>
    <w:p>
      <w:pPr>
        <w:spacing w:after="0" w:line="200" w:lineRule="exact"/>
        <w:rPr>
          <w:sz w:val="20"/>
          <w:szCs w:val="20"/>
          <w:color w:val="auto"/>
        </w:rPr>
      </w:pPr>
    </w:p>
    <w:p>
      <w:pPr>
        <w:spacing w:after="0" w:line="22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140" w:right="319" w:bottom="1440" w:gutter="0" w:footer="0" w:header="0"/>
        </w:sectPr>
      </w:pPr>
    </w:p>
    <w:bookmarkStart w:id="9" w:name="page10"/>
    <w:bookmarkEnd w:id="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products and services to countries, governments, entities or persons subject to U.S. embargoes or trade sanctions.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Employees and Culture</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As of December 31, 2019, we had 1,477 employees, including 476 employees located outside of the United States. None of our employees are represented by a labor union or covered by a collective bargaining agreement. We have not experienced any work stoppages, and we consider our relations with our employees to be good.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in upholding a core set of values for our entire global workforce:</w:t>
      </w:r>
    </w:p>
    <w:p>
      <w:pPr>
        <w:spacing w:after="0" w:line="95" w:lineRule="exact"/>
        <w:rPr>
          <w:sz w:val="20"/>
          <w:szCs w:val="20"/>
          <w:color w:val="auto"/>
        </w:rPr>
      </w:pPr>
    </w:p>
    <w:p>
      <w:pPr>
        <w:ind w:left="660" w:right="80" w:hanging="328"/>
        <w:spacing w:after="0" w:line="28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One Tenable</w:t>
      </w:r>
      <w:r>
        <w:rPr>
          <w:rFonts w:ascii="Arial" w:cs="Arial" w:eastAsia="Arial" w:hAnsi="Arial"/>
          <w:sz w:val="18"/>
          <w:szCs w:val="18"/>
          <w:color w:val="auto"/>
        </w:rPr>
        <w:t>: We are united as one Tenable team. We win together. We are one team internally, with our customers, with our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the market.</w:t>
      </w:r>
    </w:p>
    <w:p>
      <w:pPr>
        <w:spacing w:after="0" w:line="45" w:lineRule="exact"/>
        <w:rPr>
          <w:rFonts w:ascii="Arial" w:cs="Arial" w:eastAsia="Arial" w:hAnsi="Arial"/>
          <w:sz w:val="18"/>
          <w:szCs w:val="18"/>
          <w:color w:val="auto"/>
        </w:rPr>
      </w:pPr>
    </w:p>
    <w:p>
      <w:pPr>
        <w:ind w:left="660" w:right="100" w:hanging="328"/>
        <w:spacing w:after="0" w:line="28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We Care</w:t>
      </w:r>
      <w:r>
        <w:rPr>
          <w:rFonts w:ascii="Arial" w:cs="Arial" w:eastAsia="Arial" w:hAnsi="Arial"/>
          <w:sz w:val="18"/>
          <w:szCs w:val="18"/>
          <w:color w:val="auto"/>
        </w:rPr>
        <w:t>: About our work, about our customers, about one another and about our communities. We speak straight and we do the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thing.</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Deliver Results</w:t>
      </w:r>
      <w:r>
        <w:rPr>
          <w:rFonts w:ascii="Arial" w:cs="Arial" w:eastAsia="Arial" w:hAnsi="Arial"/>
          <w:sz w:val="18"/>
          <w:szCs w:val="18"/>
          <w:color w:val="auto"/>
        </w:rPr>
        <w:t>: We set high goals, take bold risks, measure honestly and deliver results that exceed expectations.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What We Do Matters</w:t>
      </w:r>
      <w:r>
        <w:rPr>
          <w:rFonts w:ascii="Arial" w:cs="Arial" w:eastAsia="Arial" w:hAnsi="Arial"/>
          <w:sz w:val="18"/>
          <w:szCs w:val="18"/>
          <w:color w:val="auto"/>
        </w:rPr>
        <w:t>: The work that we do makes a difference in the world.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Information and Segments</w:t>
      </w:r>
    </w:p>
    <w:p>
      <w:pPr>
        <w:spacing w:after="0" w:line="247" w:lineRule="exact"/>
        <w:rPr>
          <w:sz w:val="20"/>
          <w:szCs w:val="20"/>
          <w:color w:val="auto"/>
        </w:rPr>
      </w:pPr>
    </w:p>
    <w:p>
      <w:pPr>
        <w:ind w:right="580" w:firstLine="324"/>
        <w:spacing w:after="0" w:line="262" w:lineRule="auto"/>
        <w:rPr>
          <w:sz w:val="20"/>
          <w:szCs w:val="20"/>
          <w:color w:val="auto"/>
        </w:rPr>
      </w:pPr>
      <w:r>
        <w:rPr>
          <w:rFonts w:ascii="Arial" w:cs="Arial" w:eastAsia="Arial" w:hAnsi="Arial"/>
          <w:sz w:val="18"/>
          <w:szCs w:val="18"/>
          <w:color w:val="auto"/>
        </w:rPr>
        <w:t>Segment and geographic information required by Part I, Item 1 of Form 10-K can be found in Note 1 and Note 12 of the Notes to our Consolidated Financial Statements included in Part II, Item 8, Financial Statements, of this Form 10-K.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Information</w:t>
      </w:r>
    </w:p>
    <w:p>
      <w:pPr>
        <w:spacing w:after="0" w:line="24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Tenable Network Security, Inc., our predecessor, was incorporated under the laws of the State of Delaware in 2002. Tenable Holdings, Inc. was incorporated in Delaware in October 2015, and in November 2015, Tenable Network Security, Inc. was merged into our wholly-owned indirect subsidiary and in 2017 was renamed as Tenable, Inc.</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principal executive offices are located at 7021 Columbia Gateway Drive, Suite 500, Columbia, Maryland 21046. Our telephone number is (410) 872-0555. Our website address is www.tenable.com. The information contained on, or that can be accessed through, our website is not incorporated by reference, and you should not consider any information contained on, or that can be accessed through, our website as part of this Annual Report on Form 10-K.</w:t>
      </w:r>
    </w:p>
    <w:p>
      <w:pPr>
        <w:spacing w:after="0" w:line="20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“Tenable,” “Nessus,” “Tenable.io," "Lumin" and the Tenable logo, and other trademarks or service marks of Tenable Holdings, Inc. appearing in this Annual Report on Form 10-K are the property of Tenable Holdings, Inc. This Annual Report on Form 10-K contains additional trade names, trademarks and service marks of others, which are the property of their respective owners. Solely for convenience, trademarks and trade names referred to in this Annual Report on Form 10-K may appear without the ® or TM symbols.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Available Information</w:t>
      </w:r>
    </w:p>
    <w:p>
      <w:pPr>
        <w:spacing w:after="0" w:line="24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Annual Report on Form 10-K, Quarterly Reports on Form 10-Q, Current Reports on Form 8-K, Proxy Statement, and amendments to reports filed pursuant to Sections 13(a) and 15(d) of the Exchange Act, are available for download free of charge from our investor relations website https://investors.tenable.com after we file them with the Securities and Exchange Commission, or the SEC. The SEC’s website https://www.sec.gov contains reports, proxy and information statements, and other information regarding issuers that file electronically with the SEC.</w:t>
      </w:r>
    </w:p>
    <w:p>
      <w:pPr>
        <w:spacing w:after="0" w:line="206"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The contents of any website referred to in this Form 10-K are not intended to be incorporated into this Annual Report on Form 10-K or in any other report or document we file with the SEC.</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0" w:right="239" w:bottom="1440" w:gutter="0" w:footer="0" w:header="0"/>
          <w:type w:val="continuous"/>
        </w:sectPr>
      </w:pPr>
    </w:p>
    <w:bookmarkStart w:id="10" w:name="page11"/>
    <w:bookmarkEnd w:id="1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color w:val="auto"/>
        </w:rPr>
        <w:t>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historically incurred net losses, including net losses of $99.0 million, $73.5 million and $41.0 million in 2019, 2018 and 2017, respectively. As of December 31, 2019, we had an accumulated deficit of $565.1 million. Because the market for our offerings is highly competitive and rapidly evolving and these solutions have not yet reached widespread adoption, it is difficult for us to predict our future results of operations. 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9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cloud infrastructure and computing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From 2018 to 2019, our revenue grew from $267.4 million to $354.6 million, representing year-over-year growth of 33%.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9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2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202"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200" w:lineRule="exact"/>
        <w:rPr>
          <w:sz w:val="20"/>
          <w:szCs w:val="20"/>
          <w:color w:val="auto"/>
        </w:rPr>
      </w:pPr>
    </w:p>
    <w:p>
      <w:pPr>
        <w:spacing w:after="0" w:line="21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140" w:right="379" w:bottom="1440" w:gutter="0" w:footer="0" w:header="0"/>
        </w:sectPr>
      </w:pPr>
    </w:p>
    <w:bookmarkStart w:id="11" w:name="page12"/>
    <w:bookmarkEnd w:id="1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540" w:firstLine="324"/>
        <w:spacing w:after="0" w:line="269"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may not be immediately reflected in our revenue results for that period. This decline, however, will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190"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or with third-party products, websites or services, our results of operations may be harmed.</w:t>
      </w:r>
    </w:p>
    <w:p>
      <w:pPr>
        <w:spacing w:after="0" w:line="175"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Our enterprise platform offerings, Tenable.io and Tenable.sc, must interoperate with our customers’ existing network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which requires careful planning and execution between our customers, our customer support teams and our channel partners. Further, when new or updated elements of our customers’ infrastructure or new industry standards or protocols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1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184"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or if they contain undetected errors or defects, our brand and reputation could be harmed.</w:t>
      </w:r>
    </w:p>
    <w:p>
      <w:pPr>
        <w:spacing w:after="0" w:line="17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If our solutions fail to detect vulnerabilities in our customers’ cybersecurity infrastructure, or if our solutions fail to identify new and increasingly complex methods of cyberattacks, our business and reputation may suffer. There is no guarantee that our solutions will detect all vulnerabilities, especially in light of the rapidly changing security landscape to which we must respond. Additionally, our solutions may falsely detect vulnerabilities or threats that do not actually</w:t>
      </w:r>
    </w:p>
    <w:p>
      <w:pPr>
        <w:spacing w:after="0" w:line="200" w:lineRule="exact"/>
        <w:rPr>
          <w:sz w:val="20"/>
          <w:szCs w:val="20"/>
          <w:color w:val="auto"/>
        </w:rPr>
      </w:pP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2" w:name="page13"/>
    <w:bookmarkEnd w:id="1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may therefore adversely impact market acceptance of our products and could result in negative publicity, loss of customers and sales and increased costs to remedy any problem.</w:t>
      </w:r>
    </w:p>
    <w:p>
      <w:pPr>
        <w:spacing w:after="0" w:line="206"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Our solutions may also contain undetected errors or defects when first introduced or as new versions are released. We have experienced these errors or defects in the past in connection with new solutions and product upgrades and we expect that these errors or defects will be found from time to time in the future in new or enhanced solutions after commercial release. Defects may cause our solutions to be vulnerable to attacks, cause them to fail to detect vulnerabilities, or temporarily interrupt customers’ networking traffic or operational technology environments. Any errors, defects, disruptions in service or other performance problems with our solutions may damage our customers’ business and could hurt our reputation. If our solutions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1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brand and our offerings and subject us to legal claims.</w:t>
      </w:r>
    </w:p>
    <w:p>
      <w:pPr>
        <w:spacing w:after="0" w:line="180"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75"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pacing w:after="0" w:line="63"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assets under such subscriptions, with existing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customers delaying purchasing decisions in anticipation of new developments or enhancements by us or our competitors or otherwise;</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any future acquisitions of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63"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spacing w:after="0" w:line="25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140" w:right="319" w:bottom="1440" w:gutter="0" w:footer="0" w:header="0"/>
        </w:sectPr>
      </w:pPr>
    </w:p>
    <w:bookmarkStart w:id="13" w:name="page14"/>
    <w:bookmarkEnd w:id="1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such as third-party cloud infrastructure costs and facilities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effective tax rate;</w:t>
      </w:r>
    </w:p>
    <w:p>
      <w:pPr>
        <w:spacing w:after="0" w:line="63"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 and</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Any one of these or other factors discussed elsewhere in this Annual Report on Form 10-K,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20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government certifications and broader global distribution and presence. In addition, our industry is evolving rapidly and is becoming increasingly competitive. Companies that are larger and more established than us are focusing on cybersecurity and could directly compete with us. For example, in 2019 Microsoft introduced a vulnerability management offering as part of their existing endpoint security platform. Smaller companies could also launch new products and services that we do not offer and that could gain market acceptance quickly.</w:t>
      </w:r>
    </w:p>
    <w:p>
      <w:pPr>
        <w:spacing w:after="0" w:line="209"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Our competitors may be able to respond more quickly and effectively than we can to new or changing opportunities, technologies, standards or customer requirements or new or evolving attacks by, or indicators of compromise that identify, cyber bad actors. With the introduction of new technologies, the evolution of our offerings and new market entrants, we expect competition to intensify in the future. 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offerings and cause the average sales price for our offerings to decline. These larger competitors are also often in a better position to withstand any significant reduction in capital spending, and will therefore not be as susceptible to economic downturns. One component of our enterprise platform involves assessing cyber exposure in a public cloud environment. We are dependent upon the providers to allow our solutions to access their cloud offerings. If one or more cloud providers elected to offer exclusively their own</w:t>
      </w:r>
    </w:p>
    <w:p>
      <w:pPr>
        <w:spacing w:after="0" w:line="200" w:lineRule="exact"/>
        <w:rPr>
          <w:sz w:val="20"/>
          <w:szCs w:val="20"/>
          <w:color w:val="auto"/>
        </w:rPr>
      </w:pPr>
    </w:p>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40" w:right="259" w:bottom="1440" w:gutter="0" w:footer="0" w:header="0"/>
        </w:sectPr>
      </w:pPr>
    </w:p>
    <w:bookmarkStart w:id="14" w:name="page15"/>
    <w:bookmarkEnd w:id="1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cloud security product or otherwise eliminate the ability of our solutions to access their cloud on behalf of our customers, our business and financial results could be harmed.</w:t>
      </w:r>
    </w:p>
    <w:p>
      <w:pPr>
        <w:spacing w:after="0" w:line="19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If we do not continue to innovate and offer solutions that address the dynamic cybersecurity landscape, we may not remain competitive.</w:t>
      </w:r>
    </w:p>
    <w:p>
      <w:pPr>
        <w:spacing w:after="0" w:line="175"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The cybersecurity market is characterized by very rapid technological advances, changes in customer requirements, frequent new product introductions and enhancements and evolving industry standards. Our success also depends on continued innovation to provide features that make our solutions responsive to the cybersecurity landscape. While we continue to invest significant resources in research and development in order to ensure that our solutions continue to address the cyber security risks that our customers face, the introduction of solutions and services embodying new technologies could render our existing solutions or services obsolete or less attractive to customers. In addition, developing new solutions and product enhancements is expensive and time-consuming, we may face delays or uncertainty in our release timing,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w:t>
      </w:r>
    </w:p>
    <w:p>
      <w:pPr>
        <w:spacing w:after="0" w:line="19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Annual Report on Form 10-K.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189"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reliable performance of our solutions and network infrastructure.</w:t>
      </w:r>
    </w:p>
    <w:p>
      <w:pPr>
        <w:spacing w:after="0" w:line="175"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human or software errors, capacity constraints and fraud or cybersecurity attacks. In some instances, we may not be able to identify the cause or causes of these performance problems within an acceptable period of time.</w:t>
      </w:r>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5" w:name="page16"/>
    <w:bookmarkEnd w:id="1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Prolonged delays or unforeseen difficulties in connection with adding capacity or upgrading our network architecture when required may cause our service quality to suffer. Problems with the reliability or security of our systems could harm our reputation. Damage to our reputation and the cost of remedying these problems could negatively affect our business, financial condition, and operating results.</w:t>
      </w:r>
    </w:p>
    <w:p>
      <w:pPr>
        <w:spacing w:after="0" w:line="20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including by interrupting their networking traffic or operational technology environments. Interruptions in our service delivery might reduce our revenue, cause us to issue credits to customers, subject us to potential liability and cause customers to not renew their purchases of our solutions.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0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6"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continue to grow, we may not be able to manage our growth effectively.</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recently experienced a period of rapid growth in our headcount and operations. In particular, we grew from 984 employees as of December 31, 2017 to 1,252 employees as of December 31, 2018 and to 1,477 employees as of December 31, 2019. We have also significantly increased the size of our customer base over the last several years. We anticipate that we will continue to significantly expand our operations and headcount in the near term. Our growth has placed, and future growth will place, a significant strain on our management, administrative, operational and financial infrastructure. Our success will depend in part on our ability to manage this growth effectively. To manage the expected growth of our operations and personnel, we will need to continue to improve our operational, financial and management controls and our reporting systems and procedures. Failure to effectively manage our growth could result in difficulty or delays in deploying our solutions and services to customers, declines in quality or customer satisfaction, increases in costs, difficulties in introducing new features or other operational difficulties. We could also face inefficiencies or service disruptions as a result of our efforts to maintain and scale our domestic and international</w:t>
      </w:r>
    </w:p>
    <w:p>
      <w:pPr>
        <w:spacing w:after="0" w:line="200" w:lineRule="exact"/>
        <w:rPr>
          <w:sz w:val="20"/>
          <w:szCs w:val="20"/>
          <w:color w:val="auto"/>
        </w:rPr>
      </w:pPr>
    </w:p>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6" w:name="page17"/>
    <w:bookmarkEnd w:id="1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facilities, and additional facilities may not be available to us on commercially reasonable terms, or at all. Any of these difficulties could adversely impact our business performance and results of operations.</w:t>
      </w:r>
    </w:p>
    <w:p>
      <w:pPr>
        <w:spacing w:after="0" w:line="196" w:lineRule="exact"/>
        <w:rPr>
          <w:sz w:val="20"/>
          <w:szCs w:val="20"/>
          <w:color w:val="auto"/>
        </w:rPr>
      </w:pPr>
    </w:p>
    <w:p>
      <w:pPr>
        <w:jc w:val="both"/>
        <w:ind w:right="260" w:firstLine="324"/>
        <w:spacing w:after="0" w:line="253" w:lineRule="auto"/>
        <w:rPr>
          <w:sz w:val="20"/>
          <w:szCs w:val="20"/>
          <w:color w:val="auto"/>
        </w:rPr>
      </w:pPr>
      <w:r>
        <w:rPr>
          <w:rFonts w:ascii="Arial" w:cs="Arial" w:eastAsia="Arial" w:hAnsi="Arial"/>
          <w:sz w:val="18"/>
          <w:szCs w:val="18"/>
          <w:color w:val="auto"/>
        </w:rPr>
        <w:t>Our rapid growth also makes it difficult to evaluate our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risks successfully, our operating and financial results could differ materially from our expectations, our business could suffer and the trading price of our stock may decline.</w:t>
      </w:r>
    </w:p>
    <w:p>
      <w:pPr>
        <w:spacing w:after="0" w:line="184"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and to the extent we continue to enter into larger deals, our average sales cycle is likely to increase. Further, the length of time that potential customers devote to their testing and evaluation, contract negotiation and budgeting processes varies significantly, depending on the size of the organization and nature of the product or service under consideration.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191"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b w:val="1"/>
          <w:bCs w:val="1"/>
          <w:i w:val="1"/>
          <w:iCs w:val="1"/>
          <w:color w:val="auto"/>
        </w:rPr>
        <w:t>Regulatory, legislative or self-regulatory standard developments regarding privacy and data security matters could adversely affect our ability to conduct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along with a significant number of our customers, are subject to laws, rules, regulations, and industry standards related to data privacy and cyber security, and restrictions or technological requirements regarding the collection, use, storage, protection, retention or transfer of data. In addition to current privacy and data security regulations currently in force in the jurisdictions where we operate, the General Data Protection Regulation, or GDPR came into force in May 2018. The GDPR contains numerous requirements and changes from prior European Union, or EU, law, including more robust obligations on data processors and data controllers, greater rights for data subjects, and heavier documentation requirements for data protection compliance programs. Specifically, the GDPR introduced numerous privacy-related changes for companies operating in the EU, including greater control over personal data by data subjects, such as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The GDPR requirements apply not only to third-party transactions, but also to transfers of information between us and our subsidiaries, including employee information. We have an internal data privacy function that oversees and supervises our compliance with European data protection regulations.</w:t>
      </w:r>
    </w:p>
    <w:p>
      <w:pPr>
        <w:spacing w:after="0" w:line="21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the United States and globally, governments and agencies have adopted, and could in the future adopt, modify, apply or enforce laws, policies, regulations, and standards covering data subject privacy, data security, technologies such as cookies that are used to collect, store and/or process data, marketing online, the use of data to inform marketing, the taxation of products and services, unfair and deceptive practices and the collection, including the collection of information, use, processing, transfer, storage and/or disclosure of data associated with unique individual internet users. We may be subject directly or via contract to such laws, policies, regulations, and standards. New regulation or legislative actions regarding data privacy and security, together with applicable industry standards, may increase the costs of doing business and could have a material adverse impact on our operations and cash flows.</w:t>
      </w:r>
    </w:p>
    <w:p>
      <w:pPr>
        <w:spacing w:after="0" w:line="200" w:lineRule="exact"/>
        <w:rPr>
          <w:sz w:val="20"/>
          <w:szCs w:val="20"/>
          <w:color w:val="auto"/>
        </w:rPr>
      </w:pPr>
    </w:p>
    <w:p>
      <w:pPr>
        <w:spacing w:after="0" w:line="2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40" w:right="259" w:bottom="1440" w:gutter="0" w:footer="0" w:header="0"/>
        </w:sectPr>
      </w:pPr>
    </w:p>
    <w:bookmarkStart w:id="17" w:name="page18"/>
    <w:bookmarkEnd w:id="1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While we have taken steps to mitigate the impact on us, such as implementing standard contractual clauses as appropriate and self-certifying under the EU-US Privacy Shield, the efficacy and longevity of these mechanisms remains uncertain. Potential or actual legal proceeding could lead to one or both of these mechanisms being declared invalid. Further, local data protection authorities general may have different interpretations of the GDPR, leading to potential inconsistencies amongst various EU states.</w:t>
      </w:r>
    </w:p>
    <w:p>
      <w:pPr>
        <w:spacing w:after="0" w:line="204"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Similarly, there are a number of federal and state level legislative proposals in the United States that could impose new obligations on us. For example, California recently enacted the California Consumer Privacy Act, or the CCPA, which went into effect on January 1, 2020 and creates new individual privacy rights for consumers and places increased privacy and security obligations on entities handling the personal data of consumers or households. The CCPA requires covered companies to provide new disclosures to California consumers, which could include our employees residing in California based on the broad definitions in the law, to provide such consumers new ways to opt out of certain sales of personal information, and to allow for new causes of action for data breaches. In addition, some countries are considering or have passed legislation implementing more onerous data protection requirements or requiring local storage and processing of data or other requirements that could increase the cost and complexity of delivering our services.</w:t>
      </w:r>
    </w:p>
    <w:p>
      <w:pPr>
        <w:spacing w:after="0" w:line="20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If we are investigated by an applicable data protection authority or are determined to have not complied with applicable laws, we may face fines and other penalties. Any such investigation or charges by applicable data protection authorities could have a negative effect on our existing business and on our ability to attract and retain new customers. Existing and proposed laws and regulations can be costly to comply with, could expose us to significant penalties for non-compliance, can delay or impede the development or adoption of our products and services, reduce the overall demand for our services, result in negative publicity, increase our operating costs, require significant management time and attention and subject us to claims or other remedies, including fines or demands that we modify or cease existing business practices.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our third-party channel partner network of distributors and resellers to generate a substantial amount of our revenue.</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2019, 2018 and 2017, we derived 90%, 88% and 83%, respectively, of our revenue from subscriptions and perpetual licenses sold through channel partners, and the percentage of revenue derived from channel partners may continue to increase in future periods. Ingram Micro, Inc., a distributor, accounted for 43%, 46% and 45% of our revenue in 2019, 2018 and 2017, respectively, and 40% of our accounts receivable as of December 31, 2019 and 46% as of December 31, 2018.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187"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75" w:lineRule="exact"/>
        <w:rPr>
          <w:sz w:val="20"/>
          <w:szCs w:val="20"/>
          <w:color w:val="auto"/>
        </w:rPr>
      </w:pPr>
    </w:p>
    <w:p>
      <w:pPr>
        <w:ind w:right="740" w:firstLine="324"/>
        <w:spacing w:after="0" w:line="262"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w:t>
      </w: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18" w:name="page19"/>
    <w:bookmarkEnd w:id="1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0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20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2" w:lineRule="exact"/>
        <w:rPr>
          <w:sz w:val="20"/>
          <w:szCs w:val="20"/>
          <w:color w:val="auto"/>
        </w:rPr>
      </w:pPr>
    </w:p>
    <w:p>
      <w:pPr>
        <w:ind w:right="340" w:firstLine="324"/>
        <w:spacing w:after="0" w:line="252"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0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82"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 and we may need to reduce our prices or change our pricing model to remain competitive.</w:t>
      </w:r>
    </w:p>
    <w:p>
      <w:pPr>
        <w:spacing w:after="0" w:line="1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that can be monitored, the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mid-to large-size</w:t>
      </w:r>
    </w:p>
    <w:p>
      <w:pPr>
        <w:spacing w:after="0" w:line="200" w:lineRule="exact"/>
        <w:rPr>
          <w:sz w:val="20"/>
          <w:szCs w:val="20"/>
          <w:color w:val="auto"/>
        </w:rPr>
      </w:pPr>
    </w:p>
    <w:p>
      <w:pPr>
        <w:spacing w:after="0" w:line="22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0" w:right="259" w:bottom="1440" w:gutter="0" w:footer="0" w:header="0"/>
        </w:sectPr>
      </w:pPr>
    </w:p>
    <w:bookmarkStart w:id="19" w:name="page20"/>
    <w:bookmarkEnd w:id="1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enterprises may demand substantial price discounts as part of the negotiation of sales contracts and, as the amount of IT assets or IP addresses within our customers' organization grows, we may face additional pressure from our customers regarding our pricing. As a result, we may be required or choose to reduce our prices or change our pricing model, which could adversely affect our business, revenue, operating margins and financial condition.</w:t>
      </w:r>
    </w:p>
    <w:p>
      <w:pPr>
        <w:spacing w:after="0" w:line="204"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Further, 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4" w:lineRule="exact"/>
        <w:rPr>
          <w:sz w:val="20"/>
          <w:szCs w:val="20"/>
          <w:color w:val="auto"/>
        </w:rPr>
      </w:pPr>
    </w:p>
    <w:p>
      <w:pPr>
        <w:ind w:right="64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Tenable Lumin does not garner widespread market adoption and implementation, our operating results and competitive position could suffer.</w:t>
      </w:r>
    </w:p>
    <w:p>
      <w:pPr>
        <w:spacing w:after="0" w:line="209" w:lineRule="exact"/>
        <w:rPr>
          <w:sz w:val="20"/>
          <w:szCs w:val="20"/>
          <w:color w:val="auto"/>
        </w:rPr>
      </w:pPr>
    </w:p>
    <w:p>
      <w:pPr>
        <w:jc w:val="both"/>
        <w:ind w:right="280" w:firstLine="324"/>
        <w:spacing w:after="0" w:line="262" w:lineRule="auto"/>
        <w:rPr>
          <w:sz w:val="20"/>
          <w:szCs w:val="20"/>
          <w:color w:val="auto"/>
        </w:rPr>
      </w:pPr>
      <w:r>
        <w:rPr>
          <w:rFonts w:ascii="Arial" w:cs="Arial" w:eastAsia="Arial" w:hAnsi="Arial"/>
          <w:sz w:val="18"/>
          <w:szCs w:val="18"/>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96" w:lineRule="exact"/>
        <w:rPr>
          <w:sz w:val="20"/>
          <w:szCs w:val="20"/>
          <w:color w:val="auto"/>
        </w:rPr>
      </w:pPr>
    </w:p>
    <w:p>
      <w:pPr>
        <w:ind w:right="700" w:firstLine="324"/>
        <w:spacing w:after="0" w:line="262"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8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predict market demand accurately in terms of functionality and to supply offerings that meets this demand in a timely fashion;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poor business conditions for our customers, causing them to delay IT purchases;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25"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18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w:t>
      </w:r>
    </w:p>
    <w:p>
      <w:pPr>
        <w:spacing w:after="0" w:line="200" w:lineRule="exact"/>
        <w:rPr>
          <w:sz w:val="20"/>
          <w:szCs w:val="20"/>
          <w:color w:val="auto"/>
        </w:rPr>
      </w:pPr>
    </w:p>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40" w:right="259" w:bottom="1440" w:gutter="0" w:footer="0" w:header="0"/>
        </w:sectPr>
      </w:pPr>
    </w:p>
    <w:bookmarkStart w:id="20" w:name="page21"/>
    <w:bookmarkEnd w:id="2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84"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7"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37% and 33% of our revenue in 2019 and 2018,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9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63"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and foreign exchange restrictions, including potential changes in trade relations arising from policy initiatives implemented by the current U.S. administration, which has been critical of existing and proposed trade agreements;</w:t>
      </w:r>
    </w:p>
    <w:p>
      <w:pPr>
        <w:spacing w:after="0" w:line="34"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recent exit from the European Union and its ongoing legal, political and economic relationship with the European Union;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managing and potentially reorganizing foreign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63"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labor regulations in jurisdictions where labor laws are generally more advantageous to employees as compared to the U.S., including deemed hourly wage and overtime regulations in these locations;</w:t>
      </w:r>
    </w:p>
    <w:p>
      <w:pPr>
        <w:spacing w:after="0" w:line="34"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39"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250"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40" w:right="259" w:bottom="1440" w:gutter="0" w:footer="0" w:header="0"/>
        </w:sectPr>
      </w:pPr>
    </w:p>
    <w:bookmarkStart w:id="21" w:name="page22"/>
    <w:bookmarkEnd w:id="2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660" w:right="20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political unrest, pandemics, acts of terrorism, hostilities or war;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w:t>
      </w:r>
    </w:p>
    <w:p>
      <w:pPr>
        <w:spacing w:after="0" w:line="22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190" w:lineRule="exact"/>
        <w:rPr>
          <w:sz w:val="20"/>
          <w:szCs w:val="20"/>
          <w:color w:val="auto"/>
        </w:rPr>
      </w:pPr>
    </w:p>
    <w:p>
      <w:pPr>
        <w:ind w:right="780" w:firstLine="324"/>
        <w:spacing w:after="0" w:line="287"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w:t>
      </w:r>
    </w:p>
    <w:p>
      <w:pPr>
        <w:spacing w:after="0" w:line="17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20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including sales personnel, professional services personnel and software engineers, is intense. Our recruiting efforts focus on elite universities and our primary recruiting competition are well-known, high-paying firms.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effectively develop and expand our sales and marketing capabilities.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ability to increase our customer base and achieve broader market acceptance of our Cyber Exposure solutions will depend to a significant extent on our ability to expand our sales and marketing operations. We plan to continue expanding our sales force and our third-party channel partner network of distributors and resellers both domestically and internationally; however, there is no assurance that we will be successful in attracting and retaining talented sales personnel or strategic partners or that any new sales personnel or strategic partners will be able to achieve productivity in a reasonable period of time or at all. We also plan to dedicate significant resources to sales and marketing programs, including through electronic marketing campaigns and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0" w:right="259" w:bottom="1440" w:gutter="0" w:footer="0" w:header="0"/>
        </w:sectPr>
      </w:pPr>
    </w:p>
    <w:bookmarkStart w:id="22" w:name="page23"/>
    <w:bookmarkEnd w:id="2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47"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Cyber Exposure ecosystem by integrating third party data into our platform.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third-party threat data that is used in our solutions in order to deliver our offerings. In the future, this data may not be available to us on commercially reasonable terms, or at all. Any loss of the right to use any of this data could result in delays in the provisioning of our offerings until equivalent data is either developed by us, or, if available, is identified, obtained and integrated, which could harm our business.</w:t>
      </w:r>
    </w:p>
    <w:p>
      <w:pPr>
        <w:spacing w:after="0" w:line="21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 In the event of a major hurricane, earthquake or catastrophic event such as fire, power loss, telecommunications failure, cyberattack, war or terrorist attack that impacts our corporate headquarters, other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Recent and future acquisitions could disrupt our business and adversely affect our business operations and financial results.</w:t>
      </w:r>
    </w:p>
    <w:p>
      <w:pPr>
        <w:spacing w:after="0" w:line="247"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We have in the past acquired products, technologies and businesses from other parties, such as our recent acquisition of Indegy Ltd. in December 2019, and we may choose to expand our current business by acquiring additional businesses or technologies in the future. Acquisitions, including the Indegy acquisition, involve many risks, including the following:</w:t>
      </w:r>
    </w:p>
    <w:p>
      <w:pPr>
        <w:spacing w:after="0" w:line="94" w:lineRule="exact"/>
        <w:rPr>
          <w:sz w:val="20"/>
          <w:szCs w:val="20"/>
          <w:color w:val="auto"/>
        </w:rPr>
      </w:pPr>
    </w:p>
    <w:p>
      <w:pPr>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42"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250"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3" w:name="page24"/>
    <w:bookmarkEnd w:id="2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63"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63"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63"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96"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loan and security agreement with Silicon Valley Bank includes restrictive covenants relating to our capital raising activities and other financial and operational matters, which may make it more difficult for us to obtain additional capital and to pursue business opportunities, including potential acquisitions, and any debt financing that we secure in the future could have similar restrictive covenants.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89" w:lineRule="exact"/>
        <w:rPr>
          <w:sz w:val="20"/>
          <w:szCs w:val="20"/>
          <w:color w:val="auto"/>
        </w:rPr>
      </w:pPr>
    </w:p>
    <w:p>
      <w:pPr>
        <w:ind w:right="100" w:firstLine="324"/>
        <w:spacing w:after="0" w:line="269"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Significant changes in current principles will affect our consolidated financial statements and changes in financial accounting standards or practices may cause adverse, unexpected financial reporting fluctuations and harm our results of operations.</w:t>
      </w:r>
    </w:p>
    <w:p>
      <w:pPr>
        <w:spacing w:after="0" w:line="190" w:lineRule="exact"/>
        <w:rPr>
          <w:sz w:val="20"/>
          <w:szCs w:val="20"/>
          <w:color w:val="auto"/>
        </w:rPr>
      </w:pPr>
    </w:p>
    <w:p>
      <w:pPr>
        <w:ind w:right="480" w:firstLine="324"/>
        <w:spacing w:after="0" w:line="253"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or FASB, the Securities and Exchange Commission, or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184"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5" w:lineRule="exact"/>
        <w:rPr>
          <w:sz w:val="20"/>
          <w:szCs w:val="20"/>
          <w:color w:val="auto"/>
        </w:rPr>
      </w:pPr>
    </w:p>
    <w:p>
      <w:pPr>
        <w:ind w:right="340" w:firstLine="324"/>
        <w:spacing w:after="0" w:line="271"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w:t>
      </w:r>
    </w:p>
    <w:p>
      <w:pPr>
        <w:spacing w:after="0" w:line="200" w:lineRule="exact"/>
        <w:rPr>
          <w:sz w:val="20"/>
          <w:szCs w:val="20"/>
          <w:color w:val="auto"/>
        </w:rPr>
      </w:pPr>
    </w:p>
    <w:p>
      <w:pPr>
        <w:spacing w:after="0" w:line="20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40" w:right="279" w:bottom="1440" w:gutter="0" w:footer="0" w:header="0"/>
        </w:sectPr>
      </w:pPr>
    </w:p>
    <w:bookmarkStart w:id="24" w:name="page25"/>
    <w:bookmarkEnd w:id="2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amount of revenue and expenses that are not readily apparent from other sources.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including the estimated underlying fair value of our common stock prior to our IPO,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0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7"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state sales tax, value added, or other transaction taxes, and we could be subject to liability with respect to all or a portion of past or future sales.</w:t>
      </w:r>
    </w:p>
    <w:p>
      <w:pPr>
        <w:spacing w:after="0" w:line="17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w:t>
      </w:r>
    </w:p>
    <w:p>
      <w:pPr>
        <w:spacing w:after="0" w:line="20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solutions, or the imposition of new laws or regulations requiring the payment of additional taxes, would create increased costs and administrative burdens for us. If we are subject to additional taxes and determine to offset such increased costs by collecting and remitting sales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sales or otherwise harm our business and operating results.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As of December 31, 2019 we had federal, state and foreign net operating loss carryforwards, or NOLs, of $ 186.0 million, $132.0 million, and $163.6 million, respectively, available to offset future taxable income, which begin to expire in 2030. A lack of future taxable income would adversely affect our ability to utilize these NOLs before they expire.</w:t>
      </w:r>
    </w:p>
    <w:p>
      <w:pPr>
        <w:spacing w:after="0" w:line="20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NOLs if a company experiences a more-than -50-percent ownership change over a three-year testing period. Based upon an analysis as of December 31, 2017, we determined that we do not expect these limitations to impair our ability to use our NOLs prior to expiration. However, if changes in our ownership occur in the future, our ability to use our NOLs may be further limited. For these reasons, we may not be able to utilize a material portion of the NOLs, even if we achieve profitability.</w:t>
      </w:r>
    </w:p>
    <w:p>
      <w:pPr>
        <w:spacing w:after="0" w:line="185"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Uncertainties in the interpretation and application of the 2017 Tax Cuts and Jobs Act and possible future changes in tax laws or regulations could materially affect our tax obligations and effective tax rate.</w:t>
      </w:r>
    </w:p>
    <w:p>
      <w:pPr>
        <w:spacing w:after="0" w:line="175" w:lineRule="exact"/>
        <w:rPr>
          <w:sz w:val="20"/>
          <w:szCs w:val="20"/>
          <w:color w:val="auto"/>
        </w:rPr>
      </w:pPr>
    </w:p>
    <w:p>
      <w:pPr>
        <w:ind w:right="460" w:firstLine="324"/>
        <w:spacing w:after="0" w:line="254" w:lineRule="auto"/>
        <w:rPr>
          <w:sz w:val="20"/>
          <w:szCs w:val="20"/>
          <w:color w:val="auto"/>
        </w:rPr>
      </w:pPr>
      <w:r>
        <w:rPr>
          <w:rFonts w:ascii="Arial" w:cs="Arial" w:eastAsia="Arial" w:hAnsi="Arial"/>
          <w:sz w:val="18"/>
          <w:szCs w:val="18"/>
          <w:color w:val="auto"/>
        </w:rPr>
        <w:t>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w:t>
      </w:r>
    </w:p>
    <w:p>
      <w:pPr>
        <w:spacing w:after="0" w:line="200" w:lineRule="exact"/>
        <w:rPr>
          <w:sz w:val="20"/>
          <w:szCs w:val="20"/>
          <w:color w:val="auto"/>
        </w:rPr>
      </w:pPr>
    </w:p>
    <w:p>
      <w:pPr>
        <w:spacing w:after="0" w:line="220"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5" w:name="page26"/>
    <w:bookmarkEnd w:id="2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our assessment of the need for valuation allowances,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20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On December 22, 2017, U.S. Federal tax reform was enacted with the signing of the Tax Cuts and Jobs Act, or TCJA. Future guidance from the U.S. Internal Revenue Service and other tax authorities with respect to the TCJA may affect us, and certain aspects of the TCJA could be repealed or modified in future legislation. Changes in corporate tax rates, the realization of net deferred tax assets relating to our U.S. operations, the taxation of foreign earnings and the deductibility of expenses under the TCJA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TCJA or any newly enacted federal tax legislation.</w:t>
      </w:r>
    </w:p>
    <w:p>
      <w:pPr>
        <w:spacing w:after="0" w:line="184"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are subject to the anti-bribery laws of the jurisdictions in which we operate. This includes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in order to gain or maintain business, including payments to recipients in the public or private sector. We use third-party law firms, accountants, and other representatives for regulatory compliance, sales, and other purposes in several countries. We sell directly and indirectly, via third-party representatives, to the U.S. and non-U.S. customers, both private and government sectors, and our employees and third-party representatives interact with these customers who may include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187" w:lineRule="exact"/>
        <w:rPr>
          <w:sz w:val="20"/>
          <w:szCs w:val="20"/>
          <w:color w:val="auto"/>
        </w:rPr>
      </w:pPr>
    </w:p>
    <w:p>
      <w:pPr>
        <w:jc w:val="center"/>
        <w:ind w:right="20"/>
        <w:spacing w:after="0" w:line="28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w:t>
      </w:r>
    </w:p>
    <w:p>
      <w:pPr>
        <w:spacing w:after="0" w:line="200" w:lineRule="exact"/>
        <w:rPr>
          <w:sz w:val="20"/>
          <w:szCs w:val="20"/>
          <w:color w:val="auto"/>
        </w:rPr>
      </w:pPr>
    </w:p>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6" w:name="page27"/>
    <w:bookmarkEnd w:id="2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For example, the current U.S. administration has been critical of existing trade agreements and may impose more stringent export and import controls. Any decreased use of our products or limitation on our ability to export or sell our products would likely adversely affect our business, financial condition, and results of operations.</w:t>
      </w:r>
    </w:p>
    <w:p>
      <w:pPr>
        <w:spacing w:after="0" w:line="209"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1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a facility clearance and security clearances for employees can be a difficult, sometimes lengthy process. If we do not have employees with the appropriate security clearances,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185"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204"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As of December 31, 2019, we had 16 issued patents and six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“Tenable.io” and "Lumin" names and our Tenable logo in the United States and certain other countries. We have registrations and/or pending applications for additional 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w:t>
      </w:r>
    </w:p>
    <w:p>
      <w:pPr>
        <w:spacing w:after="0" w:line="200" w:lineRule="exact"/>
        <w:rPr>
          <w:sz w:val="20"/>
          <w:szCs w:val="20"/>
          <w:color w:val="auto"/>
        </w:rPr>
      </w:pPr>
    </w:p>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27" w:name="page28"/>
    <w:bookmarkEnd w:id="2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0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21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184"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00" w:lineRule="exact"/>
        <w:rPr>
          <w:sz w:val="20"/>
          <w:szCs w:val="20"/>
          <w:color w:val="auto"/>
        </w:rPr>
      </w:pPr>
    </w:p>
    <w:p>
      <w:pPr>
        <w:spacing w:after="0" w:line="22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28" w:name="page29"/>
    <w:bookmarkEnd w:id="2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9"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12"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47"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9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29" w:name="page30"/>
    <w:bookmarkEnd w:id="2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660" w:right="52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63"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34"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 or the perception that these sales might occur, including in connection with anticipated distributions of shares of our common stock by entities affiliated with members of our Board of Directors;</w:t>
      </w:r>
    </w:p>
    <w:p>
      <w:pPr>
        <w:spacing w:after="0" w:line="34"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2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public trading market may not be sustained.</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Prior to our initial public offering, or IPO, in July 2018, there was no public market or active private market for our common stock. Following our IPO, an active public trading market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4"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w:t>
      </w:r>
    </w:p>
    <w:p>
      <w:pPr>
        <w:spacing w:after="0" w:line="200" w:lineRule="exact"/>
        <w:rPr>
          <w:sz w:val="20"/>
          <w:szCs w:val="20"/>
          <w:color w:val="auto"/>
        </w:rPr>
      </w:pPr>
    </w:p>
    <w:p>
      <w:pPr>
        <w:spacing w:after="0" w:line="22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40" w:right="279" w:bottom="1440" w:gutter="0" w:footer="0" w:header="0"/>
        </w:sectPr>
      </w:pPr>
    </w:p>
    <w:bookmarkStart w:id="30" w:name="page31"/>
    <w:bookmarkEnd w:id="3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180"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or the perception that they might occur, could reduce the price that our common stock might otherwise attain.</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including in connection with anticipated distributions of shares of our common stock by entities affiliated with members of our Board of Directors, could depress the market price of our common stock, impair our ability to raise capital through the sale of additional equity securities and make it more difficult for you to sell your common stock at a time and price that you deem appropriate.</w:t>
      </w:r>
    </w:p>
    <w:p>
      <w:pPr>
        <w:spacing w:after="0" w:line="20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addition, we have filed registration statements on Form S-8 under the Securities Act registering the issuance of shares of common stock subject to options and other equity awards issued or reserved for future issuance under our equity incentive plans. Shares registered under these registration statements, and under additional registration statements on Form S-8 that we may file to register additional shares of common stock pursuant to provisions of our equity incentive plans that provide for an automatic increase in the number of shares reserved and available for issuance each year, are available for sale in the public market subject to vesting arrangements and exercise of options and the restrictions of Rule 144 under the Securities Act in the case of our affiliates.</w:t>
      </w:r>
    </w:p>
    <w:p>
      <w:pPr>
        <w:spacing w:after="0" w:line="187"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equity incentive plan or otherwise will dilute all other stockholders.</w:t>
      </w:r>
    </w:p>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certificate of incorporation authorizes us to issue up to 500,000,000 shares of common stock and up to 10,000,000 shares of preferred stock with such rights and preferences as may be determined by our Board of Directors. Subject to compliance with applicable rules and regulations, in the future we may issue common stock or other securities convertible into shares of our common stock from time to time in connection with a financing, acquisition, investment, our equity incentive plan or otherwise. The number of new shares of our common stock issued in connection with raising additional capital could constitute a material portion of the then outstanding shares of our common stock, which could result in substantial dilution to our existing stockholders and cause the market price of our common stock to decline.</w:t>
      </w:r>
    </w:p>
    <w:p>
      <w:pPr>
        <w:spacing w:after="0" w:line="187" w:lineRule="exact"/>
        <w:rPr>
          <w:sz w:val="20"/>
          <w:szCs w:val="20"/>
          <w:color w:val="auto"/>
        </w:rPr>
      </w:pPr>
    </w:p>
    <w:p>
      <w:pPr>
        <w:ind w:right="420" w:firstLine="324"/>
        <w:spacing w:after="0" w:line="269" w:lineRule="auto"/>
        <w:rPr>
          <w:sz w:val="20"/>
          <w:szCs w:val="20"/>
          <w:color w:val="auto"/>
        </w:rPr>
      </w:pPr>
      <w:r>
        <w:rPr>
          <w:rFonts w:ascii="Arial" w:cs="Arial" w:eastAsia="Arial" w:hAnsi="Arial"/>
          <w:sz w:val="18"/>
          <w:szCs w:val="18"/>
          <w:b w:val="1"/>
          <w:bCs w:val="1"/>
          <w:i w:val="1"/>
          <w:iCs w:val="1"/>
          <w:color w:val="auto"/>
        </w:rPr>
        <w:t>Concentration of ownership among our existing directors, executive officers and holders of 5% or more of our outstanding common stock may prevent new investors from influencing significant corporate decisions, including the ability to influence the outcome of director elections and other matters requiring stockholder approval.</w:t>
      </w:r>
    </w:p>
    <w:p>
      <w:pPr>
        <w:spacing w:after="0" w:line="190"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executive officers, directors and current beneficial owners of 5% or more of our common stock beneficially own a significant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82"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a public company, we are subject to the reporting and corporate governance requirements of the Exchange Act, the listing requirements of the Nasdaq and other 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 particularly as we are no longer an “emerging growth company” as of December 31, 2019.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results of operations and prospects. Although we have already hired, and are in the</w:t>
      </w:r>
    </w:p>
    <w:p>
      <w:pPr>
        <w:spacing w:after="0" w:line="200" w:lineRule="exact"/>
        <w:rPr>
          <w:sz w:val="20"/>
          <w:szCs w:val="20"/>
          <w:color w:val="auto"/>
        </w:rPr>
      </w:pPr>
    </w:p>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0" w:right="259" w:bottom="1440" w:gutter="0" w:footer="0" w:header="0"/>
        </w:sectPr>
      </w:pPr>
    </w:p>
    <w:bookmarkStart w:id="31" w:name="page32"/>
    <w:bookmarkEnd w:id="3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process of hiring, additional personnel to help comply with these requirements, we may need to further expand our legal and finance departments in the future, which will increase our costs and expenses.</w:t>
      </w:r>
    </w:p>
    <w:p>
      <w:pPr>
        <w:spacing w:after="0" w:line="196"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21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committee and compensation committee.</w:t>
      </w:r>
    </w:p>
    <w:p>
      <w:pPr>
        <w:spacing w:after="0" w:line="204" w:lineRule="exact"/>
        <w:rPr>
          <w:sz w:val="20"/>
          <w:szCs w:val="20"/>
          <w:color w:val="auto"/>
        </w:rPr>
      </w:pPr>
    </w:p>
    <w:p>
      <w:pPr>
        <w:ind w:right="540" w:firstLine="324"/>
        <w:spacing w:after="0" w:line="262" w:lineRule="auto"/>
        <w:rPr>
          <w:sz w:val="20"/>
          <w:szCs w:val="20"/>
          <w:color w:val="auto"/>
        </w:rPr>
      </w:pPr>
      <w:r>
        <w:rPr>
          <w:rFonts w:ascii="Arial" w:cs="Arial" w:eastAsia="Arial" w:hAnsi="Arial"/>
          <w:sz w:val="18"/>
          <w:szCs w:val="18"/>
          <w:color w:val="auto"/>
        </w:rPr>
        <w:t>In addition, as a result of our disclosure obligations as a public company, we may have reduced strategic flexibility and may be under pressure to focus on short-term results, which could materially and adversely affect our ability to achieve long-term profitability.</w:t>
      </w:r>
    </w:p>
    <w:p>
      <w:pPr>
        <w:spacing w:after="0" w:line="174"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loan and security agreement with Silicon Valley Bank contains restrictive covenants that prohibit us, subject to certain exceptions, from paying dividends on our common stock.</w:t>
      </w:r>
    </w:p>
    <w:p>
      <w:pPr>
        <w:spacing w:after="0" w:line="187" w:lineRule="exact"/>
        <w:rPr>
          <w:sz w:val="20"/>
          <w:szCs w:val="20"/>
          <w:color w:val="auto"/>
        </w:rPr>
      </w:pPr>
    </w:p>
    <w:p>
      <w:pPr>
        <w:ind w:right="280" w:firstLine="324"/>
        <w:spacing w:after="0" w:line="269"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This report by management is included in Part II, Item 9A of this Form 10-K. In addition, now that we have ceased to be an "emerging growth company," our independent registered public accounting firm is required to attest to the effectiveness of our internal control over financial reporting in this Form 10-K. We are also required to disclose significant changes made in our internal control procedures on a quarterly basis.</w:t>
      </w:r>
    </w:p>
    <w:p>
      <w:pPr>
        <w:spacing w:after="0" w:line="20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2" w:name="page33"/>
    <w:bookmarkEnd w:id="3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0" w:lineRule="exact"/>
        <w:rPr>
          <w:sz w:val="20"/>
          <w:szCs w:val="20"/>
          <w:color w:val="auto"/>
        </w:rPr>
      </w:pPr>
    </w:p>
    <w:p>
      <w:pPr>
        <w:ind w:right="220" w:firstLine="324"/>
        <w:spacing w:after="0" w:line="269"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6" w:lineRule="exact"/>
        <w:rPr>
          <w:sz w:val="20"/>
          <w:szCs w:val="20"/>
          <w:color w:val="auto"/>
        </w:rPr>
      </w:pPr>
    </w:p>
    <w:p>
      <w:pPr>
        <w:ind w:left="6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34" w:lineRule="exact"/>
        <w:rPr>
          <w:rFonts w:ascii="Arial" w:cs="Arial" w:eastAsia="Arial" w:hAnsi="Arial"/>
          <w:sz w:val="18"/>
          <w:szCs w:val="18"/>
          <w:color w:val="auto"/>
        </w:rPr>
      </w:pPr>
    </w:p>
    <w:p>
      <w:pPr>
        <w:ind w:left="660" w:right="38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9"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4"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34"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39"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42" w:lineRule="exact"/>
        <w:rPr>
          <w:rFonts w:ascii="Arial" w:cs="Arial" w:eastAsia="Arial" w:hAnsi="Arial"/>
          <w:sz w:val="18"/>
          <w:szCs w:val="18"/>
          <w:color w:val="auto"/>
        </w:rPr>
      </w:pPr>
    </w:p>
    <w:p>
      <w:pPr>
        <w:ind w:left="660" w:right="18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39"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3" w:name="page34"/>
    <w:bookmarkEnd w:id="3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80" w:firstLine="324"/>
        <w:spacing w:after="0" w:line="26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9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amended and restated certificate of incorporation or our amended and restated bylaws, or any action asserting a claim against us that is governed by the internal affairs doctrine. This exclusive forum provision, if permitted by applicable law, may limit a stockholder’s ability to bring a claim in a judicial forum that it finds favorable for disputes with us or our directors, officers or other employees, which may discourage such lawsuits against us and our directors, officers or other employees. If a court were to find this exclusive forum provision to be inapplicable or unenforceable in an action, we may incur additional costs associated with resolving such action in other jurisdictions, which could adversely affect our results of operations and financial condition.</w:t>
      </w:r>
    </w:p>
    <w:p>
      <w:pPr>
        <w:spacing w:after="0" w:line="21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 Recently, the Delaware Chancery Court issued an opinion invalidating such a provision. In light of that recent decision, we will not attempt to enforce this provision of our amended and restated certificate of incorporation to the extent it is not permitted by applicable law. As a result, we may incur additional costs associated with resolving disputes that would otherwise be restricted by that provision in other jurisdictions, which could seriously harm our business.</w:t>
      </w:r>
    </w:p>
    <w:p>
      <w:pPr>
        <w:spacing w:after="0" w:line="18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tab/>
        <w:t>Unresolved Staff Comments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corporate headquarters are located in Columbia, Maryland and consist of approximately 96,000 square feet under leases that expire in May 2021 and May 2020. We have entered into a lease for our planned new corporate headquarters located in Columbia, Maryland, which consists of approximately 160,000 square feet under a lease that expires in February 2032, which we plan to occupy in 2020. We maintain additional offices in multiple locations in the United States and internationally in Europe and the Middle East, Asia Pacific and South America. We believe that our current facilities are adequate to meet our ongoing needs and that suitable additional alternative spaces will be available in the future on commercially reasonable terms.</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sectPr>
      </w:pPr>
    </w:p>
    <w:bookmarkStart w:id="34" w:name="page35"/>
    <w:bookmarkEnd w:id="3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trades on the Nasdaq Global Select Market under the ticker symbol "TENB."</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47" w:lineRule="exact"/>
        <w:rPr>
          <w:sz w:val="20"/>
          <w:szCs w:val="20"/>
          <w:color w:val="auto"/>
        </w:rPr>
      </w:pPr>
    </w:p>
    <w:p>
      <w:pPr>
        <w:jc w:val="both"/>
        <w:ind w:right="680" w:firstLine="324"/>
        <w:spacing w:after="0" w:line="262" w:lineRule="auto"/>
        <w:rPr>
          <w:sz w:val="20"/>
          <w:szCs w:val="20"/>
          <w:color w:val="auto"/>
        </w:rPr>
      </w:pPr>
      <w:r>
        <w:rPr>
          <w:rFonts w:ascii="Arial" w:cs="Arial" w:eastAsia="Arial" w:hAnsi="Arial"/>
          <w:sz w:val="18"/>
          <w:szCs w:val="18"/>
          <w:color w:val="auto"/>
        </w:rPr>
        <w:t>At December 31, 2019, we had 34 holders of record. Because many of our shares of common stock are held by brokers and other institutions on behalf of stockholders, we are unable to estimate the total number of stockholders represented by these record holders.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never declared or paid any dividends on our common stock. In addition, our loan and security agreement with Silicon Valley Bank contains restrictive covenants that prohibit us, subject to certain exceptions, from paying dividends on our common stock. We currently intend to retain all available funds and any future earnings for the operation and expansion of our business and do not anticipate declaring or paying cash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 from IPO</w:t>
      </w:r>
    </w:p>
    <w:p>
      <w:pPr>
        <w:spacing w:after="0" w:line="24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pursuant to the full exercise of their over-allotment option to purchase additional shares. The offer and sale of all of the shares in the IPO were registered under the Securities Act pursuant to a registration statement on Form S-1 (File No. 333-226002), which was declared effective by the SEC on July 25, 2018.</w:t>
      </w:r>
    </w:p>
    <w:p>
      <w:pPr>
        <w:spacing w:after="0" w:line="20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Morgan Stanley &amp; Co. LLC, J.P. Morgan Securities LLC, Allen &amp; Company LLC and Deutsche Bank Securities Inc. acted as active book-running managers for the offering. Stifel, Nicolaus &amp; Company, Incorporated acted as passive book-running manager for the offering, and William Blair &amp; Company, L.L.C. and BTIG, LLC acted as co-managers for the offering. The offering commenced on July 25, 2018 and did not terminate before all securities registered on the registration statement were sold.</w:t>
      </w:r>
    </w:p>
    <w:p>
      <w:pPr>
        <w:spacing w:after="0" w:line="204"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We received net proceeds of $264.6 million after deducting underwriting discounts and commissions and offering expenses. No offering expenses incurred by us were paid directly or indirectly to any of our directors, officers or persons owning ten percent or more of our capital stock (or their associates or affiliates).</w:t>
      </w:r>
    </w:p>
    <w:p>
      <w:pPr>
        <w:spacing w:after="0" w:line="202" w:lineRule="exact"/>
        <w:rPr>
          <w:sz w:val="20"/>
          <w:szCs w:val="20"/>
          <w:color w:val="auto"/>
        </w:rPr>
      </w:pPr>
    </w:p>
    <w:p>
      <w:pPr>
        <w:jc w:val="both"/>
        <w:ind w:right="260" w:firstLine="324"/>
        <w:spacing w:after="0" w:line="262"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our IPO dated as of July 25, 2018 and filed with the SEC pursuant to Rule 424(b)(4) under the Securities Act on July 26, 2018.</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40" w:right="299" w:bottom="1440" w:gutter="0" w:footer="0" w:header="0"/>
        </w:sectPr>
      </w:pPr>
    </w:p>
    <w:bookmarkStart w:id="35" w:name="page36"/>
    <w:bookmarkEnd w:id="3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47"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following selected consolidated statements of operations data for the years ended December 31, 2019, 2018 and 2017 and the selected consolidated balance sheet data as of December 31, 2019 and 2018 are derived from our audited consolidated financial statements included in this Annual Report on Form 10-K. The consolidated statements of operations data for the years ended December 31, 2016 and 2015 and consolidated balance sheet data as of December 31, 2017, 2016 and 2015 are from our audited financial statements not included in this Annual Report on Form 10-K.</w:t>
      </w:r>
    </w:p>
    <w:p>
      <w:pPr>
        <w:spacing w:after="0" w:line="206"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You should read the following selected financial data with the historical consolidated financial statements and related notes to those statements, as well as “Management’s Discussion and Analysis of Financial Condition and Results of Operations,” included in this Annual Report on Form 10-K.</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64"/>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2015</w:t>
            </w:r>
          </w:p>
        </w:tc>
      </w:tr>
      <w:tr>
        <w:trPr>
          <w:trHeight w:val="257"/>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354,586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267,360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187,727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124,371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93,466</w:t>
            </w:r>
          </w:p>
        </w:tc>
      </w:tr>
      <w:tr>
        <w:trPr>
          <w:trHeight w:val="27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60,818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43,167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25,588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14,219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10,914</w:t>
            </w:r>
          </w:p>
        </w:tc>
      </w:tr>
      <w:tr>
        <w:trPr>
          <w:trHeight w:val="25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293,768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224,193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162,139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110,152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82,552</w:t>
            </w:r>
          </w:p>
        </w:tc>
      </w:tr>
      <w:tr>
        <w:trPr>
          <w:trHeight w:val="263"/>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228,035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173,344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116,299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85,736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60,635</w:t>
            </w:r>
          </w:p>
        </w:tc>
      </w:tr>
      <w:tr>
        <w:trPr>
          <w:trHeight w:val="270"/>
        </w:trPr>
        <w:tc>
          <w:tcPr>
            <w:tcW w:w="4680" w:type="dxa"/>
            <w:vAlign w:val="bottom"/>
          </w:tcPr>
          <w:p>
            <w:pPr>
              <w:ind w:left="2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87,064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76,698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57,673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40,085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25,288</w:t>
            </w:r>
          </w:p>
        </w:tc>
      </w:tr>
      <w:tr>
        <w:trPr>
          <w:trHeight w:val="270"/>
        </w:trPr>
        <w:tc>
          <w:tcPr>
            <w:tcW w:w="4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69,468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46,732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28,927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20,164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15,348</w:t>
            </w:r>
          </w:p>
        </w:tc>
      </w:tr>
      <w:tr>
        <w:trPr>
          <w:trHeight w:val="270"/>
        </w:trPr>
        <w:tc>
          <w:tcPr>
            <w:tcW w:w="4680" w:type="dxa"/>
            <w:vAlign w:val="bottom"/>
          </w:tcPr>
          <w:p>
            <w:pPr>
              <w:ind w:left="280"/>
              <w:spacing w:after="0"/>
              <w:rPr>
                <w:sz w:val="20"/>
                <w:szCs w:val="20"/>
                <w:color w:val="auto"/>
              </w:rPr>
            </w:pPr>
            <w:r>
              <w:rPr>
                <w:rFonts w:ascii="Arial" w:cs="Arial" w:eastAsia="Arial" w:hAnsi="Arial"/>
                <w:sz w:val="18"/>
                <w:szCs w:val="18"/>
                <w:color w:val="auto"/>
              </w:rPr>
              <w:t>Recapitalization costs</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67,039</w:t>
            </w:r>
          </w:p>
        </w:tc>
      </w:tr>
      <w:tr>
        <w:trPr>
          <w:trHeight w:val="244"/>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384,567</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296,774</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202,899</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145,985</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168,310</w:t>
            </w:r>
          </w:p>
        </w:tc>
      </w:tr>
      <w:tr>
        <w:trPr>
          <w:trHeight w:val="250"/>
        </w:trPr>
        <w:tc>
          <w:tcPr>
            <w:tcW w:w="4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(72,581)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(85,758)</w:t>
            </w:r>
          </w:p>
        </w:tc>
      </w:tr>
      <w:tr>
        <w:trPr>
          <w:trHeight w:val="277"/>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64"/>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57"/>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(85,947)</w:t>
            </w:r>
          </w:p>
        </w:tc>
      </w:tr>
      <w:tr>
        <w:trPr>
          <w:trHeight w:val="264"/>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13,364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w:t>
            </w:r>
          </w:p>
        </w:tc>
      </w:tr>
      <w:tr>
        <w:trPr>
          <w:trHeight w:val="257"/>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(83,759)</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Accretion of Series A and B redeemable convertible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4680" w:type="dxa"/>
            <w:vAlign w:val="bottom"/>
          </w:tcPr>
          <w:p>
            <w:pPr>
              <w:ind w:left="2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7"/>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(83,788)</w:t>
            </w: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05"/>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3"/>
        </w:trPr>
        <w:tc>
          <w:tcPr>
            <w:tcW w:w="468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basic and diluted</w:t>
            </w:r>
            <w:r>
              <w:rPr>
                <w:rFonts w:ascii="Arial" w:cs="Arial" w:eastAsia="Arial" w:hAnsi="Arial"/>
                <w:sz w:val="21"/>
                <w:szCs w:val="21"/>
                <w:color w:val="auto"/>
                <w:vertAlign w:val="superscript"/>
              </w:rPr>
              <w:t>(4)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Weighted-average shares used to compute net loss per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3"/>
        </w:trPr>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share attributable to common stockholders, basic and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7"/>
        </w:trPr>
        <w:tc>
          <w:tcPr>
            <w:tcW w:w="4680" w:type="dxa"/>
            <w:vAlign w:val="bottom"/>
          </w:tcPr>
          <w:p>
            <w:pPr>
              <w:ind w:left="1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57,654</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right="80" w:firstLine="8"/>
        <w:spacing w:after="0" w:line="256"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We adopted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on January 1, 2017 using the modified retrospective method. The 2016 and 2015 consolidated statements of operations were not adjusted for the adoption of ASC 606.</w:t>
      </w:r>
    </w:p>
    <w:p>
      <w:pPr>
        <w:spacing w:after="0" w:line="31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0" w:right="259" w:bottom="1440" w:gutter="0" w:footer="0" w:header="0"/>
        </w:sectPr>
      </w:pPr>
    </w:p>
    <w:bookmarkStart w:id="36" w:name="page37"/>
    <w:bookmarkEnd w:id="3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63"/>
        </w:trPr>
        <w:tc>
          <w:tcPr>
            <w:tcW w:w="44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16,032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6,911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866</w:t>
            </w:r>
          </w:p>
        </w:tc>
      </w:tr>
      <w:tr>
        <w:trPr>
          <w:trHeight w:val="27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15,683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8,453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509</w:t>
            </w:r>
          </w:p>
        </w:tc>
      </w:tr>
      <w:tr>
        <w:trPr>
          <w:trHeight w:val="257"/>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43,443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22,875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1,679</w:t>
            </w:r>
          </w:p>
        </w:tc>
      </w:tr>
      <w:tr>
        <w:trPr>
          <w:trHeight w:val="20"/>
        </w:trPr>
        <w:tc>
          <w:tcPr>
            <w:tcW w:w="4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820" w:firstLine="8"/>
        <w:spacing w:after="0" w:line="262"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recorded a charge of $67.0 million primarily resulting from the repurchase price paid to common stockholders exceeding the estimated fair value of the common stock on the date of the Series B financing.</w:t>
      </w:r>
    </w:p>
    <w:p>
      <w:pPr>
        <w:spacing w:after="0" w:line="88" w:lineRule="exact"/>
        <w:rPr>
          <w:rFonts w:ascii="Arial" w:cs="Arial" w:eastAsia="Arial" w:hAnsi="Arial"/>
          <w:sz w:val="18"/>
          <w:szCs w:val="18"/>
          <w:color w:val="auto"/>
        </w:rPr>
      </w:pPr>
    </w:p>
    <w:p>
      <w:pPr>
        <w:ind w:right="20" w:firstLine="8"/>
        <w:spacing w:after="0" w:line="262"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10 to our consolidated financial statements in this Annual Report on Form 10-K for details on the calculation of basic and diluted net loss per share attributable to common stockholders.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2015</w:t>
            </w: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74,363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165,116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27,210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34,470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43,743</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Working capital (deficit)</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35,319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142,484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13,862</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558,612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460,612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164,337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105,494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83,993</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Deferred revenue, current and non-current</w:t>
            </w:r>
          </w:p>
        </w:tc>
        <w:tc>
          <w:tcPr>
            <w:tcW w:w="3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363,127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289,903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225,818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107,447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63,218</w:t>
            </w: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3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277,735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276,972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276,209</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(565,121)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(466,108)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(392,587)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(313,147)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(275,939)</w:t>
            </w: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98,905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121,763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(371,665)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(266,862)</w:t>
            </w:r>
          </w:p>
        </w:tc>
      </w:tr>
      <w:tr>
        <w:trPr>
          <w:trHeight w:val="121"/>
        </w:trPr>
        <w:tc>
          <w:tcPr>
            <w:tcW w:w="4460" w:type="dxa"/>
            <w:vAlign w:val="bottom"/>
          </w:tcPr>
          <w:p>
            <w:pPr>
              <w:spacing w:after="0" w:line="121" w:lineRule="exact"/>
              <w:rPr>
                <w:sz w:val="20"/>
                <w:szCs w:val="20"/>
                <w:color w:val="auto"/>
              </w:rPr>
            </w:pPr>
            <w:r>
              <w:rPr>
                <w:rFonts w:ascii="Arial" w:cs="Arial" w:eastAsia="Arial" w:hAnsi="Arial"/>
                <w:sz w:val="11"/>
                <w:szCs w:val="11"/>
                <w:color w:val="auto"/>
              </w:rPr>
              <w:t>_______________</w:t>
            </w: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ind w:right="100" w:firstLine="8"/>
        <w:spacing w:after="0" w:line="254"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define working capital (deficit) as total current assets less total current liabilities. See our consolidated financial statements in this Annual Report on Form 10-K for further details regarding our current assets and current liabilities. Changes in working capital (deficit) between 2016 and 2017 reflect increases in deferred revenue and deferred commissions as a result of our subscription model and our adoption of ASC 606 on January 1, 2017.</w:t>
      </w:r>
    </w:p>
    <w:p>
      <w:pPr>
        <w:spacing w:after="0" w:line="200" w:lineRule="exact"/>
        <w:rPr>
          <w:sz w:val="20"/>
          <w:szCs w:val="20"/>
          <w:color w:val="auto"/>
        </w:rPr>
      </w:pP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7" w:name="page38"/>
    <w:bookmarkEnd w:id="3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or this Form 10-K. This Form 10-K contains forward-looking statements within the meaning of Section 27A of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Form 10-K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1" w:lineRule="exact"/>
        <w:rPr>
          <w:sz w:val="20"/>
          <w:szCs w:val="20"/>
          <w:color w:val="auto"/>
        </w:rPr>
      </w:pPr>
    </w:p>
    <w:p>
      <w:pPr>
        <w:jc w:val="both"/>
        <w:ind w:right="40" w:firstLine="324"/>
        <w:spacing w:after="0" w:line="282" w:lineRule="auto"/>
        <w:rPr>
          <w:sz w:val="20"/>
          <w:szCs w:val="20"/>
          <w:color w:val="auto"/>
        </w:rPr>
      </w:pPr>
      <w:r>
        <w:rPr>
          <w:rFonts w:ascii="Arial" w:cs="Arial" w:eastAsia="Arial" w:hAnsi="Arial"/>
          <w:sz w:val="18"/>
          <w:szCs w:val="18"/>
          <w:i w:val="1"/>
          <w:iCs w:val="1"/>
          <w:color w:val="auto"/>
        </w:rPr>
        <w:t>On December 2, 2019, we acquired Indegy Ltd. (“Indegy”) to expand our Operational Technology ("OT") specific capabilities. The results of operations of Indegy were not material to our consolidated statement of operations for 2019.</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are a leading provider of solutions for a new category of cybersecurity that we call Cyber Exposure. Cyber Exposure is a discipline for managing, measuring and comparing cybersecurity risk in the digital era. Our enterprise platform enables broad visibility into an organization’s cyber exposure across the modern attack surface and deep insights that help organizations translate vulnerability data into business insights to understand and reduce their cybersecurity risk.</w:t>
      </w:r>
    </w:p>
    <w:p>
      <w:pPr>
        <w:spacing w:after="0" w:line="20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enterprise platform offerings include Tenable.io, which is our software as a service, or SaaS, offering and Tenable.sc, which is our on-premises offering, both of which provide organizations with applications purpose-built for areas of both traditional and modern attack surfaces, including IT infrastructure and applications, cloud environments and Industrial IoT and OT environments. These applications are designed with views, workflows and dashboards to help identify vulnerabilities, internal and regulatory compliance violations, misconfigurations and other cybersecurity issues, prioritize these issues for remediation, and provide insightful remediation guidance.</w:t>
      </w:r>
    </w:p>
    <w:p>
      <w:pPr>
        <w:spacing w:after="0" w:line="206"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Our enterprise platform offerings are primarily sold on a subscription basis with a one-year term. Our subscription terms are generally not longer than three years. These offerings are typically prepaid in advance. To a lesser extent, we generate ratably recognizable revenue from perpetual licenses and from the related ongoing maintenance.</w:t>
      </w:r>
    </w:p>
    <w:p>
      <w:pPr>
        <w:spacing w:after="0" w:line="20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industry’s most widely deployed vulnerability assessment solutions. Nessus, which is the technology that underpins our enterprise platform offerings, is designed to quickly and accurately identify vulnerabilities, configuration and compliance issues and malware. Our free version of Nessus, Nessus Essentials, allows for vulnerability assessment over a limited number of IP addresses. We believe many of our Nessus customers begin with Nessus Essentials and subsequently upgrade to Nessus Professional, the paid version of Nessus; however, we expect many users to continue to use Nessus Essentials.</w:t>
      </w:r>
    </w:p>
    <w:p>
      <w:pPr>
        <w:spacing w:after="0" w:line="20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experienced rapid growth in recent years. Revenue in 2019, 2018 and 2017 was $354.6 million, $ 267.4 million and $187.7 million, respectively, representing year-over-year growth of 33% and 42%, respectively. Our net loss in 2019, 2018 and 2017 was $99.0 million, $73.5 million and $41.0 million, respectively, as we continue to invest in our business and market opportunity.</w:t>
      </w:r>
    </w:p>
    <w:p>
      <w:pPr>
        <w:spacing w:after="0" w:line="200" w:lineRule="exact"/>
        <w:rPr>
          <w:sz w:val="20"/>
          <w:szCs w:val="20"/>
          <w:color w:val="auto"/>
        </w:rPr>
      </w:pPr>
    </w:p>
    <w:p>
      <w:pPr>
        <w:spacing w:after="0" w:line="218"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0" w:right="259" w:bottom="1440" w:gutter="0" w:footer="0" w:header="0"/>
        </w:sectPr>
      </w:pPr>
    </w:p>
    <w:bookmarkStart w:id="38" w:name="page39"/>
    <w:bookmarkEnd w:id="3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354,586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267,360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187,727</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(90,799)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(72,581)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(40,760)</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(41,022)</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(20,674)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(2,755)</w:t>
            </w: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enterprise platform provides visibility into the broadest range of traditional and modern IT assets across cloud and on-</w:t>
      </w:r>
    </w:p>
    <w:p>
      <w:pPr>
        <w:spacing w:after="0" w:line="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premises environments. We are intensely focused on continued innovation and ongoing development of our enterprise platform offerings that empower organizations to understand and reduce their cyber exposure. Additionally, we continue to expand the capabilities of our Nessus products, specifically as they relate to the ability to scan for and detect the rapidly expanding volume of vulnerabilities.</w:t>
      </w:r>
    </w:p>
    <w:p>
      <w:pPr>
        <w:spacing w:after="0" w:line="20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our enterprise platform customers will increase future opportunities for renewals and follow-on sales. We believe that we have significant room to increase our market share.</w:t>
      </w:r>
    </w:p>
    <w:p>
      <w:pPr>
        <w:spacing w:after="0" w:line="20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We have increased our sales and marketing headcount in recent years and we will continue to invest in our partner network and sales and marketing capability in order to grow domestically and internationally.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internet of things, or IoT, and operational technology, or OT, they often increase the scope of their subscriptions and/or add additional perpetual licenses to our enterprise platforms.</w:t>
      </w:r>
    </w:p>
    <w:p>
      <w:pPr>
        <w:spacing w:after="0" w:line="20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Professional customers are typically organizations or independent security consultants that use Nessus Professional for a single vulnerability assessment at a point in time. We seek to convert these customers to our enterprise platform offerings, which provide continuous visibility and insights into their attack surface, as their needs develop.</w:t>
      </w:r>
    </w:p>
    <w:p>
      <w:pPr>
        <w:spacing w:after="0" w:line="200" w:lineRule="exact"/>
        <w:rPr>
          <w:sz w:val="20"/>
          <w:szCs w:val="20"/>
          <w:color w:val="auto"/>
        </w:rPr>
      </w:pP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39" w:name="page40"/>
    <w:bookmarkEnd w:id="3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Further, we plan to expand existing platform capabilities and launch new products,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 However, our ability to increase sales to existing customers will depend on a number of factors, including satisfaction or dissatisfaction with our products and services, competition, pricing, economic conditions or overall changes in our spending levels.</w:t>
      </w:r>
    </w:p>
    <w:p>
      <w:pPr>
        <w:spacing w:after="0" w:line="209"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We evaluate our ability to expand sales with our existing customers by assessing our dollar-based net expansion rate. We calculate our dollar-based net expansion rate as follows:</w:t>
      </w:r>
    </w:p>
    <w:p>
      <w:pPr>
        <w:spacing w:after="0" w:line="196" w:lineRule="exact"/>
        <w:rPr>
          <w:sz w:val="20"/>
          <w:szCs w:val="20"/>
          <w:color w:val="auto"/>
        </w:rPr>
      </w:pPr>
    </w:p>
    <w:p>
      <w:pPr>
        <w:ind w:left="660" w:right="180" w:hanging="328"/>
        <w:spacing w:after="0" w:line="25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204"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25" w:lineRule="exact"/>
        <w:rPr>
          <w:sz w:val="20"/>
          <w:szCs w:val="20"/>
          <w:color w:val="auto"/>
        </w:rPr>
      </w:pPr>
    </w:p>
    <w:p>
      <w:pPr>
        <w:jc w:val="both"/>
        <w:ind w:right="420" w:firstLine="324"/>
        <w:spacing w:after="0" w:line="256" w:lineRule="auto"/>
        <w:rPr>
          <w:sz w:val="20"/>
          <w:szCs w:val="20"/>
          <w:color w:val="auto"/>
        </w:rPr>
      </w:pPr>
      <w:r>
        <w:rPr>
          <w:rFonts w:ascii="Arial" w:cs="Arial" w:eastAsia="Arial" w:hAnsi="Arial"/>
          <w:sz w:val="18"/>
          <w:szCs w:val="18"/>
          <w:color w:val="auto"/>
        </w:rPr>
        <w:t>While our dollar-based net expansion rate may decline or fluctuate from quarter to quarter based on the result of a number of factors, including our existing customers' satisfaction with our solutions, the pricing of our solutions and the ability of competing solutions and the pricing thereof, our dollar-based net expansion rate has historically exceeded, and we expect that it will continue to exceed, 110%.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 technological leadership position in Cyber Exposure and enhance the functionality of our solutions. Any investments we make in our sales and marketing and research and development teams will occur in advance of experiencing the benefits from such investments, so it may be difficult for us to determine if we are efficiently allocating resources in those areas. We may also explore acquisitions of businesses, technology and/or development personnel that will expand and enhance the functionality of our platform offerings. These investment activities could increase our net losses over the short term if our revenue growth does not increase at higher rates. However, we expect that these investments will ultimately benefit our results of operations.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47"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and financial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20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present these operating metrics and non-GAAP financial measures to assist investors in seeing our operating and financial performance using a management view and because we believe that these measures provide an additional tool for investors to use in comparing our core operating and financial performance over multiple periods with other companies in our industry.</w:t>
      </w:r>
    </w:p>
    <w:p>
      <w:pPr>
        <w:spacing w:after="0" w:line="200" w:lineRule="exact"/>
        <w:rPr>
          <w:sz w:val="20"/>
          <w:szCs w:val="20"/>
          <w:color w:val="auto"/>
        </w:rPr>
      </w:pPr>
    </w:p>
    <w:p>
      <w:pPr>
        <w:spacing w:after="0" w:line="22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140" w:right="339" w:bottom="1440" w:gutter="0" w:footer="0" w:header="0"/>
        </w:sectPr>
      </w:pPr>
    </w:p>
    <w:bookmarkStart w:id="40" w:name="page41"/>
    <w:bookmarkEnd w:id="4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204"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and that the variability in total billings, depending on the timing of large multi-year contracts and the preference for annual billing versus multi-year upfront billing, may distort growth in one period over another. 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For example, calculated current billings include amounts that have not yet been recognized as revenue; an increasing number of large sales transactions, for which the timing has and will continue to vary, may occur in quarters subsequent to or in advance of those that we anticipate; and our calculation of current billings may be different from other companies that report similar financial measures. Additionally, calculated current billings in any one period may be impacted by the timing of customer renewals, including early renewals, which could favorably or unfavorably impact year-over-year comparisons. Because of these and other limitations, you should consider calculated current billings along with revenue and our other GAAP financial results.</w:t>
      </w:r>
    </w:p>
    <w:p>
      <w:pPr>
        <w:spacing w:after="0" w:line="193"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 xml:space="preserve">Our adoption of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of January 1, 2017 resulted in a $55.0 million increase in deferred revenue primarily related to the deferral of perpetual license revenue. This cumulative adjustment to deferred revenue at January 1, 2017 increased calculated current billings by $16.7 million in 2017, $11.8 million in 2018 and $5.6 million in 2019 and is expected to increase our calculated current billings by $1.9 million in 2020.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354,586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267,360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187,727</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Deferred revenue (current), end of period</w:t>
            </w:r>
          </w:p>
        </w:tc>
        <w:tc>
          <w:tcPr>
            <w:tcW w:w="3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274,348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213,644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154,898</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(current), beginning of period</w:t>
            </w:r>
            <w:r>
              <w:rPr>
                <w:rFonts w:ascii="Arial" w:cs="Arial" w:eastAsia="Arial" w:hAnsi="Arial"/>
                <w:sz w:val="21"/>
                <w:szCs w:val="21"/>
                <w:color w:val="auto"/>
                <w:vertAlign w:val="superscript"/>
              </w:rPr>
              <w:t>(1)(2)</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(214,069)</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(154,898)</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(107,006)</w:t>
            </w:r>
          </w:p>
        </w:tc>
        <w:tc>
          <w:tcPr>
            <w:tcW w:w="0" w:type="dxa"/>
            <w:vAlign w:val="bottom"/>
          </w:tcPr>
          <w:p>
            <w:pPr>
              <w:spacing w:after="0"/>
              <w:rPr>
                <w:sz w:val="1"/>
                <w:szCs w:val="1"/>
                <w:color w:val="auto"/>
              </w:rPr>
            </w:pPr>
          </w:p>
        </w:tc>
      </w:tr>
      <w:tr>
        <w:trPr>
          <w:trHeight w:val="250"/>
        </w:trPr>
        <w:tc>
          <w:tcPr>
            <w:tcW w:w="7080" w:type="dxa"/>
            <w:vAlign w:val="bottom"/>
          </w:tcPr>
          <w:p>
            <w:pPr>
              <w:ind w:left="280"/>
              <w:spacing w:after="0"/>
              <w:rPr>
                <w:sz w:val="20"/>
                <w:szCs w:val="20"/>
                <w:color w:val="auto"/>
              </w:rPr>
            </w:pPr>
            <w:r>
              <w:rPr>
                <w:rFonts w:ascii="Arial" w:cs="Arial" w:eastAsia="Arial" w:hAnsi="Arial"/>
                <w:sz w:val="18"/>
                <w:szCs w:val="18"/>
                <w:color w:val="auto"/>
              </w:rPr>
              <w:t>Calculated current billings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414,865</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326,106</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235,619</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70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right="300" w:firstLine="8"/>
        <w:spacing w:after="0" w:line="260" w:lineRule="auto"/>
        <w:tabs>
          <w:tab w:leader="none" w:pos="3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Deferred revenue (current), beginning of period for 2019 includes $0.4 million related to Indegy's deferred revenue at the acquisition date, which is not included in the deferred revenue (current), end of period for 2018.</w:t>
      </w:r>
    </w:p>
    <w:p>
      <w:pPr>
        <w:spacing w:after="0" w:line="33" w:lineRule="exact"/>
        <w:rPr>
          <w:rFonts w:ascii="Arial" w:cs="Arial" w:eastAsia="Arial" w:hAnsi="Arial"/>
          <w:sz w:val="16"/>
          <w:szCs w:val="16"/>
          <w:color w:val="auto"/>
        </w:rPr>
      </w:pPr>
    </w:p>
    <w:p>
      <w:pPr>
        <w:ind w:right="380" w:firstLine="8"/>
        <w:spacing w:after="0" w:line="260" w:lineRule="auto"/>
        <w:tabs>
          <w:tab w:leader="none" w:pos="3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connection with adopting ASC 606, we recorded $19.0 million of current deferred revenue on January 1, 2017 related to perpetual license revenue recognized in prior periods.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 acquisitions. We believe that free cash flow is useful to investors as a liquidity measure because it measures our ability to generate or use cash.</w:t>
      </w:r>
    </w:p>
    <w:p>
      <w:pPr>
        <w:spacing w:after="0" w:line="20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w:t>
      </w:r>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1" w:name="page42"/>
    <w:bookmarkEnd w:id="4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used in operating activities and our other GAAP financial measures.</w:t>
      </w:r>
    </w:p>
    <w:p>
      <w:pPr>
        <w:spacing w:after="0" w:line="204" w:lineRule="exact"/>
        <w:rPr>
          <w:sz w:val="20"/>
          <w:szCs w:val="20"/>
          <w:color w:val="auto"/>
        </w:rPr>
      </w:pPr>
    </w:p>
    <w:p>
      <w:pPr>
        <w:ind w:right="640" w:firstLine="324"/>
        <w:spacing w:after="0" w:line="262" w:lineRule="auto"/>
        <w:rPr>
          <w:sz w:val="20"/>
          <w:szCs w:val="20"/>
          <w:color w:val="auto"/>
        </w:rPr>
      </w:pPr>
      <w:r>
        <w:rPr>
          <w:rFonts w:ascii="Arial" w:cs="Arial" w:eastAsia="Arial" w:hAnsi="Arial"/>
          <w:sz w:val="18"/>
          <w:szCs w:val="18"/>
          <w:color w:val="auto"/>
        </w:rPr>
        <w:t>The following table presents a reconciliation of net cash used in operating activities, the most directly comparable financial measure calculated in accordance with GAAP, to free cash flow: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Free cash flow</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70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right="20" w:firstLine="8"/>
        <w:spacing w:after="0" w:line="250" w:lineRule="auto"/>
        <w:tabs>
          <w:tab w:leader="none" w:pos="378" w:val="left"/>
        </w:tabs>
        <w:numPr>
          <w:ilvl w:val="0"/>
          <w:numId w:val="27"/>
        </w:numPr>
        <w:rPr>
          <w:rFonts w:ascii="Arial" w:cs="Arial" w:eastAsia="Arial" w:hAnsi="Arial"/>
          <w:sz w:val="16"/>
          <w:szCs w:val="16"/>
          <w:color w:val="auto"/>
        </w:rPr>
      </w:pPr>
      <w:r>
        <w:rPr>
          <w:rFonts w:ascii="Arial" w:cs="Arial" w:eastAsia="Arial" w:hAnsi="Arial"/>
          <w:sz w:val="16"/>
          <w:szCs w:val="16"/>
          <w:color w:val="auto"/>
        </w:rPr>
        <w:t>Free cash flow in 2019 included non-recurring cash payments totaling $13.1 million associated with the Indegy acquisition, including $6.7 million for income taxes on the transfer of acquired intellectual property, $3.1 million for other costs related to the intellectual property transfer, $1.8 million for the settlement of unvested acquiree equity awards, and $1.5 million for acquisition-related expenses. Capital expenditures related to our new headquarters in 2019 were $11.4 million. Contributions to our employee stock purchase plan in 2019 and 2018 impacted free cash flow by $(0.9) million and $6.3 million, respectively.</w:t>
      </w:r>
    </w:p>
    <w:p>
      <w:pPr>
        <w:spacing w:after="0" w:line="3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47"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2017</w:t>
            </w:r>
          </w:p>
        </w:tc>
      </w:tr>
      <w:tr>
        <w:trPr>
          <w:trHeight w:val="257"/>
        </w:trPr>
        <w:tc>
          <w:tcPr>
            <w:tcW w:w="7080" w:type="dxa"/>
            <w:vAlign w:val="bottom"/>
            <w:shd w:val="clear" w:color="auto" w:fill="CCEEFF"/>
          </w:tcPr>
          <w:p>
            <w:pPr>
              <w:jc w:val="right"/>
              <w:ind w:right="1908"/>
              <w:spacing w:after="0"/>
              <w:rPr>
                <w:sz w:val="20"/>
                <w:szCs w:val="20"/>
                <w:color w:val="auto"/>
              </w:rPr>
            </w:pPr>
            <w:r>
              <w:rPr>
                <w:rFonts w:ascii="Arial" w:cs="Arial" w:eastAsia="Arial" w:hAnsi="Arial"/>
                <w:sz w:val="18"/>
                <w:szCs w:val="18"/>
                <w:color w:val="auto"/>
                <w:w w:val="99"/>
              </w:rPr>
              <w:t>Number of new enterprise platform customers added in period</w:t>
            </w:r>
            <w:r>
              <w:rPr>
                <w:rFonts w:ascii="Arial" w:cs="Arial" w:eastAsia="Arial" w:hAnsi="Arial"/>
                <w:sz w:val="21"/>
                <w:szCs w:val="21"/>
                <w:color w:val="auto"/>
                <w:w w:val="99"/>
                <w:vertAlign w:val="superscript"/>
              </w:rPr>
              <w:t>(1)</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1,511</w:t>
            </w:r>
          </w:p>
        </w:tc>
        <w:tc>
          <w:tcPr>
            <w:tcW w:w="1800" w:type="dxa"/>
            <w:vAlign w:val="bottom"/>
            <w:gridSpan w:val="3"/>
            <w:shd w:val="clear" w:color="auto" w:fill="CCEEFF"/>
          </w:tcPr>
          <w:p>
            <w:pPr>
              <w:jc w:val="right"/>
              <w:ind w:right="359"/>
              <w:spacing w:after="0"/>
              <w:rPr>
                <w:sz w:val="20"/>
                <w:szCs w:val="20"/>
                <w:color w:val="auto"/>
              </w:rPr>
            </w:pPr>
            <w:r>
              <w:rPr>
                <w:rFonts w:ascii="Arial" w:cs="Arial" w:eastAsia="Arial" w:hAnsi="Arial"/>
                <w:sz w:val="18"/>
                <w:szCs w:val="18"/>
                <w:color w:val="auto"/>
              </w:rPr>
              <w:t>1,178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1,017</w:t>
            </w:r>
          </w:p>
        </w:tc>
      </w:tr>
      <w:tr>
        <w:trPr>
          <w:trHeight w:val="123"/>
        </w:trPr>
        <w:tc>
          <w:tcPr>
            <w:tcW w:w="7080" w:type="dxa"/>
            <w:vAlign w:val="bottom"/>
          </w:tcPr>
          <w:p>
            <w:pPr>
              <w:jc w:val="right"/>
              <w:ind w:right="6108"/>
              <w:spacing w:after="0" w:line="124" w:lineRule="exact"/>
              <w:rPr>
                <w:sz w:val="20"/>
                <w:szCs w:val="20"/>
                <w:color w:val="auto"/>
              </w:rPr>
            </w:pPr>
            <w:r>
              <w:rPr>
                <w:rFonts w:ascii="Arial" w:cs="Arial" w:eastAsia="Arial" w:hAnsi="Arial"/>
                <w:sz w:val="11"/>
                <w:szCs w:val="11"/>
                <w:color w:val="auto"/>
                <w:w w:val="95"/>
              </w:rPr>
              <w:t>_______________</w:t>
            </w: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ind w:right="60" w:firstLine="8"/>
        <w:spacing w:after="0" w:line="253" w:lineRule="auto"/>
        <w:tabs>
          <w:tab w:leader="none" w:pos="378"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Tenable.io or Tenable.sc for an annual amount of $5,000 or greater. New enterprise platform customers represent new customer logos during the periods presented and do not include customer conversions from Nessus Professional to enterprise platforms.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At December 31,</w:t>
            </w:r>
          </w:p>
        </w:tc>
        <w:tc>
          <w:tcPr>
            <w:tcW w:w="136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2017</w:t>
            </w:r>
          </w:p>
        </w:tc>
      </w:tr>
      <w:tr>
        <w:trPr>
          <w:trHeight w:val="21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customers with $100,000 and greater in annual contract value at end of</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period</w:t>
            </w:r>
          </w:p>
        </w:tc>
        <w:tc>
          <w:tcPr>
            <w:tcW w:w="13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265</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use non-GAAP loss from operations along with non-GAAP operating margin as key indicators of our financial performance. We define these non-GAAP financial measures as their respective GAAP measures, excluding the effects of stock-based compensation, acquisition-related expenses and amortization of acquired intangible assets. Acquisition-related expenses include transaction expenses and costs related to the transfer of acquired intellectual property.</w:t>
      </w:r>
    </w:p>
    <w:p>
      <w:pPr>
        <w:spacing w:after="0" w:line="20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loss from operations and non-GAAP operating margin exclude stock-based compensation expense, which has been, and will continue to be for the foreseeable future, a significant recurring expense in our business and an important part of our compensation strategy.</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2" w:name="page43"/>
    <w:bookmarkEnd w:id="4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loss from operations, and operating margin, the most directly comparable financial measure calculated in accordance with GAAP, to non-GAAP operating margin: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r>
      <w:tr>
        <w:trPr>
          <w:trHeight w:val="264"/>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2017</w:t>
            </w:r>
          </w:p>
        </w:tc>
      </w:tr>
      <w:tr>
        <w:trPr>
          <w:trHeight w:val="257"/>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(90,799)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(72,581)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(40,760)</w:t>
            </w:r>
          </w:p>
        </w:tc>
      </w:tr>
      <w:tr>
        <w:trPr>
          <w:trHeight w:val="263"/>
        </w:trPr>
        <w:tc>
          <w:tcPr>
            <w:tcW w:w="67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2"/>
                <w:szCs w:val="22"/>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43,443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22,875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7,760</w:t>
            </w:r>
          </w:p>
        </w:tc>
      </w:tr>
      <w:tr>
        <w:trPr>
          <w:trHeight w:val="277"/>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3,970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64"/>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acquired intangible assets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603</w:t>
            </w:r>
          </w:p>
        </w:tc>
      </w:tr>
      <w:tr>
        <w:trPr>
          <w:trHeight w:val="257"/>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loss from operations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(42,766)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(49,103)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(32,397)</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6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6700" w:type="dxa"/>
            <w:vAlign w:val="bottom"/>
          </w:tcPr>
          <w:p>
            <w:pPr>
              <w:ind w:left="40"/>
              <w:spacing w:after="0"/>
              <w:rPr>
                <w:sz w:val="20"/>
                <w:szCs w:val="20"/>
                <w:color w:val="auto"/>
              </w:rPr>
            </w:pPr>
            <w:r>
              <w:rPr>
                <w:rFonts w:ascii="Arial" w:cs="Arial" w:eastAsia="Arial" w:hAnsi="Arial"/>
                <w:sz w:val="18"/>
                <w:szCs w:val="18"/>
                <w:color w:val="auto"/>
              </w:rPr>
              <w:t>Non-GAAP operating margin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Loss, Non-GAAP Net Loss Per Share and Pro Forma Non-GAAP Net Loss Per Share</w:t>
      </w:r>
    </w:p>
    <w:p>
      <w:pPr>
        <w:spacing w:after="0" w:line="247"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use non-GAAP net loss, which excludes the effect of the accretion of Series A and B redeemable convertible preferred stock, stock-based compensation, acquisition -related expenses and amortization of acquired intangible assets, as well as the related tax impact, to calculate non-GAAP net loss per share and pro forma non-GAAP net loss per share. Pro forma non-GAAP net loss per share is calculated by giving effect to the conversion of our redeemable convertible preferred stock into common stock as though the conversion occurred at the beginning of each period presented prior to 2019. We believe that these non-GAAP measures provide important information to management and investors because they facilitate comparisons of our core operating results over multiple periods.</w:t>
      </w:r>
    </w:p>
    <w:p>
      <w:pPr>
        <w:spacing w:after="0" w:line="200" w:lineRule="exact"/>
        <w:rPr>
          <w:sz w:val="20"/>
          <w:szCs w:val="20"/>
          <w:color w:val="auto"/>
        </w:rPr>
      </w:pP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3" w:name="page44"/>
    <w:bookmarkEnd w:id="4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following table presents a reconciliation of net loss, and net loss per share attributable to common stockholders, the most comparable financial measures calculated in accordance with GAAP, to non-GAAP net loss, non-GAAP net loss per share and pro forma non-GAAP net loss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amounts)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(41,785)</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Tax impact of acquisition</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10,582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43,443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7,760</w:t>
            </w:r>
          </w:p>
        </w:tc>
        <w:tc>
          <w:tcPr>
            <w:tcW w:w="0" w:type="dxa"/>
            <w:vAlign w:val="bottom"/>
          </w:tcPr>
          <w:p>
            <w:pPr>
              <w:spacing w:after="0"/>
              <w:rPr>
                <w:sz w:val="1"/>
                <w:szCs w:val="1"/>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1"/>
                <w:szCs w:val="21"/>
                <w:color w:val="auto"/>
                <w:vertAlign w:val="superscript"/>
              </w:rPr>
              <w:t>(3)</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90"/>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(32,713)</w:t>
            </w:r>
          </w:p>
        </w:tc>
        <w:tc>
          <w:tcPr>
            <w:tcW w:w="0" w:type="dxa"/>
            <w:vAlign w:val="bottom"/>
          </w:tcPr>
          <w:p>
            <w:pPr>
              <w:spacing w:after="0"/>
              <w:rPr>
                <w:sz w:val="1"/>
                <w:szCs w:val="1"/>
                <w:color w:val="auto"/>
              </w:rPr>
            </w:pPr>
          </w:p>
        </w:tc>
      </w:tr>
      <w:tr>
        <w:trPr>
          <w:trHeight w:val="305"/>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Acquisition-related expenses</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impact of acquisition</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1"/>
                <w:szCs w:val="21"/>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net loss per share,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 attributable to common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 and non-GAAP net loss per share, basic and diluted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96,014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53,669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22,211</w:t>
            </w:r>
          </w:p>
        </w:tc>
        <w:tc>
          <w:tcPr>
            <w:tcW w:w="0" w:type="dxa"/>
            <w:vAlign w:val="bottom"/>
          </w:tcPr>
          <w:p>
            <w:pPr>
              <w:spacing w:after="0"/>
              <w:rPr>
                <w:sz w:val="1"/>
                <w:szCs w:val="1"/>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rPr>
              <w:t>Pro forma adjustment to reflect the assumed conversion of our convertible redeemable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120"/>
              <w:spacing w:after="0"/>
              <w:rPr>
                <w:sz w:val="20"/>
                <w:szCs w:val="20"/>
                <w:color w:val="auto"/>
              </w:rPr>
            </w:pPr>
            <w:r>
              <w:rPr>
                <w:rFonts w:ascii="Arial" w:cs="Arial" w:eastAsia="Arial" w:hAnsi="Arial"/>
                <w:sz w:val="18"/>
                <w:szCs w:val="18"/>
                <w:color w:val="auto"/>
              </w:rPr>
              <w:t>preferred stock as of the beginning of the period</w:t>
            </w: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55,386</w:t>
            </w:r>
          </w:p>
        </w:tc>
        <w:tc>
          <w:tcPr>
            <w:tcW w:w="0" w:type="dxa"/>
            <w:vAlign w:val="bottom"/>
          </w:tcPr>
          <w:p>
            <w:pPr>
              <w:spacing w:after="0"/>
              <w:rPr>
                <w:sz w:val="1"/>
                <w:szCs w:val="1"/>
                <w:color w:val="auto"/>
              </w:rPr>
            </w:pPr>
          </w:p>
        </w:tc>
      </w:tr>
      <w:tr>
        <w:trPr>
          <w:trHeight w:val="215"/>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pro forma non-GAAP net loss per share,</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96,014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84,776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77,597</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non-GAAP net loss per share,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1"/>
                <w:szCs w:val="11"/>
                <w:color w:val="auto"/>
              </w:rPr>
              <w:t>________________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70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right="200" w:firstLine="8"/>
        <w:spacing w:after="0" w:line="260" w:lineRule="auto"/>
        <w:tabs>
          <w:tab w:leader="none" w:pos="3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tax impact of the acquisition includes $6.3 million of current tax expense and $4.2 million of deferred tax expense related to the transfer of acquired intellectual property.</w:t>
      </w:r>
    </w:p>
    <w:p>
      <w:pPr>
        <w:spacing w:after="0" w:line="33" w:lineRule="exact"/>
        <w:rPr>
          <w:rFonts w:ascii="Arial" w:cs="Arial" w:eastAsia="Arial" w:hAnsi="Arial"/>
          <w:sz w:val="16"/>
          <w:szCs w:val="16"/>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applicable tax jurisdictions.</w:t>
      </w:r>
    </w:p>
    <w:p>
      <w:pPr>
        <w:spacing w:after="0" w:line="59" w:lineRule="exact"/>
        <w:rPr>
          <w:rFonts w:ascii="Arial" w:cs="Arial" w:eastAsia="Arial" w:hAnsi="Arial"/>
          <w:sz w:val="16"/>
          <w:szCs w:val="16"/>
          <w:color w:val="auto"/>
        </w:rPr>
      </w:pPr>
    </w:p>
    <w:p>
      <w:pPr>
        <w:ind w:left="380" w:hanging="372"/>
        <w:spacing w:after="0"/>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tax impact of amortization of acquired intangible assets is not material.</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w:t>
      </w:r>
    </w:p>
    <w:p>
      <w:pPr>
        <w:spacing w:after="0" w:line="196"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Revenue is recognized ratably over the subscription term given the critical utility provided by the ongoing updates that are released throughout the contract period.</w:t>
      </w:r>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4" w:name="page45"/>
    <w:bookmarkEnd w:id="4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Our recent growth and the ratable nature of our subscription revenue makes this seasonality less apparent in our overall financial results.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and stock-based compensation. Cost of revenue also includes cloud infrastructure costs, the costs related to professional services and training, depreciation, amortization of acquired and developed technology and allocated overhead costs, which consist of information technology and facilities.</w:t>
      </w:r>
    </w:p>
    <w:p>
      <w:pPr>
        <w:spacing w:after="0" w:line="204"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We intend to continue to invest additional resources in our cloud-based platform and customer support team as we grow our business. The level and timing of investment in these areas could affect our cost of revenue in the future.</w:t>
      </w:r>
    </w:p>
    <w:p>
      <w:pPr>
        <w:spacing w:after="0" w:line="19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We expect our gross profit to increase in absolute dollars but our gross margin to decrease, as we expect revenue from our cloud-based subscriptions to increase as a percentage of revenue, although our gross margin could fluctuate from period to period depending on the interplay of all of these factors.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7"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 bonuses, payroll taxes and stock-based compensation expense. Operating expenses also include depreciation and amortization as well as allocated overhead costs including IT and facilities costs.</w:t>
      </w:r>
    </w:p>
    <w:p>
      <w:pPr>
        <w:spacing w:after="0" w:line="200" w:lineRule="exact"/>
        <w:rPr>
          <w:sz w:val="20"/>
          <w:szCs w:val="20"/>
          <w:color w:val="auto"/>
        </w:rPr>
      </w:pP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0" w:right="259" w:bottom="1440" w:gutter="0" w:footer="0" w:header="0"/>
        </w:sectPr>
      </w:pPr>
    </w:p>
    <w:bookmarkStart w:id="45" w:name="page46"/>
    <w:bookmarkEnd w:id="4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4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and events and allocated overhead costs.</w:t>
      </w:r>
    </w:p>
    <w:p>
      <w:pPr>
        <w:spacing w:after="0" w:line="196"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intend to continue to make investments in our sales and marketing teams to grow revenue, further penetrate the market and expand our global customer base. We expect our sales and marketing expense to continue to increase in absolute dollars and to be our largest operating expense category for the foreseeable future. However, as our revenue increases, we expect our sales and marketing expense to decrease as a percentage of our revenue over the long term, although our sales and marketing expense may fluctuate as a percentage of our revenue from period to period due to the timing and extent of these expenses.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4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20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expect our research and development expense to continue to increase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as a percentage of our revenue from period to period due to the timing and extent of these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4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 related costs.</w:t>
      </w:r>
    </w:p>
    <w:p>
      <w:pPr>
        <w:spacing w:after="0" w:line="20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expect our general and administrative expense to continue to increase in absolute dollars for the foreseeable future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as a percentage of our revenue from period to period due to the timing and extent of these expenses.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47"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Interest income, net consists primarily of interest income earned on cash and cash equivalents and short-term investments and interest expense in connection with fees for our unused revolving credit facility.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net consists primarily of foreign currency remeasurement and transaction gains and losses.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Provision for income taxes consists of income taxes in certain foreign jurisdictions in which we conduct business and withhold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 In 2019, the provision for income taxes included the tax impact related to the transfer of acquired intellectual property.</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0" w:right="259" w:bottom="1440" w:gutter="0" w:footer="0" w:header="0"/>
        </w:sectPr>
      </w:pPr>
    </w:p>
    <w:bookmarkStart w:id="46" w:name="page47"/>
    <w:bookmarkEnd w:id="4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354,586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267,360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187,727</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60,818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43,167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25,588</w:t>
            </w:r>
          </w:p>
        </w:tc>
        <w:tc>
          <w:tcPr>
            <w:tcW w:w="0" w:type="dxa"/>
            <w:vAlign w:val="bottom"/>
          </w:tcPr>
          <w:p>
            <w:pPr>
              <w:spacing w:after="0"/>
              <w:rPr>
                <w:sz w:val="1"/>
                <w:szCs w:val="1"/>
                <w:color w:val="auto"/>
              </w:rPr>
            </w:pPr>
          </w:p>
        </w:tc>
      </w:tr>
      <w:tr>
        <w:trPr>
          <w:trHeight w:val="25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293,768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224,193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162,139</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228,035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173,344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116,299</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87,064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76,698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57,673</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69,468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46,732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28,927</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384,567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296,774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202,899</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(40,760)</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(85,649)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(40,851)</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13,364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(73,521)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70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10"/>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16,032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43,443</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Comparison of 2019 and 2018</w:t>
            </w: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Revenue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8"/>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24"/>
                <w:szCs w:val="24"/>
                <w:color w:val="auto"/>
              </w:rPr>
            </w:pPr>
          </w:p>
        </w:tc>
        <w:tc>
          <w:tcPr>
            <w:tcW w:w="1540" w:type="dxa"/>
            <w:vAlign w:val="bottom"/>
            <w:gridSpan w:val="5"/>
          </w:tcPr>
          <w:p>
            <w:pPr>
              <w:jc w:val="right"/>
              <w:ind w:right="7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354,586</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267,360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87,226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increase in revenue of $87.2 million was comprised of increases in subscription revenue of $84.7 million and professional services and other revenue of $3.0 million, net of a decrease in perpetual license and maintenance revenue of $0.5 million. Revenue from existing customers comprised 84% of the increase, while the remaining increase was due to revenue from new customers since January 1, 2019. International revenue increased $40.4 million, or 45%.</w:t>
      </w:r>
    </w:p>
    <w:p>
      <w:pPr>
        <w:spacing w:after="0" w:line="200" w:lineRule="exact"/>
        <w:rPr>
          <w:sz w:val="20"/>
          <w:szCs w:val="20"/>
          <w:color w:val="auto"/>
        </w:rPr>
      </w:pP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47" w:name="page48"/>
    <w:bookmarkEnd w:id="4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40" w:type="dxa"/>
            <w:vAlign w:val="bottom"/>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19"/>
                <w:szCs w:val="19"/>
                <w:color w:val="auto"/>
              </w:rPr>
            </w:pPr>
          </w:p>
        </w:tc>
      </w:tr>
      <w:tr>
        <w:trPr>
          <w:trHeight w:val="264"/>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w:t>
            </w: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60,818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43,167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17,651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63"/>
        </w:trPr>
        <w:tc>
          <w:tcPr>
            <w:tcW w:w="54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2"/>
                <w:szCs w:val="22"/>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293,768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224,193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69,575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$17.7 million was primarily due to:</w:t>
      </w:r>
    </w:p>
    <w:p>
      <w:pPr>
        <w:spacing w:after="0" w:line="117" w:lineRule="exact"/>
        <w:rPr>
          <w:sz w:val="20"/>
          <w:szCs w:val="20"/>
          <w:color w:val="auto"/>
        </w:rPr>
      </w:pPr>
    </w:p>
    <w:p>
      <w:pPr>
        <w:ind w:left="660" w:right="56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$7.3 million increase in personnel costs, primarily due to increased headcount, including a $1.1 million increase in stock-based compensation;</w:t>
      </w:r>
    </w:p>
    <w:p>
      <w:pPr>
        <w:spacing w:after="0" w:line="34"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$7.0 million increase in third-party cloud infrastructure costs, largely associated with the increased adoption of Tenable.io, as well as the launch of Tenable Lumin;</w:t>
      </w:r>
    </w:p>
    <w:p>
      <w:pPr>
        <w:spacing w:after="0" w:line="34"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$0.9 million increase in allocated overhead costs driven by both the increase in headcount and the overall increase in such costs on a year-over-year basis;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$0.6 million increase professional fees;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$0.6 million increase in depreciation and amortization;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$0.5 million increase in software subscriptions.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228,035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173,344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54,691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$54.7 million was primarily due to:</w:t>
      </w:r>
    </w:p>
    <w:p>
      <w:pPr>
        <w:spacing w:after="0" w:line="117" w:lineRule="exact"/>
        <w:rPr>
          <w:sz w:val="20"/>
          <w:szCs w:val="20"/>
          <w:color w:val="auto"/>
        </w:rPr>
      </w:pPr>
    </w:p>
    <w:p>
      <w:pPr>
        <w:ind w:left="660" w:right="2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$32.1 million increase in personnel costs, largely associated with an increase in headcount, including a $9.1 million increase in stock-based compensation;</w:t>
      </w:r>
    </w:p>
    <w:p>
      <w:pPr>
        <w:spacing w:after="0" w:line="34"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$10.0 million increase in sales commissions, including sales commission draws, due to increased sales and the amortization of deferred commissions;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$5.7 million increase in selling expenses, including travel and meeting costs and software subscriptions;</w:t>
      </w:r>
    </w:p>
    <w:p>
      <w:pPr>
        <w:spacing w:after="0" w:line="63"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$3.4 million increase in allocated overhead costs driven by both the increase in headcount and the overall increase in such costs on a year-over-year basis; and</w:t>
      </w:r>
    </w:p>
    <w:p>
      <w:pPr>
        <w:spacing w:after="0" w:line="34"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$3.2 million increase in expenses for demand generation programs, including advertising, sponsorships, and brand awareness efforts aimed at acquiring new customers.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87,064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76,698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10,366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$10.4 million was primarily due to:</w:t>
      </w:r>
    </w:p>
    <w:p>
      <w:pPr>
        <w:spacing w:after="0" w:line="117" w:lineRule="exact"/>
        <w:rPr>
          <w:sz w:val="20"/>
          <w:szCs w:val="20"/>
          <w:color w:val="auto"/>
        </w:rPr>
      </w:pPr>
    </w:p>
    <w:p>
      <w:pPr>
        <w:ind w:left="660" w:right="20" w:hanging="328"/>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$8.1 million increase in personnel costs, largely associated with an increase in headcount, including a $3.3 million increase in stock-based compensation, and net of $1.7 million of development costs and stock-based compensation capitalized related to internal use software;</w:t>
      </w:r>
    </w:p>
    <w:p>
      <w:pPr>
        <w:spacing w:after="0" w:line="25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48" w:name="page49"/>
    <w:bookmarkEnd w:id="4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$2.0 million increase in third-party cloud infrastructure costs related to the development of new and future offerings;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$0.9 million increase in software subscriptions; and</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$0.7 million increase in allocated overhead driven by both the increase in headcount and the overall increase in such costs on a year-over-year basis, partially offset by</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$0.9 million decrease in travel and meeting costs.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69,468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46,732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22,736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$22.7 million was primarily due to:</w:t>
      </w:r>
    </w:p>
    <w:p>
      <w:pPr>
        <w:spacing w:after="0" w:line="117" w:lineRule="exact"/>
        <w:rPr>
          <w:sz w:val="20"/>
          <w:szCs w:val="20"/>
          <w:color w:val="auto"/>
        </w:rPr>
      </w:pPr>
    </w:p>
    <w:p>
      <w:pPr>
        <w:ind w:left="660" w:right="2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$12.3 million increase in personnel costs, largely associated with an increase in headcount, including a $6.4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$4.0 million increase in acquisition-related expenses, including $2.1 million related to the transfer of acquired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$3.7 million increase in professional fees, which includes costs associated with being a public company; and</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$1.1 million increase in allocated overhead driven by both the increase in headcount and the overall increase in such costs on a year-over-year basis.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Comparison of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267,360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187,727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79,633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21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increase in revenue of $79.6 million was comprised of increases in subscription revenue of $72.9 million, perpetual license and maintenance revenue of $4.3 million and professional services and other revenue of $2.4 million. Revenue from existing customers comprised 68% of the increase, while the remaining increase was due to revenue from new customers since January 1, 2018. International revenue increased $31.6 million, or 55%.</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40" w:type="dxa"/>
            <w:vAlign w:val="bottom"/>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19"/>
                <w:szCs w:val="19"/>
                <w:color w:val="auto"/>
              </w:rPr>
            </w:pPr>
          </w:p>
        </w:tc>
      </w:tr>
      <w:tr>
        <w:trPr>
          <w:trHeight w:val="264"/>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w:t>
            </w: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43,167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25,588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17,579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63"/>
        </w:trPr>
        <w:tc>
          <w:tcPr>
            <w:tcW w:w="54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2"/>
                <w:szCs w:val="22"/>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224,193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162,139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62,054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$17.6 million was primarily due to:</w:t>
      </w:r>
    </w:p>
    <w:p>
      <w:pPr>
        <w:spacing w:after="0" w:line="117" w:lineRule="exact"/>
        <w:rPr>
          <w:sz w:val="20"/>
          <w:szCs w:val="20"/>
          <w:color w:val="auto"/>
        </w:rPr>
      </w:pPr>
    </w:p>
    <w:p>
      <w:pPr>
        <w:ind w:left="660" w:right="56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$6.9 million increase in personnel costs, primarily due to increased headcount, including a $1.4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$5.3 million increase in third-party cloud infrastructure costs, largely associated with the increased adoption of Tenable.io;</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0" w:right="239" w:bottom="1440" w:gutter="0" w:footer="0" w:header="0"/>
        </w:sectPr>
      </w:pPr>
    </w:p>
    <w:bookmarkStart w:id="49" w:name="page50"/>
    <w:bookmarkEnd w:id="4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660" w:right="14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$3.3 million increase in allocated overhead costs driven by both the increase in headcount and the overall increase in such costs on a year-over-year basis;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$0.8 million increase in software subscription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$0.5 million increase in depreciation and amortization.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173,344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116,299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57,045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$57.0 million was primarily due to:</w:t>
      </w:r>
    </w:p>
    <w:p>
      <w:pPr>
        <w:spacing w:after="0" w:line="117" w:lineRule="exact"/>
        <w:rPr>
          <w:sz w:val="20"/>
          <w:szCs w:val="20"/>
          <w:color w:val="auto"/>
        </w:rPr>
      </w:pPr>
    </w:p>
    <w:p>
      <w:pPr>
        <w:ind w:left="660" w:right="2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$29.2 million increase in personnel costs, largely associated with an increase in headcount, including a $5.3 million increase in stock-based compensation;</w:t>
      </w:r>
    </w:p>
    <w:p>
      <w:pPr>
        <w:spacing w:after="0" w:line="34"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$14.3 million increase in sales commissions, including sales commission draws, due to increased sales and the amortization of deferred commissions;</w:t>
      </w:r>
    </w:p>
    <w:p>
      <w:pPr>
        <w:spacing w:after="0" w:line="34"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$6.1 million increase in expenses for demand generation programs, including advertising, sponsorships and brand awareness efforts aimed at acquiring new customers; and</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$4.9 million increase in selling expenses, including travel and meeting costs and the costs of software subscriptions.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76,698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57,673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19,025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$19.0 million was primarily due to:</w:t>
      </w:r>
    </w:p>
    <w:p>
      <w:pPr>
        <w:spacing w:after="0" w:line="117" w:lineRule="exact"/>
        <w:rPr>
          <w:sz w:val="20"/>
          <w:szCs w:val="20"/>
          <w:color w:val="auto"/>
        </w:rPr>
      </w:pPr>
    </w:p>
    <w:p>
      <w:pPr>
        <w:ind w:left="660" w:right="2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$15.1 million increase in personnel costs, largely associated with an increase in headcount, including a $4.0 million increase in stock-based compensation, and net of $2.4 million of development costs capitalized related to internal use software;</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$1.6 million increase in third-party cloud infrastructure costs related to the development of new and future offerings;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$0.7 million increase in software subscription expenses; and</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$0.6 million increase in allocated overhead driven by both the increase in headcount and the overall increase in such costs on a year-over-year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46,732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28,927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17,805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$17.8 million was primarily due to:</w:t>
      </w:r>
    </w:p>
    <w:p>
      <w:pPr>
        <w:spacing w:after="0" w:line="63" w:lineRule="exact"/>
        <w:rPr>
          <w:sz w:val="20"/>
          <w:szCs w:val="20"/>
          <w:color w:val="auto"/>
        </w:rPr>
      </w:pPr>
    </w:p>
    <w:p>
      <w:pPr>
        <w:ind w:left="660" w:right="2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$11.9 million increase in personnel costs, largely associated with an increase in headcount, including a $4.3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$3.3 million increase in professional fees, which includes costs associated with being a public company; and</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0" w:name="page51"/>
    <w:bookmarkEnd w:id="5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$0.8 million increase in software subscription expense.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2019, we had cash and cash equivalents consisting of bank deposits, money market funds and commercial paper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$74.4 million and short-term investments consisting of commercial paper, U.S. Treasury and agency obligations and corporate bonds of $137.9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25" w:lineRule="exact"/>
        <w:rPr>
          <w:sz w:val="20"/>
          <w:szCs w:val="20"/>
          <w:color w:val="auto"/>
        </w:rPr>
      </w:pPr>
    </w:p>
    <w:p>
      <w:pPr>
        <w:jc w:val="both"/>
        <w:ind w:right="220" w:firstLine="324"/>
        <w:spacing w:after="0" w:line="253" w:lineRule="auto"/>
        <w:rPr>
          <w:sz w:val="20"/>
          <w:szCs w:val="20"/>
          <w:color w:val="auto"/>
        </w:rPr>
      </w:pPr>
      <w:r>
        <w:rPr>
          <w:rFonts w:ascii="Arial" w:cs="Arial" w:eastAsia="Arial" w:hAnsi="Arial"/>
          <w:sz w:val="18"/>
          <w:szCs w:val="18"/>
          <w:color w:val="auto"/>
        </w:rPr>
        <w:t>Since inception and prior to our IPO, we financed our operations through cash provided by operations, including payments received from customers using our software products and services, and we did not raise any primary institutional capital. The proceeds of our Series A and Series B redeemable convertible preferred stock financings were used to repurchase shares of capital stock from former stockholders. Upon the completion of our IPO in July 2018, we received net proceeds of $264.6 million. We have generated significant operating losses from our operations, as reflected by our accumulated deficit of $565.1 million at December 31, 2019.</w:t>
      </w:r>
    </w:p>
    <w:p>
      <w:pPr>
        <w:spacing w:after="0" w:line="20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on our consolidated balance sheets as deferred revenue. Deferred revenue consists primarily of the unearned portion of billed fees for our subscriptions and perpetual licenses, which is subsequently recognized as revenue in accordance with our revenue recognition policy. At December 31, 2019, we had deferred revenue of $363.1 million, of which $274.3 million was recorded as a current liability and is expected to be recorded as revenue in the next 12 months, provided all other revenue recognition criteria are met.</w:t>
      </w:r>
    </w:p>
    <w:p>
      <w:pPr>
        <w:spacing w:after="0" w:line="209"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investments in infrastructure and acquiring complementary businesses and technology. We expect to continue incurring operating losses and generating negative cash flows from operations in the near-term; however, we believe that our existing cash and cash equivalents and short-term investments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the timing of introduction of new product capabilities and enhancements of our platform and the continuing market acceptance of our platform. Capital expenditures related to our new corporate headquarters were $11.4 million in 2019. In 2020, we expect capital expenditures related to our new corporate headquarters to be approximately $16.0 million and we expect to receive $12.5 million in tenant improvement reimbursements.</w:t>
      </w:r>
    </w:p>
    <w:p>
      <w:pPr>
        <w:spacing w:after="0" w:line="21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may in the future enter into arrangements to acquire or invest in complementary businesses, services and technologies, including intellectual property rights. We may be required to seek equity or debt financing.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In May 2017, we entered into a $25.0 million revolving credit facility with Silicon Valley Bank. Pursuant to the terms of the revolving credit facility, we may issue up to $5.0 million of letters of credit, which reduce the total amount available for borrowing under such facility. The revolving credit facility terminates on May 4, 2020. To date, we have not borrowed any amounts under the revolving credit facility.</w:t>
      </w:r>
    </w:p>
    <w:p>
      <w:pPr>
        <w:spacing w:after="0" w:line="20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We are required to pay a quarterly commitment fee that accrues at a rate of 0.25% per annum on the unused portion of the borrowing commitment.</w:t>
      </w:r>
    </w:p>
    <w:p>
      <w:pPr>
        <w:spacing w:after="0" w:line="202" w:lineRule="exact"/>
        <w:rPr>
          <w:sz w:val="20"/>
          <w:szCs w:val="20"/>
          <w:color w:val="auto"/>
        </w:rPr>
      </w:pPr>
    </w:p>
    <w:p>
      <w:pPr>
        <w:ind w:right="820" w:firstLine="324"/>
        <w:spacing w:after="0" w:line="262"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restrictions on indebtedness, liens, acquisitions and investments, restricted payments and dispositions. If, as of the last</w:t>
      </w: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40" w:right="259" w:bottom="1440" w:gutter="0" w:footer="0" w:header="0"/>
        </w:sectPr>
      </w:pPr>
    </w:p>
    <w:bookmarkStart w:id="51" w:name="page52"/>
    <w:bookmarkEnd w:id="5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day of any quarter, the outstanding balance of the revolving credit facility exceeds $5.0 million, there are financial covenants that require us to maintain a minimum level of earnings before income taxes, interest, depreciation and amortization adjusted to add changes in deferred revenue in the period and a minimum current ratio level. We were in compliance with all covenants under the revolving credit facility at December 31, 2019.</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January 9, 2020, we entered into a $2.5 million standby letter of credit ("Letter of Credit") for the security deposit on our new headquarters lease. The Letter of Credit bears interest at 2% per annum and expires one year from the issue date, with automatic renewals for additional one year terms until the final expiration date of February 2032. The Letter of Credit reduces the amount available for borrowing under our revolving credit facility.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(113,050)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(123,221)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(2,755)</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34,161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264,749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2,091</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137,906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In 2019, net cash used in operating activities was $10.7 million, which primarily consisted of our $99.0 million net loss, adjusted for stock-based compensation expense of $41.6 million and depreciation and amortization of $6.9 million, as well as a net cash inflow of $ 36.3 million from changes in operating assets and liabilities. The net inflow from changes in operating assets and liabilities was primarily due to a $72.8 million increase in deferred revenue primarily due to increased subscription sales, as a majority of our customers are invoiced in advance, partially offset by a $25.9 million increase in accounts receivable and a $12.8 million increase in deferred commissions.</w:t>
      </w:r>
    </w:p>
    <w:p>
      <w:pPr>
        <w:spacing w:after="0" w:line="206"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In 2018, net cash used in operating activities was $2.6 million, which primarily consisted of our $73.5 million net loss, adjusted for stock-based compensation expense of $22.9 million and depreciation and amortization of $6.2 million, as well as a net cash inflow of $ 41.4 million from changes in operating assets and liabilities. The net inflow from changes in operating assets and liabilities was primarily due to a $64.1 million increase in deferred revenue, primarily due to increased subscription sales, as a majority of our customers are invoiced in advance, partially offset by a $17.4 million increase in accounts receivable.</w:t>
      </w:r>
    </w:p>
    <w:p>
      <w:pPr>
        <w:spacing w:after="0" w:line="206"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In 2017, net cash used in operating activities was $6.3 million, which primarily consisted of our $41.0 million net loss, adjusted for stock-based compensation expense of $7.8 million and depreciation and amortization of $4.7 million, as well as a net cash inflow of $23.1 million from changes in operating assets and liabilities. The net inflow from operating assets and liabilities was primarily due to an increase of $63.4 million in deferred revenue, including the cumulative impact of adopting ASC 606, from increased subscription sales as a majority of our customers are invoiced in advance, partially offset by a $14.8 million increase in accounts receivable. In addition, deferred commissions increased $20.1 million, including the cumulative impact of adopting ASC 606.</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From 2018 to 2019, net cash used in investing activities decreased by $10.2 million, primarily due to a decrease in our purchase, net of sales, of investments of $100.0 million, partially offset by cash paid for acquisitions of $74.9 million and capital expenditures for our new corporate headquarters of $11.4 million.</w:t>
      </w:r>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0" w:right="239" w:bottom="1440" w:gutter="0" w:footer="0" w:header="0"/>
        </w:sectPr>
      </w:pPr>
    </w:p>
    <w:bookmarkStart w:id="52" w:name="page53"/>
    <w:bookmarkEnd w:id="5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920" w:firstLine="324"/>
        <w:spacing w:after="0" w:line="262" w:lineRule="auto"/>
        <w:rPr>
          <w:sz w:val="20"/>
          <w:szCs w:val="20"/>
          <w:color w:val="auto"/>
        </w:rPr>
      </w:pPr>
      <w:r>
        <w:rPr>
          <w:rFonts w:ascii="Arial" w:cs="Arial" w:eastAsia="Arial" w:hAnsi="Arial"/>
          <w:sz w:val="18"/>
          <w:szCs w:val="18"/>
          <w:color w:val="auto"/>
        </w:rPr>
        <w:t>From 2017 to 2018, net cash used in investing activities increased by $120.5 million, primarily due to our purchase of short-term investments of commercial paper, U.S. Treasury securities and corporate bonds of $117.5 million.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From 2018 to 2019, net cash provided by financing activities decreased by $230.6 million, primarily due to proceeds from our IPO, net of underwriting discounts and commissions, of $268.5 million, less payments of offering costs related to our IPO of $3.9 million in 2018, partially offset by proceeds from the exercise of stock options of $19.0 million and stock issued in connection with the employee stock purchase plan of $15.1 million in 2019.</w:t>
      </w:r>
    </w:p>
    <w:p>
      <w:pPr>
        <w:spacing w:after="0" w:line="204"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From 2017 to 2018, net cash provided by financing activities increased by $262.7 million, primarily due to proceeds from our IPO, net of underwriting discounts and commissions, less payments of offering costs related to our IPO.</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at December 31,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15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Less than 1 year</w:t>
            </w: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1 - 3 years</w:t>
            </w:r>
          </w:p>
        </w:tc>
        <w:tc>
          <w:tcPr>
            <w:tcW w:w="24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3 - 5 years</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More than 5 years</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84,454</w:t>
            </w:r>
          </w:p>
        </w:tc>
        <w:tc>
          <w:tcPr>
            <w:tcW w:w="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13,988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14,207</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50,951</w:t>
            </w:r>
          </w:p>
        </w:tc>
      </w:tr>
      <w:tr>
        <w:trPr>
          <w:trHeight w:val="264"/>
        </w:trPr>
        <w:tc>
          <w:tcPr>
            <w:tcW w:w="3540" w:type="dxa"/>
            <w:vAlign w:val="bottom"/>
          </w:tcPr>
          <w:p>
            <w:pPr>
              <w:ind w:left="40"/>
              <w:spacing w:after="0"/>
              <w:rPr>
                <w:sz w:val="20"/>
                <w:szCs w:val="20"/>
                <w:color w:val="auto"/>
              </w:rPr>
            </w:pPr>
            <w:r>
              <w:rPr>
                <w:rFonts w:ascii="Arial" w:cs="Arial" w:eastAsia="Arial" w:hAnsi="Arial"/>
                <w:sz w:val="18"/>
                <w:szCs w:val="18"/>
                <w:color w:val="auto"/>
              </w:rPr>
              <w:t>Non-cancellable purchase obligations</w:t>
            </w:r>
          </w:p>
        </w:tc>
        <w:tc>
          <w:tcPr>
            <w:tcW w:w="36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5,693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90,147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16,092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14,207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50,951</w:t>
            </w: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Not included in the table above is $7.2 million of unrecognized tax benefits and $1.2 million of asset retirement obligations, because the timing of future cash outflows is uncertain.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At December 31, 2019,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4"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We early adopted ASC 606 on January 1, 2017 using the modified retrospective method and applying the guidance to all contracts as of January 1, 2017.</w:t>
      </w:r>
    </w:p>
    <w:p>
      <w:pPr>
        <w:spacing w:after="0" w:line="19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core principle of ASC 606 is that revenue should be recognized to depict the transfer of promised goods or services to customers in an amount that reflects the consideration to which the entity expects to be entitled in exchange for those goods or services. To achieve the core principle of ASC 606, we apply the following steps:</w:t>
      </w:r>
    </w:p>
    <w:p>
      <w:pPr>
        <w:spacing w:after="0" w:line="9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0" w:right="239" w:bottom="1440" w:gutter="0" w:footer="0" w:header="0"/>
        </w:sectPr>
      </w:pPr>
    </w:p>
    <w:bookmarkStart w:id="53" w:name="page54"/>
    <w:bookmarkEnd w:id="5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25"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24282D"/>
        </w:rPr>
        <w:t>In situations where we enter into a contractual arrangement that includes non-standard terms and conditions, such as acceptance provisions and options to purchase additional products and services, as well as contract modifications, we apply judgment in identifying and assessing the impact on revenue recognition.</w:t>
      </w:r>
    </w:p>
    <w:p>
      <w:pPr>
        <w:spacing w:after="0" w:line="202" w:lineRule="exact"/>
        <w:rPr>
          <w:sz w:val="20"/>
          <w:szCs w:val="20"/>
          <w:color w:val="auto"/>
        </w:rPr>
      </w:pPr>
    </w:p>
    <w:p>
      <w:pPr>
        <w:ind w:right="640" w:firstLine="324"/>
        <w:spacing w:after="0" w:line="262"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 and other revenue.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Revenue</w:t>
      </w:r>
    </w:p>
    <w:p>
      <w:pPr>
        <w:spacing w:after="0" w:line="24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and allow customers to use our software or cloud solutions, including ongoing software updates and the ability to identify the latest cybersecurity vulnerabilities. Revenue is recognized ratably over the subscription term given the critical utility provided by the ongoing updates that are released throughout the contract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4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w:t>
      </w:r>
    </w:p>
    <w:p>
      <w:pPr>
        <w:spacing w:after="0" w:line="24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0" w:lineRule="exact"/>
        <w:rPr>
          <w:sz w:val="20"/>
          <w:szCs w:val="20"/>
          <w:color w:val="auto"/>
        </w:rPr>
      </w:pP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40" w:right="259" w:bottom="1440" w:gutter="0" w:footer="0" w:header="0"/>
        </w:sectPr>
      </w:pPr>
    </w:p>
    <w:bookmarkStart w:id="54" w:name="page55"/>
    <w:bookmarkEnd w:id="5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Sales through our channel partner network of distributors and resellers are generally discounted as compared to the price that we would sell to an end user. Revenue for sales through our channel network, which is fixed, is recorded net of any distributor or reseller margin.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and therefore are deferred over an estimated period of benefit, which ranges between three and four years for subscription arrangements and five years for perpetual license arrangements. We have estimated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 While we believe that the estimates we have made are reasonable and appropriate, different assumptions and estimates could materially impact our reported financial results.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Stock-based compensation expense related to our stock options, restricted stock, restricted stock units, or RSUs, and purchase rights issued under our 2018 Employee Stock Purchase Plan, or the 2018 ESPP, is calculated based on the fair value of the awards granted and is recognized on a straight-line basis over the requisite service period, which is generally two to four years, with the exception of RSUs that include performance-based vesting conditions and are expensed using the accelerated attribution method. We account for forfeitures as they occur.</w:t>
      </w:r>
    </w:p>
    <w:p>
      <w:pPr>
        <w:spacing w:after="0" w:line="20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Estimating the fair value of stock options and purchase rights under the 2018 ESPP using the Black-Scholes option-pricing model requires assumptions as to the fair value of our underlying common stock, the estimated term of the option, the risk free interest rates, the expected volatility of the price of our common stock and the expected dividend yield. The assumptions used to estimate the fair value of the option awards reflect our best estimates. If any of the assumptions change significantly, stock-based compensation for future awards may differ significantly compared with the awards granted previously.</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and estimates are as follows:</w:t>
      </w:r>
    </w:p>
    <w:p>
      <w:pPr>
        <w:spacing w:after="0" w:line="9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“Common Stock Valuations” discussion below.</w:t>
      </w:r>
    </w:p>
    <w:p>
      <w:pPr>
        <w:spacing w:after="0" w:line="63" w:lineRule="exact"/>
        <w:rPr>
          <w:rFonts w:ascii="Arial" w:cs="Arial" w:eastAsia="Arial" w:hAnsi="Arial"/>
          <w:sz w:val="18"/>
          <w:szCs w:val="18"/>
          <w:color w:val="auto"/>
        </w:rPr>
      </w:pPr>
    </w:p>
    <w:p>
      <w:pPr>
        <w:ind w:left="660" w:right="540" w:hanging="328"/>
        <w:spacing w:after="0" w:line="28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This is the period of time that the options granted are expected to remain unexercised. We employ the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to calculate the average expected term.</w:t>
      </w:r>
    </w:p>
    <w:p>
      <w:pPr>
        <w:spacing w:after="0" w:line="1"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This is a measure of the amount by which a financial variable, such as a share price, has fluctuated (historical volatility) or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fluctuate (expected volatility) during a period. As we do not yet have sufficient history of our own volatility, we have identified several public entities of similar size, complexity and stage of development and estimate volatility based on the volatility of these companies.</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This is the U.S. Treasury rate, having a term that most closely resembles the expected life of the stock option.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not and do not expect to pay dividends on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Stock Valuations</w:t>
      </w:r>
    </w:p>
    <w:p>
      <w:pPr>
        <w:spacing w:after="0" w:line="24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Following our IPO, we use the market price of our common stock at the date of grant as the fair value. Prior to our IPO, the lack of an active public market for our common stock required our board of directors to exercise reasonable judgment and consider a number of factors in order to make the best estimate of fair value of our common stock, in accordance with the technical practice-aid issued by the American Institute of Certified Public Accountants Practice Aid entitled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Factors considered in connection with estimating the fair value of our common stock underlying our award of restricted stock and stock option awards when performing the fair value calculations with the Black Scholes option-pricing model included:</w:t>
      </w:r>
    </w:p>
    <w:p>
      <w:pPr>
        <w:spacing w:after="0" w:line="209" w:lineRule="exact"/>
        <w:rPr>
          <w:sz w:val="20"/>
          <w:szCs w:val="20"/>
          <w:color w:val="auto"/>
        </w:rPr>
      </w:pPr>
    </w:p>
    <w:p>
      <w:pPr>
        <w:ind w:left="5780" w:right="5200" w:hanging="5448"/>
        <w:spacing w:after="0" w:line="431"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results of independent third-party valuations of our common stock 55</w:t>
      </w:r>
    </w:p>
    <w:p>
      <w:pPr>
        <w:sectPr>
          <w:pgSz w:w="11900" w:h="16838" w:orient="portrait"/>
          <w:cols w:equalWidth="0" w:num="1">
            <w:col w:w="11420"/>
          </w:cols>
          <w:pgMar w:left="240" w:top="140" w:right="239" w:bottom="1440" w:gutter="0" w:footer="0" w:header="0"/>
        </w:sectPr>
      </w:pPr>
    </w:p>
    <w:bookmarkStart w:id="55" w:name="page56"/>
    <w:bookmarkEnd w:id="5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Recent arm’s length transactions involving the sale or transfer of our common stock</w:t>
      </w:r>
    </w:p>
    <w:p>
      <w:pPr>
        <w:spacing w:after="0" w:line="63"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preferences and privileges of our Series A and Series B redeemable convertible preferred stock relative to those of our common stock</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historical financial results and future financial projections</w:t>
      </w:r>
    </w:p>
    <w:p>
      <w:pPr>
        <w:spacing w:after="0" w:line="63"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market value of equity interests in substantially similar businesses, which equity interests can be valued through nondiscretionary, objective means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IPO given prevailing market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Industry outlook</w:t>
      </w:r>
    </w:p>
    <w:p>
      <w:pPr>
        <w:spacing w:after="0" w:line="63"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outlook including economic growth, inflation and unemployment, interest rate environment and global economic trends</w:t>
      </w:r>
    </w:p>
    <w:p>
      <w:pPr>
        <w:spacing w:after="0" w:line="19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As described above, the exercise price of our stock option awards was determined by our board of directors, with input from management, taking into account the factors described above, using a combination of valuation methodologies with varying weighting applied to each methodology as of the grant date.</w:t>
      </w:r>
    </w:p>
    <w:p>
      <w:pPr>
        <w:spacing w:after="0" w:line="20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Application of these approaches involved the use of estimates, judgment and assumptions that were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would have impacted our valuations as of each valuation date and may have had a material impact on the valuation of our common stock.</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each stock option was estimated on the grant date based on the following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2017</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7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95"/>
              </w:rPr>
              <w:t>6.3</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6.3</w:t>
            </w:r>
          </w:p>
        </w:tc>
        <w:tc>
          <w:tcPr>
            <w:tcW w:w="780" w:type="dxa"/>
            <w:vAlign w:val="bottom"/>
            <w:shd w:val="clear" w:color="auto" w:fill="CCEEFF"/>
          </w:tcPr>
          <w:p>
            <w:pPr>
              <w:spacing w:after="0"/>
              <w:rPr>
                <w:sz w:val="22"/>
                <w:szCs w:val="22"/>
                <w:color w:val="auto"/>
              </w:rPr>
            </w:pP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780" w:type="dxa"/>
            <w:vAlign w:val="bottom"/>
          </w:tcPr>
          <w:p>
            <w:pPr>
              <w:jc w:val="right"/>
              <w:spacing w:after="0"/>
              <w:rPr>
                <w:sz w:val="20"/>
                <w:szCs w:val="20"/>
                <w:color w:val="auto"/>
              </w:rPr>
            </w:pPr>
            <w:r>
              <w:rPr>
                <w:rFonts w:ascii="Arial" w:cs="Arial" w:eastAsia="Arial" w:hAnsi="Arial"/>
                <w:sz w:val="18"/>
                <w:szCs w:val="18"/>
                <w:color w:val="auto"/>
              </w:rPr>
              <w:t>41.3%</w:t>
            </w: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 43.3%</w:t>
            </w:r>
          </w:p>
        </w:tc>
        <w:tc>
          <w:tcPr>
            <w:tcW w:w="780" w:type="dxa"/>
            <w:vAlign w:val="bottom"/>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0"/>
                <w:szCs w:val="20"/>
                <w:color w:val="auto"/>
              </w:rPr>
            </w:pPr>
            <w:r>
              <w:rPr>
                <w:rFonts w:ascii="Arial" w:cs="Arial" w:eastAsia="Arial" w:hAnsi="Arial"/>
                <w:sz w:val="18"/>
                <w:szCs w:val="18"/>
                <w:color w:val="auto"/>
              </w:rPr>
              <w:t>47.0%</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2.9%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78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2"/>
                <w:szCs w:val="22"/>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forfeiture rate</w:t>
            </w:r>
          </w:p>
        </w:tc>
        <w:tc>
          <w:tcPr>
            <w:tcW w:w="7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each 2018 ESPP purchase right was estimated on the offering or modification dates based on the following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Borders>
              <w:bottom w:val="single" w:sz="8" w:color="auto"/>
            </w:tcBorders>
          </w:tcPr>
          <w:p>
            <w:pPr>
              <w:spacing w:after="0"/>
              <w:rPr>
                <w:sz w:val="19"/>
                <w:szCs w:val="19"/>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gridSpan w:val="2"/>
          </w:tcPr>
          <w:p>
            <w:pPr>
              <w:jc w:val="right"/>
              <w:ind w:right="63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2018</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w:t>
            </w: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800" w:type="dxa"/>
            <w:vAlign w:val="bottom"/>
          </w:tcPr>
          <w:p>
            <w:pPr>
              <w:jc w:val="right"/>
              <w:spacing w:after="0"/>
              <w:rPr>
                <w:sz w:val="20"/>
                <w:szCs w:val="20"/>
                <w:color w:val="auto"/>
              </w:rPr>
            </w:pPr>
            <w:r>
              <w:rPr>
                <w:rFonts w:ascii="Arial" w:cs="Arial" w:eastAsia="Arial" w:hAnsi="Arial"/>
                <w:sz w:val="18"/>
                <w:szCs w:val="18"/>
                <w:color w:val="auto"/>
              </w:rPr>
              <w:t>34.4%</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 44.6%</w:t>
            </w:r>
          </w:p>
        </w:tc>
        <w:tc>
          <w:tcPr>
            <w:tcW w:w="800" w:type="dxa"/>
            <w:vAlign w:val="bottom"/>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20"/>
              <w:spacing w:after="0"/>
              <w:rPr>
                <w:sz w:val="20"/>
                <w:szCs w:val="20"/>
                <w:color w:val="auto"/>
              </w:rPr>
            </w:pPr>
            <w:r>
              <w:rPr>
                <w:rFonts w:ascii="Arial" w:cs="Arial" w:eastAsia="Arial" w:hAnsi="Arial"/>
                <w:sz w:val="18"/>
                <w:szCs w:val="18"/>
                <w:color w:val="auto"/>
              </w:rPr>
              <w:t>33.5%</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80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2"/>
                <w:szCs w:val="22"/>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22"/>
                <w:szCs w:val="22"/>
                <w:color w:val="auto"/>
              </w:rPr>
            </w:pP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account for business combinations by recognizing the fair value of acquired assets and liabilities. The excess purchase consideration over the fair value of acquired assets and liabilities is recorded as goodwill. When determining the fair value of assets acquired and liabilities assumed, we make estimates and assumptions, especially with respect to intangible assets. Estimates in valuing certain identifiable intangible assets require significant judgment and include, but are not limited to, expected long-term market growth, future expected operating expenses, costs of capital, and appropriate discount rates. Our estimate of fair value is based upon assumptions we believe to be reasonable, but which are inherently uncertain and, as a result, actual results may differ from estimates. During the measurement period, we</w:t>
      </w:r>
    </w:p>
    <w:p>
      <w:pPr>
        <w:spacing w:after="0" w:line="200" w:lineRule="exact"/>
        <w:rPr>
          <w:sz w:val="20"/>
          <w:szCs w:val="20"/>
          <w:color w:val="auto"/>
        </w:rPr>
      </w:pP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6" w:name="page57"/>
    <w:bookmarkEnd w:id="5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may make adjustments to the fair value of assets acquired and liabilities assumed, with offsetting adjustments to goodwill. Any adjustments made after the measurement period will be reflected in the consolidated statements of operations. Acquisition-related transaction costs are expensed as incurred.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We are subject to federal, state and local taxes in the United States as well as numerous international jurisdictions. These foreign jurisdictions have different statutory tax rates than the United States. Earnings generated by our international entities are related to transfer pricing requirements as applicable under local jurisdiction tax laws.</w:t>
      </w:r>
    </w:p>
    <w:p>
      <w:pPr>
        <w:spacing w:after="0" w:line="20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record a provision for income taxes under the asset and liability method, which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Deferred tax assets and liabilities are measured using the tax rates that are expected to apply to taxable income for the years in which those tax assets and liabilities are expected to be realized or settled. A valuation allowance is provided if it is more likely than not that some or all of the deferred tax assets will not be realized. We have valuation allowances in all jurisdictions against deferred tax assets net of deferred tax liabilities that will reverse and provide a source of taxable income. Our evaluation of valuation allowances could change in the future and the impact could have a material impact on our financial statements.</w:t>
      </w:r>
    </w:p>
    <w:p>
      <w:pPr>
        <w:spacing w:after="0" w:line="206" w:lineRule="exact"/>
        <w:rPr>
          <w:sz w:val="20"/>
          <w:szCs w:val="20"/>
          <w:color w:val="auto"/>
        </w:rPr>
      </w:pPr>
    </w:p>
    <w:p>
      <w:pPr>
        <w:ind w:right="580" w:firstLine="324"/>
        <w:spacing w:after="0" w:line="262" w:lineRule="auto"/>
        <w:rPr>
          <w:sz w:val="20"/>
          <w:szCs w:val="20"/>
          <w:color w:val="auto"/>
        </w:rPr>
      </w:pPr>
      <w:r>
        <w:rPr>
          <w:rFonts w:ascii="Arial" w:cs="Arial" w:eastAsia="Arial" w:hAnsi="Arial"/>
          <w:sz w:val="18"/>
          <w:szCs w:val="18"/>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196"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In December 2019, subsequent to our acquisition of Indegy Ltd. we transferred the acquired Indegy intellectual property through an intercompany transaction. The valuation of Indegy's intellectual property for tax purposes resulted in $6.3 million of current tax expense and $4.2 million of deferred tax expense in Israel. The valuation of the intellectual property for tax purposes required significant judgment and assumptions with respect to forecasted operating results and discount rates.</w:t>
      </w:r>
    </w:p>
    <w:p>
      <w:pPr>
        <w:spacing w:after="0" w:line="20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Tax Cuts and Jobs Act, or the 2017 Tax Act, was enacted into law, which contains several significant changes to how corporations are taxed in the United States, including the reduction of the corporate income tax rate from 35% to 21% effective January 1, 2018. The new legislation also includes a variety of other changes, such as a one-time repatriation tax on accumulated foreign earnings, or transition tax, acceleration of business asset expensing and reduction in the amount of executive pay that could qualify as a tax deduction.</w:t>
      </w:r>
    </w:p>
    <w:p>
      <w:pPr>
        <w:spacing w:after="0" w:line="20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The 2017 Tax Act also included international tax provisions that will affect the Company, including the favorable tax regime for taxing foreign derived intangible income. Additional international provisions include the global intangible low taxed income, or GILTI, regime and the base erosion anti-abuse tax.</w:t>
      </w:r>
    </w:p>
    <w:p>
      <w:pPr>
        <w:spacing w:after="0" w:line="202"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Refer to Note 1 to our consolidated financial statements in this Annual Report on Form 10-K for more information regarding recently issued accounting pronouncements.</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47"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200" w:lineRule="exact"/>
        <w:rPr>
          <w:sz w:val="20"/>
          <w:szCs w:val="20"/>
          <w:color w:val="auto"/>
        </w:rPr>
      </w:pPr>
    </w:p>
    <w:p>
      <w:pPr>
        <w:spacing w:after="0" w:line="21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40" w:right="279" w:bottom="1440" w:gutter="0" w:footer="0" w:header="0"/>
        </w:sectPr>
      </w:pPr>
    </w:p>
    <w:bookmarkStart w:id="57" w:name="page58"/>
    <w:bookmarkEnd w:id="5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At December 31, 2019, we had cash and cash equivalents of $74.4 million, consisting of cash deposits, money market funds and commercial paper. We also had short-term investments of $137.9 million, consisting of commercial paper, U.S. Treasury securities and corporate bonds. Our investments are carried at their fair market value with cumulative unrealized gains or losses recorded as a component of accumulated other comprehensive income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0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have not had any borrowings outstanding under the revolving credit facility since it was established in May 2017. Any borrowings under the revolving credit facility would bear interest at a variable rate tied to the prime rate or the LIBOR rate. We do not have any other long-term debt or financial liabilities with floating interest rates that would subject us to interest rate fluctuations.</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January 9, 2020, we entered into a $2.5 million standby letter of credit ("Letter of Credit") for the security deposit on our new headquarters lease. The Letter of Credit bears interest at 2% per annum and expires one year from the issue date, with automatic renewals for additional one year terms until the final expiration date of February 2032. The Letter of Credit reduces the amount available for borrowing under our revolving credit facility.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A portion of our operating expenses, including foreign denominated leases, are incurred outside the United States, denominated in foreign currencies and subject to fluctuations due to changes in foreign currency exchange rates, particularly changes in the Euro, British Pound and Australian dollar.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00" w:lineRule="exact"/>
        <w:rPr>
          <w:sz w:val="20"/>
          <w:szCs w:val="20"/>
          <w:color w:val="auto"/>
        </w:rPr>
      </w:pPr>
    </w:p>
    <w:p>
      <w:pPr>
        <w:spacing w:after="0" w:line="218"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40" w:right="259" w:bottom="1440" w:gutter="0" w:footer="0" w:header="0"/>
        </w:sectPr>
      </w:pPr>
    </w:p>
    <w:bookmarkStart w:id="58" w:name="page59"/>
    <w:bookmarkEnd w:id="5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Page</w:t>
            </w:r>
          </w:p>
        </w:tc>
      </w:tr>
      <w:tr>
        <w:trPr>
          <w:trHeight w:val="561"/>
        </w:trPr>
        <w:tc>
          <w:tcPr>
            <w:tcW w:w="460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Report of Independent Registered Public Accounting Firm</w:t>
              </w:r>
            </w:hyperlink>
          </w:p>
        </w:tc>
        <w:tc>
          <w:tcPr>
            <w:tcW w:w="6140" w:type="dxa"/>
            <w:vAlign w:val="bottom"/>
            <w:gridSpan w:val="5"/>
          </w:tcPr>
          <w:p>
            <w:pPr>
              <w:spacing w:after="0"/>
              <w:rPr>
                <w:sz w:val="24"/>
                <w:szCs w:val="24"/>
                <w:color w:val="auto"/>
              </w:rPr>
            </w:pPr>
          </w:p>
        </w:tc>
        <w:tc>
          <w:tcPr>
            <w:tcW w:w="200" w:type="dxa"/>
            <w:vAlign w:val="bottom"/>
            <w:tcBorders>
              <w:bottom w:val="single" w:sz="8" w:color="0000EE"/>
            </w:tcBorders>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60</w:t>
              </w:r>
            </w:hyperlink>
          </w:p>
        </w:tc>
        <w:tc>
          <w:tcPr>
            <w:tcW w:w="220" w:type="dxa"/>
            <w:vAlign w:val="bottom"/>
          </w:tcPr>
          <w:p>
            <w:pPr>
              <w:spacing w:after="0"/>
              <w:rPr>
                <w:sz w:val="24"/>
                <w:szCs w:val="24"/>
                <w:color w:val="auto"/>
              </w:rPr>
            </w:pPr>
          </w:p>
        </w:tc>
      </w:tr>
      <w:tr>
        <w:trPr>
          <w:trHeight w:val="250"/>
        </w:trPr>
        <w:tc>
          <w:tcPr>
            <w:tcW w:w="168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64">
              <w:r>
                <w:rPr>
                  <w:rFonts w:ascii="Arial" w:cs="Arial" w:eastAsia="Arial" w:hAnsi="Arial"/>
                  <w:sz w:val="18"/>
                  <w:szCs w:val="18"/>
                  <w:color w:val="0000EE"/>
                  <w:w w:val="98"/>
                </w:rPr>
                <w:t>Financial Statements</w:t>
              </w:r>
            </w:hyperlink>
          </w:p>
        </w:tc>
        <w:tc>
          <w:tcPr>
            <w:tcW w:w="9060" w:type="dxa"/>
            <w:vAlign w:val="bottom"/>
            <w:gridSpan w:val="15"/>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236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Consolidated Balance Sheets</w:t>
              </w:r>
            </w:hyperlink>
          </w:p>
        </w:tc>
        <w:tc>
          <w:tcPr>
            <w:tcW w:w="8380" w:type="dxa"/>
            <w:vAlign w:val="bottom"/>
            <w:gridSpan w:val="14"/>
          </w:tcPr>
          <w:p>
            <w:pPr>
              <w:spacing w:after="0"/>
              <w:rPr>
                <w:sz w:val="20"/>
                <w:szCs w:val="20"/>
                <w:color w:val="auto"/>
              </w:rPr>
            </w:pPr>
          </w:p>
        </w:tc>
        <w:tc>
          <w:tcPr>
            <w:tcW w:w="200" w:type="dxa"/>
            <w:vAlign w:val="bottom"/>
            <w:tcBorders>
              <w:bottom w:val="single" w:sz="8" w:color="0000EE"/>
            </w:tcBorders>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64</w:t>
              </w:r>
            </w:hyperlink>
          </w:p>
        </w:tc>
        <w:tc>
          <w:tcPr>
            <w:tcW w:w="220" w:type="dxa"/>
            <w:vAlign w:val="bottom"/>
          </w:tcPr>
          <w:p>
            <w:pPr>
              <w:spacing w:after="0"/>
              <w:rPr>
                <w:sz w:val="20"/>
                <w:szCs w:val="20"/>
                <w:color w:val="auto"/>
              </w:rPr>
            </w:pPr>
          </w:p>
        </w:tc>
      </w:tr>
      <w:tr>
        <w:trPr>
          <w:trHeight w:val="237"/>
        </w:trPr>
        <w:tc>
          <w:tcPr>
            <w:tcW w:w="314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Consolidated Statements of Operations</w:t>
              </w:r>
            </w:hyperlink>
          </w:p>
        </w:tc>
        <w:tc>
          <w:tcPr>
            <w:tcW w:w="7600" w:type="dxa"/>
            <w:vAlign w:val="bottom"/>
            <w:gridSpan w:val="9"/>
          </w:tcPr>
          <w:p>
            <w:pPr>
              <w:spacing w:after="0"/>
              <w:rPr>
                <w:sz w:val="20"/>
                <w:szCs w:val="20"/>
                <w:color w:val="auto"/>
              </w:rPr>
            </w:pPr>
          </w:p>
        </w:tc>
        <w:tc>
          <w:tcPr>
            <w:tcW w:w="200" w:type="dxa"/>
            <w:vAlign w:val="bottom"/>
            <w:tcBorders>
              <w:bottom w:val="single" w:sz="8" w:color="0000EE"/>
            </w:tcBorders>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220" w:type="dxa"/>
            <w:vAlign w:val="bottom"/>
          </w:tcPr>
          <w:p>
            <w:pPr>
              <w:spacing w:after="0"/>
              <w:rPr>
                <w:sz w:val="20"/>
                <w:szCs w:val="20"/>
                <w:color w:val="auto"/>
              </w:rPr>
            </w:pPr>
          </w:p>
        </w:tc>
      </w:tr>
      <w:tr>
        <w:trPr>
          <w:trHeight w:val="237"/>
        </w:trPr>
        <w:tc>
          <w:tcPr>
            <w:tcW w:w="10740" w:type="dxa"/>
            <w:vAlign w:val="bottom"/>
            <w:gridSpan w:val="2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Statements of Comprehensive Loss</w:t>
              </w:r>
            </w:hyperlink>
          </w:p>
        </w:tc>
        <w:tc>
          <w:tcPr>
            <w:tcW w:w="420" w:type="dxa"/>
            <w:vAlign w:val="bottom"/>
            <w:gridSpan w:val="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824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67">
              <w:r>
                <w:rPr>
                  <w:rFonts w:ascii="Arial" w:cs="Arial" w:eastAsia="Arial" w:hAnsi="Arial"/>
                  <w:sz w:val="18"/>
                  <w:szCs w:val="18"/>
                  <w:color w:val="0000EE"/>
                  <w:w w:val="99"/>
                </w:rPr>
                <w:t>Consolidated Statements of Redeemable Convertible Preferred Stock and Stockholders' Equity (Deficit)</w:t>
              </w:r>
            </w:hyperlink>
          </w:p>
        </w:tc>
        <w:tc>
          <w:tcPr>
            <w:tcW w:w="2500" w:type="dxa"/>
            <w:vAlign w:val="bottom"/>
          </w:tcPr>
          <w:p>
            <w:pPr>
              <w:spacing w:after="0"/>
              <w:rPr>
                <w:sz w:val="20"/>
                <w:szCs w:val="20"/>
                <w:color w:val="auto"/>
              </w:rPr>
            </w:pPr>
          </w:p>
        </w:tc>
        <w:tc>
          <w:tcPr>
            <w:tcW w:w="200" w:type="dxa"/>
            <w:vAlign w:val="bottom"/>
            <w:tcBorders>
              <w:bottom w:val="single" w:sz="8" w:color="0000EE"/>
            </w:tcBorders>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220" w:type="dxa"/>
            <w:vAlign w:val="bottom"/>
          </w:tcPr>
          <w:p>
            <w:pPr>
              <w:spacing w:after="0"/>
              <w:rPr>
                <w:sz w:val="20"/>
                <w:szCs w:val="20"/>
                <w:color w:val="auto"/>
              </w:rPr>
            </w:pPr>
          </w:p>
        </w:tc>
      </w:tr>
      <w:tr>
        <w:trPr>
          <w:trHeight w:val="237"/>
        </w:trPr>
        <w:tc>
          <w:tcPr>
            <w:tcW w:w="320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Consolidated Statements of Cash Flows</w:t>
              </w:r>
            </w:hyperlink>
          </w:p>
        </w:tc>
        <w:tc>
          <w:tcPr>
            <w:tcW w:w="7540" w:type="dxa"/>
            <w:vAlign w:val="bottom"/>
            <w:gridSpan w:val="8"/>
          </w:tcPr>
          <w:p>
            <w:pPr>
              <w:spacing w:after="0"/>
              <w:rPr>
                <w:sz w:val="20"/>
                <w:szCs w:val="20"/>
                <w:color w:val="auto"/>
              </w:rPr>
            </w:pPr>
          </w:p>
        </w:tc>
        <w:tc>
          <w:tcPr>
            <w:tcW w:w="200" w:type="dxa"/>
            <w:vAlign w:val="bottom"/>
            <w:tcBorders>
              <w:bottom w:val="single" w:sz="8" w:color="0000EE"/>
            </w:tcBorders>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220" w:type="dxa"/>
            <w:vAlign w:val="bottom"/>
          </w:tcPr>
          <w:p>
            <w:pPr>
              <w:spacing w:after="0"/>
              <w:rPr>
                <w:sz w:val="20"/>
                <w:szCs w:val="20"/>
                <w:color w:val="auto"/>
              </w:rPr>
            </w:pPr>
          </w:p>
        </w:tc>
      </w:tr>
      <w:tr>
        <w:trPr>
          <w:trHeight w:val="237"/>
        </w:trPr>
        <w:tc>
          <w:tcPr>
            <w:tcW w:w="35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69">
              <w:r>
                <w:rPr>
                  <w:rFonts w:ascii="Arial" w:cs="Arial" w:eastAsia="Arial" w:hAnsi="Arial"/>
                  <w:sz w:val="18"/>
                  <w:szCs w:val="18"/>
                  <w:color w:val="0000EE"/>
                  <w:w w:val="99"/>
                </w:rPr>
                <w:t>Notes to Consolidated Financial Statements</w:t>
              </w:r>
            </w:hyperlink>
          </w:p>
        </w:tc>
        <w:tc>
          <w:tcPr>
            <w:tcW w:w="7240" w:type="dxa"/>
            <w:vAlign w:val="bottom"/>
            <w:gridSpan w:val="7"/>
          </w:tcPr>
          <w:p>
            <w:pPr>
              <w:spacing w:after="0"/>
              <w:rPr>
                <w:sz w:val="20"/>
                <w:szCs w:val="20"/>
                <w:color w:val="auto"/>
              </w:rPr>
            </w:pPr>
          </w:p>
        </w:tc>
        <w:tc>
          <w:tcPr>
            <w:tcW w:w="200" w:type="dxa"/>
            <w:vAlign w:val="bottom"/>
            <w:tcBorders>
              <w:bottom w:val="single" w:sz="8" w:color="0000EE"/>
            </w:tcBorders>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69</w:t>
              </w:r>
            </w:hyperlink>
          </w:p>
        </w:tc>
        <w:tc>
          <w:tcPr>
            <w:tcW w:w="220" w:type="dxa"/>
            <w:vAlign w:val="bottom"/>
          </w:tcPr>
          <w:p>
            <w:pPr>
              <w:spacing w:after="0"/>
              <w:rPr>
                <w:sz w:val="20"/>
                <w:szCs w:val="20"/>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69">
              <w:r>
                <w:rPr>
                  <w:rFonts w:ascii="Arial" w:cs="Arial" w:eastAsia="Arial" w:hAnsi="Arial"/>
                  <w:sz w:val="18"/>
                  <w:szCs w:val="18"/>
                  <w:color w:val="0000EE"/>
                </w:rPr>
                <w:t>1.</w:t>
              </w:r>
            </w:hyperlink>
          </w:p>
        </w:tc>
        <w:tc>
          <w:tcPr>
            <w:tcW w:w="10320" w:type="dxa"/>
            <w:vAlign w:val="bottom"/>
            <w:gridSpan w:val="20"/>
          </w:tcPr>
          <w:p>
            <w:pPr>
              <w:ind w:left="20"/>
              <w:spacing w:after="0"/>
              <w:rPr>
                <w:rFonts w:ascii="Arial" w:cs="Arial" w:eastAsia="Arial" w:hAnsi="Arial"/>
                <w:sz w:val="18"/>
                <w:szCs w:val="18"/>
                <w:color w:val="0000EE"/>
              </w:rPr>
            </w:pPr>
            <w:hyperlink w:anchor="page69">
              <w:r>
                <w:rPr>
                  <w:rFonts w:ascii="Arial" w:cs="Arial" w:eastAsia="Arial" w:hAnsi="Arial"/>
                  <w:sz w:val="18"/>
                  <w:szCs w:val="18"/>
                  <w:color w:val="0000EE"/>
                </w:rPr>
                <w:t>Business and Summary of Significant Accounting Policies</w:t>
              </w:r>
            </w:hyperlink>
          </w:p>
        </w:tc>
        <w:tc>
          <w:tcPr>
            <w:tcW w:w="420" w:type="dxa"/>
            <w:vAlign w:val="bottom"/>
            <w:gridSpan w:val="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76">
              <w:r>
                <w:rPr>
                  <w:rFonts w:ascii="Arial" w:cs="Arial" w:eastAsia="Arial" w:hAnsi="Arial"/>
                  <w:sz w:val="18"/>
                  <w:szCs w:val="18"/>
                  <w:color w:val="0000EE"/>
                </w:rPr>
                <w:t>2.</w:t>
              </w:r>
            </w:hyperlink>
          </w:p>
        </w:tc>
        <w:tc>
          <w:tcPr>
            <w:tcW w:w="10320" w:type="dxa"/>
            <w:vAlign w:val="bottom"/>
            <w:gridSpan w:val="20"/>
          </w:tcPr>
          <w:p>
            <w:pPr>
              <w:ind w:left="20"/>
              <w:spacing w:after="0"/>
              <w:rPr>
                <w:rFonts w:ascii="Arial" w:cs="Arial" w:eastAsia="Arial" w:hAnsi="Arial"/>
                <w:sz w:val="18"/>
                <w:szCs w:val="18"/>
                <w:color w:val="0000EE"/>
              </w:rPr>
            </w:pPr>
            <w:hyperlink w:anchor="page76">
              <w:r>
                <w:rPr>
                  <w:rFonts w:ascii="Arial" w:cs="Arial" w:eastAsia="Arial" w:hAnsi="Arial"/>
                  <w:sz w:val="18"/>
                  <w:szCs w:val="18"/>
                  <w:color w:val="0000EE"/>
                </w:rPr>
                <w:t>Cash and Cash Equivalents and Short-Term Investments</w:t>
              </w:r>
            </w:hyperlink>
          </w:p>
        </w:tc>
        <w:tc>
          <w:tcPr>
            <w:tcW w:w="420" w:type="dxa"/>
            <w:vAlign w:val="bottom"/>
            <w:gridSpan w:val="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76">
              <w:r>
                <w:rPr>
                  <w:rFonts w:ascii="Arial" w:cs="Arial" w:eastAsia="Arial" w:hAnsi="Arial"/>
                  <w:sz w:val="18"/>
                  <w:szCs w:val="18"/>
                  <w:color w:val="0000EE"/>
                </w:rPr>
                <w:t>3.</w:t>
              </w:r>
            </w:hyperlink>
          </w:p>
        </w:tc>
        <w:tc>
          <w:tcPr>
            <w:tcW w:w="10320" w:type="dxa"/>
            <w:vAlign w:val="bottom"/>
            <w:gridSpan w:val="20"/>
          </w:tcPr>
          <w:p>
            <w:pPr>
              <w:ind w:left="20"/>
              <w:spacing w:after="0"/>
              <w:rPr>
                <w:rFonts w:ascii="Arial" w:cs="Arial" w:eastAsia="Arial" w:hAnsi="Arial"/>
                <w:sz w:val="18"/>
                <w:szCs w:val="18"/>
                <w:color w:val="0000EE"/>
              </w:rPr>
            </w:pPr>
            <w:hyperlink w:anchor="page76">
              <w:r>
                <w:rPr>
                  <w:rFonts w:ascii="Arial" w:cs="Arial" w:eastAsia="Arial" w:hAnsi="Arial"/>
                  <w:sz w:val="18"/>
                  <w:szCs w:val="18"/>
                  <w:color w:val="0000EE"/>
                </w:rPr>
                <w:t>Fair Value Measurements</w:t>
              </w:r>
            </w:hyperlink>
          </w:p>
        </w:tc>
        <w:tc>
          <w:tcPr>
            <w:tcW w:w="420" w:type="dxa"/>
            <w:vAlign w:val="bottom"/>
            <w:gridSpan w:val="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77">
              <w:r>
                <w:rPr>
                  <w:rFonts w:ascii="Arial" w:cs="Arial" w:eastAsia="Arial" w:hAnsi="Arial"/>
                  <w:sz w:val="18"/>
                  <w:szCs w:val="18"/>
                  <w:color w:val="0000EE"/>
                </w:rPr>
                <w:t>4.</w:t>
              </w:r>
            </w:hyperlink>
          </w:p>
        </w:tc>
        <w:tc>
          <w:tcPr>
            <w:tcW w:w="10320" w:type="dxa"/>
            <w:vAlign w:val="bottom"/>
            <w:gridSpan w:val="20"/>
          </w:tcPr>
          <w:p>
            <w:pPr>
              <w:ind w:left="20"/>
              <w:spacing w:after="0"/>
              <w:rPr>
                <w:rFonts w:ascii="Arial" w:cs="Arial" w:eastAsia="Arial" w:hAnsi="Arial"/>
                <w:sz w:val="18"/>
                <w:szCs w:val="18"/>
                <w:color w:val="0000EE"/>
              </w:rPr>
            </w:pPr>
            <w:hyperlink w:anchor="page77">
              <w:r>
                <w:rPr>
                  <w:rFonts w:ascii="Arial" w:cs="Arial" w:eastAsia="Arial" w:hAnsi="Arial"/>
                  <w:sz w:val="18"/>
                  <w:szCs w:val="18"/>
                  <w:color w:val="0000EE"/>
                </w:rPr>
                <w:t>Property and Equipment, Net</w:t>
              </w:r>
            </w:hyperlink>
          </w:p>
        </w:tc>
        <w:tc>
          <w:tcPr>
            <w:tcW w:w="420" w:type="dxa"/>
            <w:vAlign w:val="bottom"/>
            <w:gridSpan w:val="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78">
              <w:r>
                <w:rPr>
                  <w:rFonts w:ascii="Arial" w:cs="Arial" w:eastAsia="Arial" w:hAnsi="Arial"/>
                  <w:sz w:val="18"/>
                  <w:szCs w:val="18"/>
                  <w:color w:val="0000EE"/>
                </w:rPr>
                <w:t>5.</w:t>
              </w:r>
            </w:hyperlink>
          </w:p>
        </w:tc>
        <w:tc>
          <w:tcPr>
            <w:tcW w:w="10320" w:type="dxa"/>
            <w:vAlign w:val="bottom"/>
            <w:gridSpan w:val="20"/>
          </w:tcPr>
          <w:p>
            <w:pPr>
              <w:ind w:left="20"/>
              <w:spacing w:after="0"/>
              <w:rPr>
                <w:rFonts w:ascii="Arial" w:cs="Arial" w:eastAsia="Arial" w:hAnsi="Arial"/>
                <w:sz w:val="18"/>
                <w:szCs w:val="18"/>
                <w:color w:val="0000EE"/>
              </w:rPr>
            </w:pPr>
            <w:hyperlink w:anchor="page78">
              <w:r>
                <w:rPr>
                  <w:rFonts w:ascii="Arial" w:cs="Arial" w:eastAsia="Arial" w:hAnsi="Arial"/>
                  <w:sz w:val="18"/>
                  <w:szCs w:val="18"/>
                  <w:color w:val="0000EE"/>
                </w:rPr>
                <w:t>Acquisition, Goodwill and Intangible Assets</w:t>
              </w:r>
            </w:hyperlink>
          </w:p>
        </w:tc>
        <w:tc>
          <w:tcPr>
            <w:tcW w:w="420" w:type="dxa"/>
            <w:vAlign w:val="bottom"/>
            <w:gridSpan w:val="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79">
              <w:r>
                <w:rPr>
                  <w:rFonts w:ascii="Arial" w:cs="Arial" w:eastAsia="Arial" w:hAnsi="Arial"/>
                  <w:sz w:val="18"/>
                  <w:szCs w:val="18"/>
                  <w:color w:val="0000EE"/>
                </w:rPr>
                <w:t>6.</w:t>
              </w:r>
            </w:hyperlink>
          </w:p>
        </w:tc>
        <w:tc>
          <w:tcPr>
            <w:tcW w:w="10320" w:type="dxa"/>
            <w:vAlign w:val="bottom"/>
            <w:gridSpan w:val="20"/>
          </w:tcPr>
          <w:p>
            <w:pPr>
              <w:ind w:left="20"/>
              <w:spacing w:after="0"/>
              <w:rPr>
                <w:rFonts w:ascii="Arial" w:cs="Arial" w:eastAsia="Arial" w:hAnsi="Arial"/>
                <w:sz w:val="18"/>
                <w:szCs w:val="18"/>
                <w:color w:val="0000EE"/>
              </w:rPr>
            </w:pPr>
            <w:hyperlink w:anchor="page79">
              <w:r>
                <w:rPr>
                  <w:rFonts w:ascii="Arial" w:cs="Arial" w:eastAsia="Arial" w:hAnsi="Arial"/>
                  <w:sz w:val="18"/>
                  <w:szCs w:val="18"/>
                  <w:color w:val="0000EE"/>
                </w:rPr>
                <w:t>Leases</w:t>
              </w:r>
            </w:hyperlink>
          </w:p>
        </w:tc>
        <w:tc>
          <w:tcPr>
            <w:tcW w:w="420" w:type="dxa"/>
            <w:vAlign w:val="bottom"/>
            <w:gridSpan w:val="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80">
              <w:r>
                <w:rPr>
                  <w:rFonts w:ascii="Arial" w:cs="Arial" w:eastAsia="Arial" w:hAnsi="Arial"/>
                  <w:sz w:val="18"/>
                  <w:szCs w:val="18"/>
                  <w:color w:val="0000EE"/>
                </w:rPr>
                <w:t>7.</w:t>
              </w:r>
            </w:hyperlink>
          </w:p>
        </w:tc>
        <w:tc>
          <w:tcPr>
            <w:tcW w:w="10320" w:type="dxa"/>
            <w:vAlign w:val="bottom"/>
            <w:gridSpan w:val="20"/>
          </w:tcPr>
          <w:p>
            <w:pPr>
              <w:ind w:left="20"/>
              <w:spacing w:after="0"/>
              <w:rPr>
                <w:rFonts w:ascii="Arial" w:cs="Arial" w:eastAsia="Arial" w:hAnsi="Arial"/>
                <w:sz w:val="18"/>
                <w:szCs w:val="18"/>
                <w:color w:val="0000EE"/>
              </w:rPr>
            </w:pPr>
            <w:hyperlink w:anchor="page80">
              <w:r>
                <w:rPr>
                  <w:rFonts w:ascii="Arial" w:cs="Arial" w:eastAsia="Arial" w:hAnsi="Arial"/>
                  <w:sz w:val="18"/>
                  <w:szCs w:val="18"/>
                  <w:color w:val="0000EE"/>
                </w:rPr>
                <w:t>Debt</w:t>
              </w:r>
            </w:hyperlink>
          </w:p>
        </w:tc>
        <w:tc>
          <w:tcPr>
            <w:tcW w:w="420" w:type="dxa"/>
            <w:vAlign w:val="bottom"/>
            <w:gridSpan w:val="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81">
              <w:r>
                <w:rPr>
                  <w:rFonts w:ascii="Arial" w:cs="Arial" w:eastAsia="Arial" w:hAnsi="Arial"/>
                  <w:sz w:val="18"/>
                  <w:szCs w:val="18"/>
                  <w:color w:val="0000EE"/>
                </w:rPr>
                <w:t>8.</w:t>
              </w:r>
            </w:hyperlink>
          </w:p>
        </w:tc>
        <w:tc>
          <w:tcPr>
            <w:tcW w:w="10320" w:type="dxa"/>
            <w:vAlign w:val="bottom"/>
            <w:gridSpan w:val="20"/>
          </w:tcPr>
          <w:p>
            <w:pPr>
              <w:ind w:left="20"/>
              <w:spacing w:after="0"/>
              <w:rPr>
                <w:rFonts w:ascii="Arial" w:cs="Arial" w:eastAsia="Arial" w:hAnsi="Arial"/>
                <w:sz w:val="18"/>
                <w:szCs w:val="18"/>
                <w:color w:val="0000EE"/>
              </w:rPr>
            </w:pPr>
            <w:hyperlink w:anchor="page81">
              <w:r>
                <w:rPr>
                  <w:rFonts w:ascii="Arial" w:cs="Arial" w:eastAsia="Arial" w:hAnsi="Arial"/>
                  <w:sz w:val="18"/>
                  <w:szCs w:val="18"/>
                  <w:color w:val="0000EE"/>
                </w:rPr>
                <w:t>Redeemable Convertible Preferred Stock and Common Stock</w:t>
              </w:r>
            </w:hyperlink>
          </w:p>
        </w:tc>
        <w:tc>
          <w:tcPr>
            <w:tcW w:w="420" w:type="dxa"/>
            <w:vAlign w:val="bottom"/>
            <w:gridSpan w:val="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81</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81">
              <w:r>
                <w:rPr>
                  <w:rFonts w:ascii="Arial" w:cs="Arial" w:eastAsia="Arial" w:hAnsi="Arial"/>
                  <w:sz w:val="18"/>
                  <w:szCs w:val="18"/>
                  <w:color w:val="0000EE"/>
                </w:rPr>
                <w:t>9.</w:t>
              </w:r>
            </w:hyperlink>
          </w:p>
        </w:tc>
        <w:tc>
          <w:tcPr>
            <w:tcW w:w="10320" w:type="dxa"/>
            <w:vAlign w:val="bottom"/>
            <w:gridSpan w:val="20"/>
          </w:tcPr>
          <w:p>
            <w:pPr>
              <w:ind w:left="20"/>
              <w:spacing w:after="0"/>
              <w:rPr>
                <w:rFonts w:ascii="Arial" w:cs="Arial" w:eastAsia="Arial" w:hAnsi="Arial"/>
                <w:sz w:val="18"/>
                <w:szCs w:val="18"/>
                <w:color w:val="0000EE"/>
              </w:rPr>
            </w:pPr>
            <w:hyperlink w:anchor="page81">
              <w:r>
                <w:rPr>
                  <w:rFonts w:ascii="Arial" w:cs="Arial" w:eastAsia="Arial" w:hAnsi="Arial"/>
                  <w:sz w:val="18"/>
                  <w:szCs w:val="18"/>
                  <w:color w:val="0000EE"/>
                </w:rPr>
                <w:t>Stock-Based Compensation</w:t>
              </w:r>
            </w:hyperlink>
          </w:p>
        </w:tc>
        <w:tc>
          <w:tcPr>
            <w:tcW w:w="420" w:type="dxa"/>
            <w:vAlign w:val="bottom"/>
            <w:gridSpan w:val="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81</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20" w:type="dxa"/>
            <w:vAlign w:val="bottom"/>
            <w:gridSpan w:val="3"/>
          </w:tcPr>
          <w:p>
            <w:pPr>
              <w:ind w:left="240"/>
              <w:spacing w:after="0"/>
              <w:rPr>
                <w:rFonts w:ascii="Arial" w:cs="Arial" w:eastAsia="Arial" w:hAnsi="Arial"/>
                <w:sz w:val="18"/>
                <w:szCs w:val="18"/>
                <w:color w:val="0000EE"/>
              </w:rPr>
            </w:pPr>
            <w:hyperlink w:anchor="page85">
              <w:r>
                <w:rPr>
                  <w:rFonts w:ascii="Arial" w:cs="Arial" w:eastAsia="Arial" w:hAnsi="Arial"/>
                  <w:sz w:val="18"/>
                  <w:szCs w:val="18"/>
                  <w:color w:val="0000EE"/>
                </w:rPr>
                <w:t>10.</w:t>
              </w:r>
            </w:hyperlink>
          </w:p>
        </w:tc>
        <w:tc>
          <w:tcPr>
            <w:tcW w:w="10220" w:type="dxa"/>
            <w:vAlign w:val="bottom"/>
            <w:gridSpan w:val="19"/>
          </w:tcPr>
          <w:p>
            <w:pPr>
              <w:ind w:left="20"/>
              <w:spacing w:after="0"/>
              <w:rPr>
                <w:rFonts w:ascii="Arial" w:cs="Arial" w:eastAsia="Arial" w:hAnsi="Arial"/>
                <w:sz w:val="18"/>
                <w:szCs w:val="18"/>
                <w:color w:val="0000EE"/>
              </w:rPr>
            </w:pPr>
            <w:hyperlink w:anchor="page85">
              <w:r>
                <w:rPr>
                  <w:rFonts w:ascii="Arial" w:cs="Arial" w:eastAsia="Arial" w:hAnsi="Arial"/>
                  <w:sz w:val="18"/>
                  <w:szCs w:val="18"/>
                  <w:color w:val="0000EE"/>
                </w:rPr>
                <w:t>Net Loss Per Share Attributable to Common Stockholders</w:t>
              </w:r>
            </w:hyperlink>
          </w:p>
        </w:tc>
        <w:tc>
          <w:tcPr>
            <w:tcW w:w="420" w:type="dxa"/>
            <w:vAlign w:val="bottom"/>
            <w:gridSpan w:val="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20" w:type="dxa"/>
            <w:vAlign w:val="bottom"/>
            <w:gridSpan w:val="3"/>
          </w:tcPr>
          <w:p>
            <w:pPr>
              <w:ind w:left="240"/>
              <w:spacing w:after="0"/>
              <w:rPr>
                <w:rFonts w:ascii="Arial" w:cs="Arial" w:eastAsia="Arial" w:hAnsi="Arial"/>
                <w:sz w:val="18"/>
                <w:szCs w:val="18"/>
                <w:color w:val="0000EE"/>
              </w:rPr>
            </w:pPr>
            <w:hyperlink w:anchor="page85">
              <w:r>
                <w:rPr>
                  <w:rFonts w:ascii="Arial" w:cs="Arial" w:eastAsia="Arial" w:hAnsi="Arial"/>
                  <w:sz w:val="18"/>
                  <w:szCs w:val="18"/>
                  <w:color w:val="0000EE"/>
                </w:rPr>
                <w:t>11.</w:t>
              </w:r>
            </w:hyperlink>
          </w:p>
        </w:tc>
        <w:tc>
          <w:tcPr>
            <w:tcW w:w="10220" w:type="dxa"/>
            <w:vAlign w:val="bottom"/>
            <w:gridSpan w:val="19"/>
          </w:tcPr>
          <w:p>
            <w:pPr>
              <w:ind w:left="20"/>
              <w:spacing w:after="0"/>
              <w:rPr>
                <w:rFonts w:ascii="Arial" w:cs="Arial" w:eastAsia="Arial" w:hAnsi="Arial"/>
                <w:sz w:val="18"/>
                <w:szCs w:val="18"/>
                <w:color w:val="0000EE"/>
              </w:rPr>
            </w:pPr>
            <w:hyperlink w:anchor="page85">
              <w:r>
                <w:rPr>
                  <w:rFonts w:ascii="Arial" w:cs="Arial" w:eastAsia="Arial" w:hAnsi="Arial"/>
                  <w:sz w:val="18"/>
                  <w:szCs w:val="18"/>
                  <w:color w:val="0000EE"/>
                </w:rPr>
                <w:t>Income Taxes</w:t>
              </w:r>
            </w:hyperlink>
          </w:p>
        </w:tc>
        <w:tc>
          <w:tcPr>
            <w:tcW w:w="420" w:type="dxa"/>
            <w:vAlign w:val="bottom"/>
            <w:gridSpan w:val="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20" w:type="dxa"/>
            <w:vAlign w:val="bottom"/>
            <w:gridSpan w:val="3"/>
          </w:tcPr>
          <w:p>
            <w:pPr>
              <w:ind w:left="240"/>
              <w:spacing w:after="0"/>
              <w:rPr>
                <w:rFonts w:ascii="Arial" w:cs="Arial" w:eastAsia="Arial" w:hAnsi="Arial"/>
                <w:sz w:val="18"/>
                <w:szCs w:val="18"/>
                <w:color w:val="0000EE"/>
              </w:rPr>
            </w:pPr>
            <w:hyperlink w:anchor="page88">
              <w:r>
                <w:rPr>
                  <w:rFonts w:ascii="Arial" w:cs="Arial" w:eastAsia="Arial" w:hAnsi="Arial"/>
                  <w:sz w:val="18"/>
                  <w:szCs w:val="18"/>
                  <w:color w:val="0000EE"/>
                </w:rPr>
                <w:t>12.</w:t>
              </w:r>
            </w:hyperlink>
          </w:p>
        </w:tc>
        <w:tc>
          <w:tcPr>
            <w:tcW w:w="10220" w:type="dxa"/>
            <w:vAlign w:val="bottom"/>
            <w:gridSpan w:val="19"/>
          </w:tcPr>
          <w:p>
            <w:pPr>
              <w:ind w:left="20"/>
              <w:spacing w:after="0"/>
              <w:rPr>
                <w:rFonts w:ascii="Arial" w:cs="Arial" w:eastAsia="Arial" w:hAnsi="Arial"/>
                <w:sz w:val="18"/>
                <w:szCs w:val="18"/>
                <w:color w:val="0000EE"/>
              </w:rPr>
            </w:pPr>
            <w:hyperlink w:anchor="page88">
              <w:r>
                <w:rPr>
                  <w:rFonts w:ascii="Arial" w:cs="Arial" w:eastAsia="Arial" w:hAnsi="Arial"/>
                  <w:sz w:val="18"/>
                  <w:szCs w:val="18"/>
                  <w:color w:val="0000EE"/>
                </w:rPr>
                <w:t>Geographic Information</w:t>
              </w:r>
            </w:hyperlink>
          </w:p>
        </w:tc>
        <w:tc>
          <w:tcPr>
            <w:tcW w:w="420" w:type="dxa"/>
            <w:vAlign w:val="bottom"/>
            <w:gridSpan w:val="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20" w:type="dxa"/>
            <w:vAlign w:val="bottom"/>
            <w:gridSpan w:val="3"/>
          </w:tcPr>
          <w:p>
            <w:pPr>
              <w:ind w:left="240"/>
              <w:spacing w:after="0"/>
              <w:rPr>
                <w:rFonts w:ascii="Arial" w:cs="Arial" w:eastAsia="Arial" w:hAnsi="Arial"/>
                <w:sz w:val="18"/>
                <w:szCs w:val="18"/>
                <w:color w:val="0000EE"/>
              </w:rPr>
            </w:pPr>
            <w:hyperlink w:anchor="page88">
              <w:r>
                <w:rPr>
                  <w:rFonts w:ascii="Arial" w:cs="Arial" w:eastAsia="Arial" w:hAnsi="Arial"/>
                  <w:sz w:val="18"/>
                  <w:szCs w:val="18"/>
                  <w:color w:val="0000EE"/>
                </w:rPr>
                <w:t>13.</w:t>
              </w:r>
            </w:hyperlink>
          </w:p>
        </w:tc>
        <w:tc>
          <w:tcPr>
            <w:tcW w:w="10220" w:type="dxa"/>
            <w:vAlign w:val="bottom"/>
            <w:gridSpan w:val="19"/>
          </w:tcPr>
          <w:p>
            <w:pPr>
              <w:ind w:left="20"/>
              <w:spacing w:after="0"/>
              <w:rPr>
                <w:rFonts w:ascii="Arial" w:cs="Arial" w:eastAsia="Arial" w:hAnsi="Arial"/>
                <w:sz w:val="18"/>
                <w:szCs w:val="18"/>
                <w:color w:val="0000EE"/>
              </w:rPr>
            </w:pPr>
            <w:hyperlink w:anchor="page88">
              <w:r>
                <w:rPr>
                  <w:rFonts w:ascii="Arial" w:cs="Arial" w:eastAsia="Arial" w:hAnsi="Arial"/>
                  <w:sz w:val="18"/>
                  <w:szCs w:val="18"/>
                  <w:color w:val="0000EE"/>
                </w:rPr>
                <w:t>Benefit Plans</w:t>
              </w:r>
            </w:hyperlink>
          </w:p>
        </w:tc>
        <w:tc>
          <w:tcPr>
            <w:tcW w:w="420" w:type="dxa"/>
            <w:vAlign w:val="bottom"/>
            <w:gridSpan w:val="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20" w:type="dxa"/>
            <w:vAlign w:val="bottom"/>
            <w:gridSpan w:val="3"/>
          </w:tcPr>
          <w:p>
            <w:pPr>
              <w:ind w:left="240"/>
              <w:spacing w:after="0"/>
              <w:rPr>
                <w:rFonts w:ascii="Arial" w:cs="Arial" w:eastAsia="Arial" w:hAnsi="Arial"/>
                <w:sz w:val="18"/>
                <w:szCs w:val="18"/>
                <w:color w:val="0000EE"/>
              </w:rPr>
            </w:pPr>
            <w:hyperlink w:anchor="page89">
              <w:r>
                <w:rPr>
                  <w:rFonts w:ascii="Arial" w:cs="Arial" w:eastAsia="Arial" w:hAnsi="Arial"/>
                  <w:sz w:val="18"/>
                  <w:szCs w:val="18"/>
                  <w:color w:val="0000EE"/>
                </w:rPr>
                <w:t>14.</w:t>
              </w:r>
            </w:hyperlink>
          </w:p>
        </w:tc>
        <w:tc>
          <w:tcPr>
            <w:tcW w:w="10220" w:type="dxa"/>
            <w:vAlign w:val="bottom"/>
            <w:gridSpan w:val="19"/>
          </w:tcPr>
          <w:p>
            <w:pPr>
              <w:ind w:left="20"/>
              <w:spacing w:after="0"/>
              <w:rPr>
                <w:rFonts w:ascii="Arial" w:cs="Arial" w:eastAsia="Arial" w:hAnsi="Arial"/>
                <w:sz w:val="18"/>
                <w:szCs w:val="18"/>
                <w:color w:val="0000EE"/>
              </w:rPr>
            </w:pPr>
            <w:hyperlink w:anchor="page89">
              <w:r>
                <w:rPr>
                  <w:rFonts w:ascii="Arial" w:cs="Arial" w:eastAsia="Arial" w:hAnsi="Arial"/>
                  <w:sz w:val="18"/>
                  <w:szCs w:val="18"/>
                  <w:color w:val="0000EE"/>
                </w:rPr>
                <w:t>Quarterly Results (unaudited)</w:t>
              </w:r>
            </w:hyperlink>
          </w:p>
        </w:tc>
        <w:tc>
          <w:tcPr>
            <w:tcW w:w="420" w:type="dxa"/>
            <w:vAlign w:val="bottom"/>
            <w:gridSpan w:val="2"/>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140" w:right="459" w:bottom="1440" w:gutter="0" w:footer="0" w:header="0"/>
        </w:sectPr>
      </w:pPr>
    </w:p>
    <w:bookmarkStart w:id="59" w:name="page60"/>
    <w:bookmarkEnd w:id="5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Tenable Holdings,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Tenable Holdings, Inc. (the Company) as of December 31, 2019 and 2018, the related consolidated statements of operations, comprehensive loss, redeemable convertible preferred stock and stockholders' equity (deficit) and cash flows for each of the three years in the period ended December 31, 2019,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20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28, 2020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for accounting for leases in 2018 due to the adoption of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and the related amendments.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40" w:right="279" w:bottom="1440" w:gutter="0" w:footer="0" w:header="0"/>
        </w:sectPr>
      </w:pPr>
    </w:p>
    <w:bookmarkStart w:id="60" w:name="page61"/>
    <w:bookmarkEnd w:id="6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ind w:left="2200"/>
        <w:spacing w:after="0"/>
        <w:rPr>
          <w:sz w:val="20"/>
          <w:szCs w:val="20"/>
          <w:color w:val="auto"/>
        </w:rPr>
      </w:pPr>
      <w:r>
        <w:rPr>
          <w:rFonts w:ascii="Arial" w:cs="Arial" w:eastAsia="Arial" w:hAnsi="Arial"/>
          <w:sz w:val="17"/>
          <w:szCs w:val="17"/>
          <w:b w:val="1"/>
          <w:bCs w:val="1"/>
          <w:i w:val="1"/>
          <w:iCs w:val="1"/>
          <w:color w:val="auto"/>
        </w:rPr>
        <w:t>Revenue Recognition - Identification and Evaluation of Contracts with Non-Standard Terms and Conditions</w:t>
      </w:r>
    </w:p>
    <w:p>
      <w:pPr>
        <w:spacing w:after="0" w:line="65" w:lineRule="exact"/>
        <w:rPr>
          <w:sz w:val="20"/>
          <w:szCs w:val="20"/>
          <w:color w:val="auto"/>
        </w:rPr>
      </w:pPr>
    </w:p>
    <w:p>
      <w:pPr>
        <w:jc w:val="both"/>
        <w:ind w:left="2200" w:right="280" w:hanging="2173"/>
        <w:spacing w:after="0"/>
        <w:tabs>
          <w:tab w:leader="none" w:pos="218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24282D"/>
        </w:rPr>
        <w:t>As described in Note 1 to the consolidated financial statements, management enters into certain contracts with customers, including software subscription arrangements and perpetual licenses with related maintenance, with non-standard terms and conditions.</w:t>
      </w:r>
    </w:p>
    <w:p>
      <w:pPr>
        <w:spacing w:after="0" w:line="221" w:lineRule="exact"/>
        <w:rPr>
          <w:sz w:val="20"/>
          <w:szCs w:val="20"/>
          <w:color w:val="auto"/>
        </w:rPr>
      </w:pPr>
    </w:p>
    <w:p>
      <w:pPr>
        <w:ind w:left="2200" w:right="20"/>
        <w:spacing w:after="0" w:line="237" w:lineRule="auto"/>
        <w:rPr>
          <w:sz w:val="20"/>
          <w:szCs w:val="20"/>
          <w:color w:val="auto"/>
        </w:rPr>
      </w:pPr>
      <w:r>
        <w:rPr>
          <w:rFonts w:ascii="Arial" w:cs="Arial" w:eastAsia="Arial" w:hAnsi="Arial"/>
          <w:sz w:val="18"/>
          <w:szCs w:val="18"/>
          <w:color w:val="24282D"/>
        </w:rPr>
        <w:t>The principal consideration for our determination that performing procedures relating to the identification and evaluation of non-standard terms and conditions in contracts is a critical audit matter is the significant amount of judgment required by management in identifying and evaluating non-standard terms and conditions and the impact on the amount and timing of revenue recognition. This in turn led to a high degree of auditor judgment and significant audit effort in performing our audit procedures to evaluate whether non-standard terms and conditions in contracts were appropriately identified and evaluated by management.</w:t>
      </w:r>
    </w:p>
    <w:p>
      <w:pPr>
        <w:spacing w:after="0" w:line="241" w:lineRule="exact"/>
        <w:rPr>
          <w:sz w:val="20"/>
          <w:szCs w:val="20"/>
          <w:color w:val="auto"/>
        </w:rPr>
      </w:pPr>
    </w:p>
    <w:p>
      <w:pPr>
        <w:ind w:left="40"/>
        <w:spacing w:after="0"/>
        <w:tabs>
          <w:tab w:leader="none" w:pos="218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7"/>
          <w:szCs w:val="17"/>
          <w:color w:val="auto"/>
        </w:rPr>
        <w:t>We obtained an understanding, evaluated the design and tested the operating effectiveness of controls over the</w:t>
      </w:r>
    </w:p>
    <w:p>
      <w:pPr>
        <w:spacing w:after="0" w:line="14" w:lineRule="exact"/>
        <w:rPr>
          <w:sz w:val="20"/>
          <w:szCs w:val="20"/>
          <w:color w:val="auto"/>
        </w:rPr>
      </w:pPr>
    </w:p>
    <w:p>
      <w:pPr>
        <w:ind w:left="2200" w:hanging="2173"/>
        <w:spacing w:after="0" w:line="239" w:lineRule="auto"/>
        <w:tabs>
          <w:tab w:leader="none" w:pos="218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Company’s process for identifying and evaluating contracts with non-standard terms and conditions. These procedures also included, among others, on a sample basis (i) testing the completeness and accuracy of management’s identification of contracts with non-standard terms and conditions and (ii) testing management’s determination of the impact of non-standard terms and conditions on the amount and timing of revenue recognition.</w:t>
      </w:r>
    </w:p>
    <w:p>
      <w:pPr>
        <w:spacing w:after="0" w:line="234" w:lineRule="exact"/>
        <w:rPr>
          <w:sz w:val="20"/>
          <w:szCs w:val="20"/>
          <w:color w:val="auto"/>
        </w:rPr>
      </w:pPr>
    </w:p>
    <w:p>
      <w:pPr>
        <w:ind w:left="2200"/>
        <w:spacing w:after="0"/>
        <w:rPr>
          <w:sz w:val="20"/>
          <w:szCs w:val="20"/>
          <w:color w:val="auto"/>
        </w:rPr>
      </w:pPr>
      <w:r>
        <w:rPr>
          <w:rFonts w:ascii="Arial" w:cs="Arial" w:eastAsia="Arial" w:hAnsi="Arial"/>
          <w:sz w:val="18"/>
          <w:szCs w:val="18"/>
          <w:b w:val="1"/>
          <w:bCs w:val="1"/>
          <w:i w:val="1"/>
          <w:iCs w:val="1"/>
          <w:color w:val="auto"/>
        </w:rPr>
        <w:t>Valuation of Acquired Intangible Asset</w:t>
      </w:r>
    </w:p>
    <w:p>
      <w:pPr>
        <w:spacing w:after="0" w:line="216" w:lineRule="exact"/>
        <w:rPr>
          <w:sz w:val="20"/>
          <w:szCs w:val="20"/>
          <w:color w:val="auto"/>
        </w:rPr>
      </w:pPr>
    </w:p>
    <w:p>
      <w:pPr>
        <w:ind w:left="2200" w:right="100" w:hanging="2173"/>
        <w:spacing w:after="0" w:line="239" w:lineRule="auto"/>
        <w:tabs>
          <w:tab w:leader="none" w:pos="218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described in Note 5 to the consolidated financial statements, during the year ended December 31, 2019, the Company completed the acquisition of Indegy Ltd. (“Indegy”) for $80.1 million in cash. The Company’s accounting for the acquisition included determining the fair value of the acquired intangible assets including developed technology of $15.5 million.</w:t>
      </w:r>
    </w:p>
    <w:p>
      <w:pPr>
        <w:spacing w:after="0" w:line="220" w:lineRule="exact"/>
        <w:rPr>
          <w:sz w:val="20"/>
          <w:szCs w:val="20"/>
          <w:color w:val="auto"/>
        </w:rPr>
      </w:pPr>
    </w:p>
    <w:p>
      <w:pPr>
        <w:ind w:left="2200"/>
        <w:spacing w:after="0" w:line="238" w:lineRule="auto"/>
        <w:rPr>
          <w:sz w:val="20"/>
          <w:szCs w:val="20"/>
          <w:color w:val="auto"/>
        </w:rPr>
      </w:pPr>
      <w:r>
        <w:rPr>
          <w:rFonts w:ascii="Arial" w:cs="Arial" w:eastAsia="Arial" w:hAnsi="Arial"/>
          <w:sz w:val="18"/>
          <w:szCs w:val="18"/>
          <w:color w:val="auto"/>
        </w:rPr>
        <w:t>Auditing the accounting for the acquired intangible asset of Indegy involved complex auditor judgment due to the estimation required in management’s determination of the fair value. The estimation was significant primarily due to the sensitivity of the fair value of the developed technology to the underlying assumptions, including the discount rate, projected revenue growth rates, the obsolescence factor, and projected profit margins. These significant assumptions are forward-looking and could be affected by future economic and market conditions.</w:t>
      </w:r>
    </w:p>
    <w:p>
      <w:pPr>
        <w:spacing w:after="0" w:line="239" w:lineRule="exact"/>
        <w:rPr>
          <w:sz w:val="20"/>
          <w:szCs w:val="20"/>
          <w:color w:val="auto"/>
        </w:rPr>
      </w:pPr>
    </w:p>
    <w:p>
      <w:pPr>
        <w:ind w:left="40"/>
        <w:spacing w:after="0"/>
        <w:tabs>
          <w:tab w:leader="none" w:pos="218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7"/>
          <w:szCs w:val="17"/>
          <w:color w:val="auto"/>
        </w:rPr>
        <w:t>We obtained an understanding, evaluated the design and tested the operating effectiveness of controls over the</w:t>
      </w:r>
    </w:p>
    <w:p>
      <w:pPr>
        <w:spacing w:after="0" w:line="14" w:lineRule="exact"/>
        <w:rPr>
          <w:sz w:val="20"/>
          <w:szCs w:val="20"/>
          <w:color w:val="auto"/>
        </w:rPr>
      </w:pPr>
    </w:p>
    <w:p>
      <w:pPr>
        <w:ind w:left="2200" w:right="100" w:hanging="2173"/>
        <w:spacing w:after="0"/>
        <w:tabs>
          <w:tab w:leader="none" w:pos="218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Company’s process for accounting for the acquired intangible asset. For example, we tested controls over management’s review of the valuation model and significant assumptions used in the valuation as well as controls over the completeness and accuracy of the data used in the model and assumptions.</w:t>
      </w:r>
    </w:p>
    <w:p>
      <w:pPr>
        <w:spacing w:after="0" w:line="203" w:lineRule="exact"/>
        <w:rPr>
          <w:sz w:val="20"/>
          <w:szCs w:val="20"/>
          <w:color w:val="auto"/>
        </w:rPr>
      </w:pPr>
    </w:p>
    <w:p>
      <w:pPr>
        <w:ind w:left="2200" w:right="60"/>
        <w:spacing w:after="0" w:line="237" w:lineRule="auto"/>
        <w:rPr>
          <w:sz w:val="20"/>
          <w:szCs w:val="20"/>
          <w:color w:val="auto"/>
        </w:rPr>
      </w:pPr>
      <w:r>
        <w:rPr>
          <w:rFonts w:ascii="Arial" w:cs="Arial" w:eastAsia="Arial" w:hAnsi="Arial"/>
          <w:sz w:val="18"/>
          <w:szCs w:val="18"/>
          <w:color w:val="auto"/>
        </w:rPr>
        <w:t>To test the fair value of the acquired developed technology, our audit procedures included, among others, evaluating the Company's use of valuation methodologies, evaluating the significant assumptions, evaluating the prospective financial information and testing the completeness and accuracy of underlying data. We involved our valuation specialists to assist in testing certain significant assumptions used to value the acquired intangible asset. For example, we compared the significant assumptions to current industry and market trends, historical results of the acquired business and to other relevant factors. We also performed sensitivity analyses of the significant assumptions to evaluate the change in the fair value resulting from changes in the assumptions.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served as the Company’s auditor since 2014</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241"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140" w:right="299" w:bottom="1440" w:gutter="0" w:footer="0" w:header="0"/>
        </w:sectPr>
      </w:pPr>
    </w:p>
    <w:bookmarkStart w:id="61" w:name="page62"/>
    <w:bookmarkEnd w:id="6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Tenable Holdings,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audited Tenable Holdings, Inc.’s internal control over financial reporting as of December 31, 2019, based on criteria established in Internal Control—Integrated Framework issued by the Committee of Sponsoring Organizations of the Treadway Commission (2013 framework) (the COSO criteria). In our opinion, Tenable Holdings, Inc. (the Company) maintained, in all material respects, effective internal control over financial reporting as of December 31, 2019, based on the COSO criteria.</w:t>
      </w:r>
    </w:p>
    <w:p>
      <w:pPr>
        <w:spacing w:after="0" w:line="2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Indegy Ltd. acquired on December 2, 2019, which is included in the 2019 consolidated financial statements of Tenable Holdings, Inc. and constituted less than 2% of total assets as of December 31, 2019 and less than 1% of total revenue and operating expenses for the year then ended. Our audit of internal control over financial reporting of Tenable Holdings, Inc. also did not include an evaluation of the internal control over financial reporting of Indegy Ltd.</w:t>
      </w:r>
    </w:p>
    <w:p>
      <w:pPr>
        <w:spacing w:after="0" w:line="20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Tenable Holdings, Inc. as of December 31, 2019 and 2018, the related consolidated statements of operations, comprehensive loss, redeemable convertible preferred stock and stockholders' equity (deficit) and cash flows for each of the three years in the period ended December 31, 2019, and the related notes and the financial statement schedule listed in the Index at item 15(a)(2) (collectively referred to as the “consolidated financial statements”) and our report dated February 28, 2020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w:t>
      </w:r>
    </w:p>
    <w:p>
      <w:pPr>
        <w:spacing w:after="0" w:line="200" w:lineRule="exact"/>
        <w:rPr>
          <w:sz w:val="20"/>
          <w:szCs w:val="20"/>
          <w:color w:val="auto"/>
        </w:rPr>
      </w:pP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0" w:right="239" w:bottom="1440" w:gutter="0" w:footer="0" w:header="0"/>
        </w:sectPr>
      </w:pPr>
    </w:p>
    <w:bookmarkStart w:id="62" w:name="page63"/>
    <w:bookmarkEnd w:id="6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240" w:top="140" w:right="399" w:bottom="1440" w:gutter="0" w:footer="0" w:header="0"/>
        </w:sectPr>
      </w:pPr>
    </w:p>
    <w:bookmarkStart w:id="63" w:name="page64"/>
    <w:bookmarkEnd w:id="6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74,363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165,116</w:t>
            </w:r>
          </w:p>
        </w:tc>
        <w:tc>
          <w:tcPr>
            <w:tcW w:w="0" w:type="dxa"/>
            <w:vAlign w:val="bottom"/>
          </w:tcPr>
          <w:p>
            <w:pPr>
              <w:spacing w:after="0"/>
              <w:rPr>
                <w:sz w:val="1"/>
                <w:szCs w:val="1"/>
                <w:color w:val="auto"/>
              </w:rPr>
            </w:pPr>
          </w:p>
        </w:tc>
      </w:tr>
      <w:tr>
        <w:trPr>
          <w:trHeight w:val="263"/>
        </w:trPr>
        <w:tc>
          <w:tcPr>
            <w:tcW w:w="84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137,904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118,119</w:t>
            </w:r>
          </w:p>
        </w:tc>
        <w:tc>
          <w:tcPr>
            <w:tcW w:w="0" w:type="dxa"/>
            <w:vAlign w:val="bottom"/>
          </w:tcPr>
          <w:p>
            <w:pPr>
              <w:spacing w:after="0"/>
              <w:rPr>
                <w:sz w:val="1"/>
                <w:szCs w:val="1"/>
                <w:color w:val="auto"/>
              </w:rPr>
            </w:pPr>
          </w:p>
        </w:tc>
      </w:tr>
      <w:tr>
        <w:trPr>
          <w:trHeight w:val="235"/>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$764 and $188 at December 31, 2019</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2018, respectively)</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94,827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68,261</w:t>
            </w:r>
          </w:p>
        </w:tc>
        <w:tc>
          <w:tcPr>
            <w:tcW w:w="0" w:type="dxa"/>
            <w:vAlign w:val="bottom"/>
          </w:tcPr>
          <w:p>
            <w:pPr>
              <w:spacing w:after="0"/>
              <w:rPr>
                <w:sz w:val="1"/>
                <w:szCs w:val="1"/>
                <w:color w:val="auto"/>
              </w:rPr>
            </w:pPr>
          </w:p>
        </w:tc>
      </w:tr>
      <w:tr>
        <w:trPr>
          <w:trHeight w:val="263"/>
        </w:trPr>
        <w:tc>
          <w:tcPr>
            <w:tcW w:w="8440" w:type="dxa"/>
            <w:vAlign w:val="bottom"/>
          </w:tcPr>
          <w:p>
            <w:pPr>
              <w:ind w:left="180"/>
              <w:spacing w:after="0"/>
              <w:rPr>
                <w:sz w:val="20"/>
                <w:szCs w:val="20"/>
                <w:color w:val="auto"/>
              </w:rPr>
            </w:pPr>
            <w:r>
              <w:rPr>
                <w:rFonts w:ascii="Arial" w:cs="Arial" w:eastAsia="Arial" w:hAnsi="Arial"/>
                <w:sz w:val="18"/>
                <w:szCs w:val="18"/>
                <w:color w:val="auto"/>
              </w:rPr>
              <w:t>Deferred commissions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28,499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23,272</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27,369</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22,020</w:t>
            </w:r>
          </w:p>
        </w:tc>
        <w:tc>
          <w:tcPr>
            <w:tcW w:w="0" w:type="dxa"/>
            <w:vAlign w:val="bottom"/>
          </w:tcPr>
          <w:p>
            <w:pPr>
              <w:spacing w:after="0"/>
              <w:rPr>
                <w:sz w:val="1"/>
                <w:szCs w:val="1"/>
                <w:color w:val="auto"/>
              </w:rPr>
            </w:pPr>
          </w:p>
        </w:tc>
      </w:tr>
      <w:tr>
        <w:trPr>
          <w:trHeight w:val="250"/>
        </w:trPr>
        <w:tc>
          <w:tcPr>
            <w:tcW w:w="84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362,962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396,788</w:t>
            </w:r>
          </w:p>
        </w:tc>
        <w:tc>
          <w:tcPr>
            <w:tcW w:w="0" w:type="dxa"/>
            <w:vAlign w:val="bottom"/>
          </w:tcPr>
          <w:p>
            <w:pPr>
              <w:spacing w:after="0"/>
              <w:rPr>
                <w:sz w:val="1"/>
                <w:szCs w:val="1"/>
                <w:color w:val="auto"/>
              </w:rPr>
            </w:pP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26,847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Deferred commissions (net of current portion)</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43,766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36,162</w:t>
            </w:r>
          </w:p>
        </w:tc>
        <w:tc>
          <w:tcPr>
            <w:tcW w:w="0" w:type="dxa"/>
            <w:vAlign w:val="bottom"/>
          </w:tcPr>
          <w:p>
            <w:pPr>
              <w:spacing w:after="0"/>
              <w:rPr>
                <w:sz w:val="1"/>
                <w:szCs w:val="1"/>
                <w:color w:val="auto"/>
              </w:rPr>
            </w:pP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42,847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8,504</w:t>
            </w:r>
          </w:p>
        </w:tc>
        <w:tc>
          <w:tcPr>
            <w:tcW w:w="0" w:type="dxa"/>
            <w:vAlign w:val="bottom"/>
          </w:tcPr>
          <w:p>
            <w:pPr>
              <w:spacing w:after="0"/>
              <w:rPr>
                <w:sz w:val="1"/>
                <w:szCs w:val="1"/>
                <w:color w:val="auto"/>
              </w:rPr>
            </w:pP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15,508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54,138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12,544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558,612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460,612</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4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7"/>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8,436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63"/>
        </w:trPr>
        <w:tc>
          <w:tcPr>
            <w:tcW w:w="84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36,634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29,594</w:t>
            </w:r>
          </w:p>
        </w:tc>
        <w:tc>
          <w:tcPr>
            <w:tcW w:w="0" w:type="dxa"/>
            <w:vAlign w:val="bottom"/>
          </w:tcPr>
          <w:p>
            <w:pPr>
              <w:spacing w:after="0"/>
              <w:rPr>
                <w:sz w:val="1"/>
                <w:szCs w:val="1"/>
                <w:color w:val="auto"/>
              </w:rPr>
            </w:pPr>
          </w:p>
        </w:tc>
      </w:tr>
      <w:tr>
        <w:trPr>
          <w:trHeight w:val="277"/>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274,348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213,644</w:t>
            </w:r>
          </w:p>
        </w:tc>
        <w:tc>
          <w:tcPr>
            <w:tcW w:w="0" w:type="dxa"/>
            <w:vAlign w:val="bottom"/>
          </w:tcPr>
          <w:p>
            <w:pPr>
              <w:spacing w:after="0"/>
              <w:rPr>
                <w:sz w:val="1"/>
                <w:szCs w:val="1"/>
                <w:color w:val="auto"/>
              </w:rPr>
            </w:pPr>
          </w:p>
        </w:tc>
      </w:tr>
      <w:tr>
        <w:trPr>
          <w:trHeight w:val="263"/>
        </w:trPr>
        <w:tc>
          <w:tcPr>
            <w:tcW w:w="844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50"/>
        </w:trPr>
        <w:tc>
          <w:tcPr>
            <w:tcW w:w="84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327,643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254,304</w:t>
            </w:r>
          </w:p>
        </w:tc>
        <w:tc>
          <w:tcPr>
            <w:tcW w:w="0" w:type="dxa"/>
            <w:vAlign w:val="bottom"/>
          </w:tcPr>
          <w:p>
            <w:pPr>
              <w:spacing w:after="0"/>
              <w:rPr>
                <w:sz w:val="1"/>
                <w:szCs w:val="1"/>
                <w:color w:val="auto"/>
              </w:rPr>
            </w:pP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88,779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76,259</w:t>
            </w:r>
          </w:p>
        </w:tc>
        <w:tc>
          <w:tcPr>
            <w:tcW w:w="0" w:type="dxa"/>
            <w:vAlign w:val="bottom"/>
          </w:tcPr>
          <w:p>
            <w:pPr>
              <w:spacing w:after="0"/>
              <w:rPr>
                <w:sz w:val="1"/>
                <w:szCs w:val="1"/>
                <w:color w:val="auto"/>
              </w:rPr>
            </w:pP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40,663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50"/>
        </w:trPr>
        <w:tc>
          <w:tcPr>
            <w:tcW w:w="84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459,707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338,849</w:t>
            </w:r>
          </w:p>
        </w:tc>
        <w:tc>
          <w:tcPr>
            <w:tcW w:w="0" w:type="dxa"/>
            <w:vAlign w:val="bottom"/>
          </w:tcPr>
          <w:p>
            <w:pPr>
              <w:spacing w:after="0"/>
              <w:rPr>
                <w:sz w:val="1"/>
                <w:szCs w:val="1"/>
                <w:color w:val="auto"/>
              </w:rPr>
            </w:pPr>
          </w:p>
        </w:tc>
      </w:tr>
      <w:tr>
        <w:trPr>
          <w:trHeight w:val="277"/>
        </w:trPr>
        <w:tc>
          <w:tcPr>
            <w:tcW w:w="84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(par value: $0.01; 500,000 shares authorized, 98,587 and 93,126 shares issued and</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outstanding at December 31, 2019 and 2018, respectively)</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63"/>
        </w:trPr>
        <w:tc>
          <w:tcPr>
            <w:tcW w:w="84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662,990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586,940</w:t>
            </w:r>
          </w:p>
        </w:tc>
        <w:tc>
          <w:tcPr>
            <w:tcW w:w="0" w:type="dxa"/>
            <w:vAlign w:val="bottom"/>
          </w:tcPr>
          <w:p>
            <w:pPr>
              <w:spacing w:after="0"/>
              <w:rPr>
                <w:sz w:val="1"/>
                <w:szCs w:val="1"/>
                <w:color w:val="auto"/>
              </w:rPr>
            </w:pPr>
          </w:p>
        </w:tc>
      </w:tr>
      <w:tr>
        <w:trPr>
          <w:trHeight w:val="277"/>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(565,121)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(466,108)</w:t>
            </w:r>
          </w:p>
        </w:tc>
        <w:tc>
          <w:tcPr>
            <w:tcW w:w="0" w:type="dxa"/>
            <w:vAlign w:val="bottom"/>
          </w:tcPr>
          <w:p>
            <w:pPr>
              <w:spacing w:after="0"/>
              <w:rPr>
                <w:sz w:val="1"/>
                <w:szCs w:val="1"/>
                <w:color w:val="auto"/>
              </w:rPr>
            </w:pPr>
          </w:p>
        </w:tc>
      </w:tr>
      <w:tr>
        <w:trPr>
          <w:trHeight w:val="25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98,905</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121,763</w:t>
            </w:r>
          </w:p>
        </w:tc>
        <w:tc>
          <w:tcPr>
            <w:tcW w:w="0" w:type="dxa"/>
            <w:vAlign w:val="bottom"/>
          </w:tcPr>
          <w:p>
            <w:pPr>
              <w:spacing w:after="0"/>
              <w:rPr>
                <w:sz w:val="1"/>
                <w:szCs w:val="1"/>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558,612</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460,612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0" w:right="239" w:bottom="1440" w:gutter="0" w:footer="0" w:header="0"/>
        </w:sectPr>
      </w:pPr>
    </w:p>
    <w:bookmarkStart w:id="64" w:name="page65"/>
    <w:bookmarkEnd w:id="6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354,586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267,360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187,727</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60,818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43,167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25,588</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293,768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224,193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162,139</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228,035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173,344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116,299</w:t>
            </w:r>
          </w:p>
        </w:tc>
        <w:tc>
          <w:tcPr>
            <w:tcW w:w="0" w:type="dxa"/>
            <w:vAlign w:val="bottom"/>
          </w:tcPr>
          <w:p>
            <w:pPr>
              <w:spacing w:after="0"/>
              <w:rPr>
                <w:sz w:val="1"/>
                <w:szCs w:val="1"/>
                <w:color w:val="auto"/>
              </w:rPr>
            </w:pP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87,064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76,698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57,673</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69,468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46,732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28,927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384,567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296,774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202,899</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(40,760)</w:t>
            </w:r>
          </w:p>
        </w:tc>
        <w:tc>
          <w:tcPr>
            <w:tcW w:w="0" w:type="dxa"/>
            <w:vAlign w:val="bottom"/>
          </w:tcPr>
          <w:p>
            <w:pPr>
              <w:spacing w:after="0"/>
              <w:rPr>
                <w:sz w:val="1"/>
                <w:szCs w:val="1"/>
                <w:color w:val="auto"/>
              </w:rPr>
            </w:pP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(85,649)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(40,851)</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13,364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(41,022)</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(99,013)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(73,955)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(41,785)</w:t>
            </w:r>
          </w:p>
        </w:tc>
        <w:tc>
          <w:tcPr>
            <w:tcW w:w="0" w:type="dxa"/>
            <w:vAlign w:val="bottom"/>
          </w:tcPr>
          <w:p>
            <w:pPr>
              <w:spacing w:after="0"/>
              <w:rPr>
                <w:sz w:val="1"/>
                <w:szCs w:val="1"/>
                <w:color w:val="auto"/>
              </w:rPr>
            </w:pPr>
          </w:p>
        </w:tc>
      </w:tr>
      <w:tr>
        <w:trPr>
          <w:trHeight w:val="305"/>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82"/>
        </w:trPr>
        <w:tc>
          <w:tcPr>
            <w:tcW w:w="708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Weighted-average shares used to compute net loss per share attributable to common</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96,014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53,669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22,211</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stockholders, basic and diluted</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40" w:right="239" w:bottom="1440" w:gutter="0" w:footer="0" w:header="0"/>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264"/>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r>
      <w:tr>
        <w:trPr>
          <w:trHeight w:val="25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(41,022)</w:t>
            </w:r>
          </w:p>
        </w:tc>
      </w:tr>
      <w:tr>
        <w:trPr>
          <w:trHeight w:val="263"/>
        </w:trPr>
        <w:tc>
          <w:tcPr>
            <w:tcW w:w="678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0"/>
        </w:trPr>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gains on available-for-sale securities</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50"/>
        </w:trPr>
        <w:tc>
          <w:tcPr>
            <w:tcW w:w="67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57"/>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(41,022)</w:t>
            </w:r>
          </w:p>
        </w:tc>
      </w:tr>
      <w:tr>
        <w:trPr>
          <w:trHeight w:val="20"/>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60" w:top="140" w:right="419" w:bottom="1440" w:gutter="0" w:footer="0" w:header="0"/>
        </w:sectPr>
      </w:pPr>
    </w:p>
    <w:bookmarkStart w:id="66" w:name="page67"/>
    <w:bookmarkEnd w:id="66"/>
    <w:p>
      <w:pPr>
        <w:ind w:left="2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CONSOLIDATED STATEMENTS OF REDEEMABLE CONVERTIBLE</w:t>
      </w:r>
    </w:p>
    <w:p>
      <w:pPr>
        <w:spacing w:after="0" w:line="21"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7246620" cy="4991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991100"/>
                    </a:xfrm>
                    <a:prstGeom prst="rect">
                      <a:avLst/>
                    </a:prstGeom>
                    <a:noFill/>
                  </pic:spPr>
                </pic:pic>
              </a:graphicData>
            </a:graphic>
          </wp:anchor>
        </w:drawing>
      </w:r>
    </w:p>
    <w:p>
      <w:pPr>
        <w:sectPr>
          <w:pgSz w:w="11900" w:h="16838" w:orient="portrait"/>
          <w:cols w:equalWidth="0" w:num="1">
            <w:col w:w="11380"/>
          </w:cols>
          <w:pgMar w:left="280" w:top="140" w:right="239" w:bottom="1440" w:gutter="0" w:footer="0" w:header="0"/>
        </w:sect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2940" w:type="dxa"/>
            <w:vAlign w:val="bottom"/>
            <w:gridSpan w:val="11"/>
          </w:tcPr>
          <w:p>
            <w:pPr>
              <w:jc w:val="right"/>
              <w:ind w:right="366"/>
              <w:spacing w:after="0"/>
              <w:rPr>
                <w:sz w:val="20"/>
                <w:szCs w:val="20"/>
                <w:color w:val="auto"/>
              </w:rPr>
            </w:pPr>
            <w:r>
              <w:rPr>
                <w:rFonts w:ascii="Arial" w:cs="Arial" w:eastAsia="Arial" w:hAnsi="Arial"/>
                <w:sz w:val="11"/>
                <w:szCs w:val="11"/>
                <w:b w:val="1"/>
                <w:bCs w:val="1"/>
                <w:color w:val="auto"/>
              </w:rPr>
              <w:t>Redeemable Convertible Preferred Stock</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gridSpan w:val="5"/>
          </w:tcPr>
          <w:p>
            <w:pPr>
              <w:spacing w:after="0"/>
              <w:rPr>
                <w:sz w:val="20"/>
                <w:szCs w:val="20"/>
                <w:color w:val="auto"/>
              </w:rPr>
            </w:pPr>
            <w:r>
              <w:rPr>
                <w:rFonts w:ascii="Arial" w:cs="Arial" w:eastAsia="Arial" w:hAnsi="Arial"/>
                <w:sz w:val="11"/>
                <w:szCs w:val="11"/>
                <w:b w:val="1"/>
                <w:bCs w:val="1"/>
                <w:color w:val="auto"/>
              </w:rPr>
              <w:t>Series A</w:t>
            </w:r>
          </w:p>
        </w:tc>
        <w:tc>
          <w:tcPr>
            <w:tcW w:w="500" w:type="dxa"/>
            <w:vAlign w:val="bottom"/>
          </w:tcPr>
          <w:p>
            <w:pPr>
              <w:spacing w:after="0"/>
              <w:rPr>
                <w:sz w:val="23"/>
                <w:szCs w:val="23"/>
                <w:color w:val="auto"/>
              </w:rPr>
            </w:pPr>
          </w:p>
        </w:tc>
        <w:tc>
          <w:tcPr>
            <w:tcW w:w="920" w:type="dxa"/>
            <w:vAlign w:val="bottom"/>
            <w:gridSpan w:val="4"/>
          </w:tcPr>
          <w:p>
            <w:pPr>
              <w:jc w:val="right"/>
              <w:ind w:right="426"/>
              <w:spacing w:after="0"/>
              <w:rPr>
                <w:sz w:val="20"/>
                <w:szCs w:val="20"/>
                <w:color w:val="auto"/>
              </w:rPr>
            </w:pPr>
            <w:r>
              <w:rPr>
                <w:rFonts w:ascii="Arial" w:cs="Arial" w:eastAsia="Arial" w:hAnsi="Arial"/>
                <w:sz w:val="11"/>
                <w:szCs w:val="11"/>
                <w:b w:val="1"/>
                <w:bCs w:val="1"/>
                <w:color w:val="auto"/>
                <w:w w:val="95"/>
              </w:rPr>
              <w:t>Series B</w:t>
            </w:r>
          </w:p>
        </w:tc>
        <w:tc>
          <w:tcPr>
            <w:tcW w:w="0" w:type="dxa"/>
            <w:vAlign w:val="bottom"/>
          </w:tcPr>
          <w:p>
            <w:pPr>
              <w:spacing w:after="0"/>
              <w:rPr>
                <w:sz w:val="1"/>
                <w:szCs w:val="1"/>
                <w:color w:val="auto"/>
              </w:rPr>
            </w:pPr>
          </w:p>
        </w:tc>
      </w:tr>
      <w:tr>
        <w:trPr>
          <w:trHeight w:val="22"/>
        </w:trPr>
        <w:tc>
          <w:tcPr>
            <w:tcW w:w="248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480" w:type="dxa"/>
            <w:vAlign w:val="bottom"/>
            <w:vMerge w:val="continue"/>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235"/>
        </w:trPr>
        <w:tc>
          <w:tcPr>
            <w:tcW w:w="2480" w:type="dxa"/>
            <w:vAlign w:val="bottom"/>
          </w:tcPr>
          <w:p>
            <w:pPr>
              <w:spacing w:after="0"/>
              <w:rPr>
                <w:sz w:val="20"/>
                <w:szCs w:val="20"/>
                <w:color w:val="auto"/>
              </w:rPr>
            </w:pPr>
            <w:r>
              <w:rPr>
                <w:rFonts w:ascii="Arial" w:cs="Arial" w:eastAsia="Arial" w:hAnsi="Arial"/>
                <w:sz w:val="11"/>
                <w:szCs w:val="11"/>
                <w:color w:val="auto"/>
              </w:rPr>
              <w:t>Balance at December 31, 2016</w:t>
            </w:r>
          </w:p>
        </w:tc>
        <w:tc>
          <w:tcPr>
            <w:tcW w:w="500" w:type="dxa"/>
            <w:vAlign w:val="bottom"/>
          </w:tcPr>
          <w:p>
            <w:pPr>
              <w:jc w:val="right"/>
              <w:spacing w:after="0"/>
              <w:rPr>
                <w:sz w:val="20"/>
                <w:szCs w:val="20"/>
                <w:color w:val="auto"/>
              </w:rPr>
            </w:pPr>
            <w:r>
              <w:rPr>
                <w:rFonts w:ascii="Arial" w:cs="Arial" w:eastAsia="Arial" w:hAnsi="Arial"/>
                <w:sz w:val="11"/>
                <w:szCs w:val="11"/>
                <w:color w:val="auto"/>
              </w:rPr>
              <w:t>15,848</w:t>
            </w:r>
          </w:p>
        </w:tc>
        <w:tc>
          <w:tcPr>
            <w:tcW w:w="3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49,913</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39,538</w:t>
            </w:r>
          </w:p>
        </w:tc>
        <w:tc>
          <w:tcPr>
            <w:tcW w:w="3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227,059</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1"/>
                <w:szCs w:val="11"/>
                <w:color w:val="auto"/>
              </w:rPr>
              <w:t>Cumulative effect of adoptions of new accounting</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tcPr>
          <w:p>
            <w:pPr>
              <w:ind w:left="80"/>
              <w:spacing w:after="0"/>
              <w:rPr>
                <w:sz w:val="20"/>
                <w:szCs w:val="20"/>
                <w:color w:val="auto"/>
              </w:rPr>
            </w:pPr>
            <w:r>
              <w:rPr>
                <w:rFonts w:ascii="Arial" w:cs="Arial" w:eastAsia="Arial" w:hAnsi="Arial"/>
                <w:sz w:val="11"/>
                <w:szCs w:val="11"/>
                <w:color w:val="auto"/>
              </w:rPr>
              <w:t>standards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1"/>
                <w:szCs w:val="11"/>
                <w:color w:val="auto"/>
              </w:rPr>
              <w:t>Accretion of Series A and B redeemable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tcPr>
          <w:p>
            <w:pPr>
              <w:ind w:left="80"/>
              <w:spacing w:after="0"/>
              <w:rPr>
                <w:sz w:val="20"/>
                <w:szCs w:val="20"/>
                <w:color w:val="auto"/>
              </w:rPr>
            </w:pPr>
            <w:r>
              <w:rPr>
                <w:rFonts w:ascii="Arial" w:cs="Arial" w:eastAsia="Arial" w:hAnsi="Arial"/>
                <w:sz w:val="11"/>
                <w:szCs w:val="11"/>
                <w:color w:val="auto"/>
              </w:rPr>
              <w:t>convertible preferred stock</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741</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Issuance of restricted stock award</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Net loss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480" w:type="dxa"/>
            <w:vAlign w:val="bottom"/>
          </w:tcPr>
          <w:p>
            <w:pPr>
              <w:spacing w:after="0"/>
              <w:rPr>
                <w:sz w:val="20"/>
                <w:szCs w:val="20"/>
                <w:color w:val="auto"/>
              </w:rPr>
            </w:pPr>
            <w:r>
              <w:rPr>
                <w:rFonts w:ascii="Arial" w:cs="Arial" w:eastAsia="Arial" w:hAnsi="Arial"/>
                <w:sz w:val="11"/>
                <w:szCs w:val="11"/>
                <w:color w:val="auto"/>
              </w:rPr>
              <w:t>Balance at December 31, 2017</w:t>
            </w:r>
          </w:p>
        </w:tc>
        <w:tc>
          <w:tcPr>
            <w:tcW w:w="500" w:type="dxa"/>
            <w:vAlign w:val="bottom"/>
          </w:tcPr>
          <w:p>
            <w:pPr>
              <w:jc w:val="right"/>
              <w:spacing w:after="0"/>
              <w:rPr>
                <w:sz w:val="20"/>
                <w:szCs w:val="20"/>
                <w:color w:val="auto"/>
              </w:rPr>
            </w:pPr>
            <w:r>
              <w:rPr>
                <w:rFonts w:ascii="Arial" w:cs="Arial" w:eastAsia="Arial" w:hAnsi="Arial"/>
                <w:sz w:val="11"/>
                <w:szCs w:val="11"/>
                <w:color w:val="auto"/>
              </w:rPr>
              <w:t>15,848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49,935</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39,538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227,800</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1"/>
                <w:szCs w:val="11"/>
                <w:color w:val="auto"/>
              </w:rPr>
              <w:t>Accretion of Series A and B redeemable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tcPr>
          <w:p>
            <w:pPr>
              <w:ind w:left="80"/>
              <w:spacing w:after="0"/>
              <w:rPr>
                <w:sz w:val="20"/>
                <w:szCs w:val="20"/>
                <w:color w:val="auto"/>
              </w:rPr>
            </w:pPr>
            <w:r>
              <w:rPr>
                <w:rFonts w:ascii="Arial" w:cs="Arial" w:eastAsia="Arial" w:hAnsi="Arial"/>
                <w:sz w:val="11"/>
                <w:szCs w:val="11"/>
                <w:color w:val="auto"/>
              </w:rPr>
              <w:t>convertible preferred stock</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421</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1"/>
                <w:szCs w:val="11"/>
                <w:color w:val="auto"/>
                <w:w w:val="98"/>
              </w:rPr>
              <w:t>Issuance of common stock in connection with initial</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480" w:type="dxa"/>
            <w:vAlign w:val="bottom"/>
          </w:tcPr>
          <w:p>
            <w:pPr>
              <w:ind w:left="80"/>
              <w:spacing w:after="0" w:line="122" w:lineRule="exact"/>
              <w:rPr>
                <w:sz w:val="20"/>
                <w:szCs w:val="20"/>
                <w:color w:val="auto"/>
              </w:rPr>
            </w:pPr>
            <w:r>
              <w:rPr>
                <w:rFonts w:ascii="Arial" w:cs="Arial" w:eastAsia="Arial" w:hAnsi="Arial"/>
                <w:sz w:val="11"/>
                <w:szCs w:val="11"/>
                <w:color w:val="auto"/>
              </w:rPr>
              <w:t>public offering, net of underwriting discounts and</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480" w:type="dxa"/>
            <w:vAlign w:val="bottom"/>
          </w:tcPr>
          <w:p>
            <w:pPr>
              <w:ind w:left="80"/>
              <w:spacing w:after="0"/>
              <w:rPr>
                <w:sz w:val="20"/>
                <w:szCs w:val="20"/>
                <w:color w:val="auto"/>
              </w:rPr>
            </w:pPr>
            <w:r>
              <w:rPr>
                <w:rFonts w:ascii="Arial" w:cs="Arial" w:eastAsia="Arial" w:hAnsi="Arial"/>
                <w:sz w:val="11"/>
                <w:szCs w:val="11"/>
                <w:color w:val="auto"/>
              </w:rPr>
              <w:t>commissions and other offering expenses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1"/>
                <w:szCs w:val="11"/>
                <w:color w:val="auto"/>
              </w:rPr>
              <w:t>Conversion of redeemable convertible preferred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tcPr>
          <w:p>
            <w:pPr>
              <w:ind w:left="80"/>
              <w:spacing w:after="0"/>
              <w:rPr>
                <w:sz w:val="20"/>
                <w:szCs w:val="20"/>
                <w:color w:val="auto"/>
              </w:rPr>
            </w:pPr>
            <w:r>
              <w:rPr>
                <w:rFonts w:ascii="Arial" w:cs="Arial" w:eastAsia="Arial" w:hAnsi="Arial"/>
                <w:sz w:val="11"/>
                <w:szCs w:val="11"/>
                <w:color w:val="auto"/>
                <w:w w:val="99"/>
              </w:rPr>
              <w:t>stock to common stock upon initial public offering</w:t>
            </w:r>
          </w:p>
        </w:tc>
        <w:tc>
          <w:tcPr>
            <w:tcW w:w="500" w:type="dxa"/>
            <w:vAlign w:val="bottom"/>
          </w:tcPr>
          <w:p>
            <w:pPr>
              <w:jc w:val="right"/>
              <w:spacing w:after="0"/>
              <w:rPr>
                <w:sz w:val="20"/>
                <w:szCs w:val="20"/>
                <w:color w:val="auto"/>
              </w:rPr>
            </w:pPr>
            <w:r>
              <w:rPr>
                <w:rFonts w:ascii="Arial" w:cs="Arial" w:eastAsia="Arial" w:hAnsi="Arial"/>
                <w:sz w:val="11"/>
                <w:szCs w:val="11"/>
                <w:color w:val="auto"/>
              </w:rPr>
              <w:t>(15,848)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(49,948)</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(39,538)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(228,221)</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Net loss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480" w:type="dxa"/>
            <w:vAlign w:val="bottom"/>
          </w:tcPr>
          <w:p>
            <w:pPr>
              <w:spacing w:after="0"/>
              <w:rPr>
                <w:sz w:val="20"/>
                <w:szCs w:val="20"/>
                <w:color w:val="auto"/>
              </w:rPr>
            </w:pPr>
            <w:r>
              <w:rPr>
                <w:rFonts w:ascii="Arial" w:cs="Arial" w:eastAsia="Arial" w:hAnsi="Arial"/>
                <w:sz w:val="11"/>
                <w:szCs w:val="11"/>
                <w:color w:val="auto"/>
              </w:rPr>
              <w:t>Balance at December 31, 2018</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Vesting of restricted stock units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1"/>
                <w:szCs w:val="11"/>
                <w:color w:val="auto"/>
              </w:rPr>
              <w:t>Issuance of common stock under employee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tcPr>
          <w:p>
            <w:pPr>
              <w:spacing w:after="0"/>
              <w:rPr>
                <w:sz w:val="20"/>
                <w:szCs w:val="20"/>
                <w:color w:val="auto"/>
              </w:rPr>
            </w:pPr>
            <w:r>
              <w:rPr>
                <w:rFonts w:ascii="Arial" w:cs="Arial" w:eastAsia="Arial" w:hAnsi="Arial"/>
                <w:sz w:val="11"/>
                <w:szCs w:val="11"/>
                <w:color w:val="auto"/>
              </w:rPr>
              <w:t>purchase plan</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1"/>
                <w:szCs w:val="11"/>
                <w:color w:val="auto"/>
              </w:rPr>
              <w:t>Net loss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80" w:type="dxa"/>
            <w:vAlign w:val="bottom"/>
          </w:tcPr>
          <w:p>
            <w:pPr>
              <w:spacing w:after="0"/>
              <w:rPr>
                <w:sz w:val="20"/>
                <w:szCs w:val="20"/>
                <w:color w:val="auto"/>
              </w:rPr>
            </w:pPr>
            <w:r>
              <w:rPr>
                <w:rFonts w:ascii="Arial" w:cs="Arial" w:eastAsia="Arial" w:hAnsi="Arial"/>
                <w:sz w:val="11"/>
                <w:szCs w:val="11"/>
                <w:color w:val="auto"/>
              </w:rPr>
              <w:t>Balance at December 31, 2019</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Total</w:t>
            </w: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Additional</w:t>
            </w:r>
          </w:p>
        </w:tc>
        <w:tc>
          <w:tcPr>
            <w:tcW w:w="12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center"/>
              <w:ind w:right="66"/>
              <w:spacing w:after="0"/>
              <w:rPr>
                <w:sz w:val="20"/>
                <w:szCs w:val="20"/>
                <w:color w:val="auto"/>
              </w:rPr>
            </w:pPr>
            <w:r>
              <w:rPr>
                <w:rFonts w:ascii="Arial" w:cs="Arial" w:eastAsia="Arial" w:hAnsi="Arial"/>
                <w:sz w:val="11"/>
                <w:szCs w:val="11"/>
                <w:b w:val="1"/>
                <w:bCs w:val="1"/>
                <w:color w:val="auto"/>
                <w:w w:val="96"/>
              </w:rPr>
              <w:t>Stockholders'</w:t>
            </w:r>
          </w:p>
        </w:tc>
      </w:tr>
      <w:tr>
        <w:trPr>
          <w:trHeight w:val="270"/>
        </w:trPr>
        <w:tc>
          <w:tcPr>
            <w:tcW w:w="1460" w:type="dxa"/>
            <w:vAlign w:val="bottom"/>
            <w:gridSpan w:val="5"/>
          </w:tcPr>
          <w:p>
            <w:pPr>
              <w:ind w:left="30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Comprehensive</w:t>
            </w:r>
          </w:p>
        </w:tc>
        <w:tc>
          <w:tcPr>
            <w:tcW w:w="14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23"/>
                <w:szCs w:val="23"/>
                <w:color w:val="auto"/>
              </w:rPr>
            </w:pPr>
          </w:p>
        </w:tc>
        <w:tc>
          <w:tcPr>
            <w:tcW w:w="900" w:type="dxa"/>
            <w:vAlign w:val="bottom"/>
          </w:tcPr>
          <w:p>
            <w:pPr>
              <w:jc w:val="center"/>
              <w:ind w:right="66"/>
              <w:spacing w:after="0"/>
              <w:rPr>
                <w:sz w:val="20"/>
                <w:szCs w:val="20"/>
                <w:color w:val="auto"/>
              </w:rPr>
            </w:pPr>
            <w:r>
              <w:rPr>
                <w:rFonts w:ascii="Arial" w:cs="Arial" w:eastAsia="Arial" w:hAnsi="Arial"/>
                <w:sz w:val="11"/>
                <w:szCs w:val="11"/>
                <w:b w:val="1"/>
                <w:bCs w:val="1"/>
                <w:color w:val="auto"/>
              </w:rPr>
              <w:t>Equity</w:t>
            </w:r>
          </w:p>
        </w:tc>
      </w:tr>
      <w:tr>
        <w:trPr>
          <w:trHeight w:val="22"/>
        </w:trPr>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2"/>
        </w:trPr>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21"/>
                <w:szCs w:val="2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Income</w:t>
            </w:r>
          </w:p>
        </w:tc>
        <w:tc>
          <w:tcPr>
            <w:tcW w:w="14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21"/>
                <w:szCs w:val="21"/>
                <w:color w:val="auto"/>
              </w:rPr>
            </w:pPr>
          </w:p>
        </w:tc>
        <w:tc>
          <w:tcPr>
            <w:tcW w:w="900" w:type="dxa"/>
            <w:vAlign w:val="bottom"/>
          </w:tcPr>
          <w:p>
            <w:pPr>
              <w:jc w:val="center"/>
              <w:ind w:right="46"/>
              <w:spacing w:after="0"/>
              <w:rPr>
                <w:sz w:val="20"/>
                <w:szCs w:val="20"/>
                <w:color w:val="auto"/>
              </w:rPr>
            </w:pPr>
            <w:r>
              <w:rPr>
                <w:rFonts w:ascii="Arial" w:cs="Arial" w:eastAsia="Arial" w:hAnsi="Arial"/>
                <w:sz w:val="11"/>
                <w:szCs w:val="11"/>
                <w:b w:val="1"/>
                <w:bCs w:val="1"/>
                <w:color w:val="auto"/>
                <w:w w:val="97"/>
              </w:rPr>
              <w:t>(Deficit)</w:t>
            </w:r>
          </w:p>
        </w:tc>
      </w:tr>
      <w:tr>
        <w:trPr>
          <w:trHeight w:val="22"/>
        </w:trPr>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8"/>
        </w:trPr>
        <w:tc>
          <w:tcPr>
            <w:tcW w:w="580" w:type="dxa"/>
            <w:vAlign w:val="bottom"/>
          </w:tcPr>
          <w:p>
            <w:pPr>
              <w:jc w:val="right"/>
              <w:ind w:right="66"/>
              <w:spacing w:after="0"/>
              <w:rPr>
                <w:sz w:val="20"/>
                <w:szCs w:val="20"/>
                <w:color w:val="auto"/>
              </w:rPr>
            </w:pPr>
            <w:r>
              <w:rPr>
                <w:rFonts w:ascii="Arial" w:cs="Arial" w:eastAsia="Arial" w:hAnsi="Arial"/>
                <w:sz w:val="11"/>
                <w:szCs w:val="11"/>
                <w:color w:val="auto"/>
              </w:rPr>
              <w:t>21,165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11,017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(313,147)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(301,918)</w:t>
            </w: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(38,418)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(38,357)</w:t>
            </w: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(763)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(763)</w:t>
            </w:r>
          </w:p>
        </w:tc>
      </w:tr>
      <w:tr>
        <w:trPr>
          <w:trHeight w:val="270"/>
        </w:trPr>
        <w:tc>
          <w:tcPr>
            <w:tcW w:w="580" w:type="dxa"/>
            <w:vAlign w:val="bottom"/>
          </w:tcPr>
          <w:p>
            <w:pPr>
              <w:jc w:val="right"/>
              <w:ind w:right="66"/>
              <w:spacing w:after="0"/>
              <w:rPr>
                <w:sz w:val="20"/>
                <w:szCs w:val="20"/>
                <w:color w:val="auto"/>
              </w:rPr>
            </w:pPr>
            <w:r>
              <w:rPr>
                <w:rFonts w:ascii="Arial" w:cs="Arial" w:eastAsia="Arial" w:hAnsi="Arial"/>
                <w:sz w:val="11"/>
                <w:szCs w:val="11"/>
                <w:color w:val="auto"/>
              </w:rPr>
              <w:t>1,583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70"/>
        </w:trPr>
        <w:tc>
          <w:tcPr>
            <w:tcW w:w="580" w:type="dxa"/>
            <w:vAlign w:val="bottom"/>
          </w:tcPr>
          <w:p>
            <w:pPr>
              <w:jc w:val="right"/>
              <w:ind w:right="66"/>
              <w:spacing w:after="0"/>
              <w:rPr>
                <w:sz w:val="20"/>
                <w:szCs w:val="20"/>
                <w:color w:val="auto"/>
              </w:rPr>
            </w:pPr>
            <w:r>
              <w:rPr>
                <w:rFonts w:ascii="Arial" w:cs="Arial" w:eastAsia="Arial" w:hAnsi="Arial"/>
                <w:sz w:val="11"/>
                <w:szCs w:val="11"/>
                <w:color w:val="auto"/>
              </w:rPr>
              <w:t>1,870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3,001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3,020</w:t>
            </w:r>
          </w:p>
        </w:tc>
      </w:tr>
      <w:tr>
        <w:trPr>
          <w:trHeight w:val="270"/>
        </w:trPr>
        <w:tc>
          <w:tcPr>
            <w:tcW w:w="580" w:type="dxa"/>
            <w:vAlign w:val="bottom"/>
          </w:tcPr>
          <w:p>
            <w:pPr>
              <w:jc w:val="right"/>
              <w:ind w:right="26"/>
              <w:spacing w:after="0"/>
              <w:rPr>
                <w:sz w:val="20"/>
                <w:szCs w:val="20"/>
                <w:color w:val="auto"/>
              </w:rPr>
            </w:pPr>
            <w:r>
              <w:rPr>
                <w:rFonts w:ascii="Arial" w:cs="Arial" w:eastAsia="Arial" w:hAnsi="Arial"/>
                <w:sz w:val="11"/>
                <w:szCs w:val="11"/>
                <w:color w:val="auto"/>
              </w:rPr>
              <w:t>(146)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(385)</w:t>
            </w: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7,760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7,760</w:t>
            </w: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(41,022)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(41,022)</w:t>
            </w:r>
          </w:p>
        </w:tc>
      </w:tr>
      <w:tr>
        <w:trPr>
          <w:trHeight w:val="22"/>
        </w:trPr>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8"/>
        </w:trPr>
        <w:tc>
          <w:tcPr>
            <w:tcW w:w="580" w:type="dxa"/>
            <w:vAlign w:val="bottom"/>
          </w:tcPr>
          <w:p>
            <w:pPr>
              <w:jc w:val="right"/>
              <w:ind w:right="66"/>
              <w:spacing w:after="0"/>
              <w:rPr>
                <w:sz w:val="20"/>
                <w:szCs w:val="20"/>
                <w:color w:val="auto"/>
              </w:rPr>
            </w:pPr>
            <w:r>
              <w:rPr>
                <w:rFonts w:ascii="Arial" w:cs="Arial" w:eastAsia="Arial" w:hAnsi="Arial"/>
                <w:sz w:val="11"/>
                <w:szCs w:val="11"/>
                <w:color w:val="auto"/>
              </w:rPr>
              <w:t>24,472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20,676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(392,587)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(371,665)</w:t>
            </w: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(434)</w:t>
            </w:r>
          </w:p>
        </w:tc>
      </w:tr>
      <w:tr>
        <w:trPr>
          <w:trHeight w:val="270"/>
        </w:trPr>
        <w:tc>
          <w:tcPr>
            <w:tcW w:w="580" w:type="dxa"/>
            <w:vAlign w:val="bottom"/>
          </w:tcPr>
          <w:p>
            <w:pPr>
              <w:jc w:val="right"/>
              <w:ind w:right="66"/>
              <w:spacing w:after="0"/>
              <w:rPr>
                <w:sz w:val="20"/>
                <w:szCs w:val="20"/>
                <w:color w:val="auto"/>
              </w:rPr>
            </w:pPr>
            <w:r>
              <w:rPr>
                <w:rFonts w:ascii="Arial" w:cs="Arial" w:eastAsia="Arial" w:hAnsi="Arial"/>
                <w:sz w:val="11"/>
                <w:szCs w:val="11"/>
                <w:color w:val="auto"/>
              </w:rPr>
              <w:t>740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1,661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1,668</w:t>
            </w:r>
          </w:p>
        </w:tc>
      </w:tr>
      <w:tr>
        <w:trPr>
          <w:trHeight w:val="270"/>
        </w:trPr>
        <w:tc>
          <w:tcPr>
            <w:tcW w:w="58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(75)</w:t>
            </w: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23,022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23,022</w:t>
            </w:r>
          </w:p>
        </w:tc>
      </w:tr>
      <w:tr>
        <w:trPr>
          <w:trHeight w:val="419"/>
        </w:trPr>
        <w:tc>
          <w:tcPr>
            <w:tcW w:w="580" w:type="dxa"/>
            <w:vAlign w:val="bottom"/>
          </w:tcPr>
          <w:p>
            <w:pPr>
              <w:jc w:val="right"/>
              <w:ind w:right="66"/>
              <w:spacing w:after="0"/>
              <w:rPr>
                <w:sz w:val="20"/>
                <w:szCs w:val="20"/>
                <w:color w:val="auto"/>
              </w:rPr>
            </w:pPr>
            <w:r>
              <w:rPr>
                <w:rFonts w:ascii="Arial" w:cs="Arial" w:eastAsia="Arial" w:hAnsi="Arial"/>
                <w:sz w:val="11"/>
                <w:szCs w:val="11"/>
                <w:color w:val="auto"/>
              </w:rPr>
              <w:t>12,535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264,474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264,599</w:t>
            </w:r>
          </w:p>
        </w:tc>
      </w:tr>
      <w:tr>
        <w:trPr>
          <w:trHeight w:val="297"/>
        </w:trPr>
        <w:tc>
          <w:tcPr>
            <w:tcW w:w="580" w:type="dxa"/>
            <w:vAlign w:val="bottom"/>
          </w:tcPr>
          <w:p>
            <w:pPr>
              <w:jc w:val="right"/>
              <w:ind w:right="66"/>
              <w:spacing w:after="0"/>
              <w:rPr>
                <w:sz w:val="20"/>
                <w:szCs w:val="20"/>
                <w:color w:val="auto"/>
              </w:rPr>
            </w:pPr>
            <w:r>
              <w:rPr>
                <w:rFonts w:ascii="Arial" w:cs="Arial" w:eastAsia="Arial" w:hAnsi="Arial"/>
                <w:sz w:val="11"/>
                <w:szCs w:val="11"/>
                <w:color w:val="auto"/>
              </w:rPr>
              <w:t>55,386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277,615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278,169</w:t>
            </w: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(73,521)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(73,521)</w:t>
            </w:r>
          </w:p>
        </w:tc>
      </w:tr>
      <w:tr>
        <w:trPr>
          <w:trHeight w:val="22"/>
        </w:trPr>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8"/>
        </w:trPr>
        <w:tc>
          <w:tcPr>
            <w:tcW w:w="580" w:type="dxa"/>
            <w:vAlign w:val="bottom"/>
          </w:tcPr>
          <w:p>
            <w:pPr>
              <w:jc w:val="right"/>
              <w:ind w:right="66"/>
              <w:spacing w:after="0"/>
              <w:rPr>
                <w:sz w:val="20"/>
                <w:szCs w:val="20"/>
                <w:color w:val="auto"/>
              </w:rPr>
            </w:pPr>
            <w:r>
              <w:rPr>
                <w:rFonts w:ascii="Arial" w:cs="Arial" w:eastAsia="Arial" w:hAnsi="Arial"/>
                <w:sz w:val="11"/>
                <w:szCs w:val="11"/>
                <w:color w:val="auto"/>
              </w:rPr>
              <w:t>93,126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931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586,940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(466,108)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121,763</w:t>
            </w:r>
          </w:p>
        </w:tc>
      </w:tr>
      <w:tr>
        <w:trPr>
          <w:trHeight w:val="270"/>
        </w:trPr>
        <w:tc>
          <w:tcPr>
            <w:tcW w:w="580" w:type="dxa"/>
            <w:vAlign w:val="bottom"/>
          </w:tcPr>
          <w:p>
            <w:pPr>
              <w:jc w:val="right"/>
              <w:ind w:right="66"/>
              <w:spacing w:after="0"/>
              <w:rPr>
                <w:sz w:val="20"/>
                <w:szCs w:val="20"/>
                <w:color w:val="auto"/>
              </w:rPr>
            </w:pPr>
            <w:r>
              <w:rPr>
                <w:rFonts w:ascii="Arial" w:cs="Arial" w:eastAsia="Arial" w:hAnsi="Arial"/>
                <w:sz w:val="11"/>
                <w:szCs w:val="11"/>
                <w:color w:val="auto"/>
              </w:rPr>
              <w:t>4,205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19,006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19,048</w:t>
            </w:r>
          </w:p>
        </w:tc>
      </w:tr>
      <w:tr>
        <w:trPr>
          <w:trHeight w:val="270"/>
        </w:trPr>
        <w:tc>
          <w:tcPr>
            <w:tcW w:w="580" w:type="dxa"/>
            <w:vAlign w:val="bottom"/>
          </w:tcPr>
          <w:p>
            <w:pPr>
              <w:jc w:val="right"/>
              <w:ind w:right="66"/>
              <w:spacing w:after="0"/>
              <w:rPr>
                <w:sz w:val="20"/>
                <w:szCs w:val="20"/>
                <w:color w:val="auto"/>
              </w:rPr>
            </w:pPr>
            <w:r>
              <w:rPr>
                <w:rFonts w:ascii="Arial" w:cs="Arial" w:eastAsia="Arial" w:hAnsi="Arial"/>
                <w:sz w:val="11"/>
                <w:szCs w:val="11"/>
                <w:color w:val="auto"/>
              </w:rPr>
              <w:t>479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97"/>
        </w:trPr>
        <w:tc>
          <w:tcPr>
            <w:tcW w:w="580" w:type="dxa"/>
            <w:vAlign w:val="bottom"/>
          </w:tcPr>
          <w:p>
            <w:pPr>
              <w:jc w:val="right"/>
              <w:ind w:right="66"/>
              <w:spacing w:after="0"/>
              <w:rPr>
                <w:sz w:val="20"/>
                <w:szCs w:val="20"/>
                <w:color w:val="auto"/>
              </w:rPr>
            </w:pPr>
            <w:r>
              <w:rPr>
                <w:rFonts w:ascii="Arial" w:cs="Arial" w:eastAsia="Arial" w:hAnsi="Arial"/>
                <w:sz w:val="11"/>
                <w:szCs w:val="11"/>
                <w:color w:val="auto"/>
              </w:rPr>
              <w:t>777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15,121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15,129</w:t>
            </w: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41,928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41,928</w:t>
            </w: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tcPr>
          <w:p>
            <w:pPr>
              <w:jc w:val="right"/>
              <w:ind w:right="4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50</w:t>
            </w: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(99,013)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(99,013)</w:t>
            </w:r>
          </w:p>
        </w:tc>
      </w:tr>
      <w:tr>
        <w:trPr>
          <w:trHeight w:val="22"/>
        </w:trPr>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5"/>
        </w:trPr>
        <w:tc>
          <w:tcPr>
            <w:tcW w:w="580" w:type="dxa"/>
            <w:vAlign w:val="bottom"/>
          </w:tcPr>
          <w:p>
            <w:pPr>
              <w:jc w:val="right"/>
              <w:ind w:right="66"/>
              <w:spacing w:after="0"/>
              <w:rPr>
                <w:sz w:val="20"/>
                <w:szCs w:val="20"/>
                <w:color w:val="auto"/>
              </w:rPr>
            </w:pPr>
            <w:r>
              <w:rPr>
                <w:rFonts w:ascii="Arial" w:cs="Arial" w:eastAsia="Arial" w:hAnsi="Arial"/>
                <w:sz w:val="11"/>
                <w:szCs w:val="11"/>
                <w:color w:val="auto"/>
              </w:rPr>
              <w:t>98,587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986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662,990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4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(565,121)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98,905</w:t>
            </w:r>
          </w:p>
        </w:tc>
      </w:tr>
      <w:tr>
        <w:trPr>
          <w:trHeight w:val="22"/>
        </w:trPr>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ectPr>
          <w:pgSz w:w="11900" w:h="16838" w:orient="portrait"/>
          <w:cols w:equalWidth="0" w:num="2">
            <w:col w:w="5420" w:space="240"/>
            <w:col w:w="5720"/>
          </w:cols>
          <w:pgMar w:left="280" w:top="140" w:right="239" w:bottom="1440" w:gutter="0" w:footer="0" w:header="0"/>
          <w:type w:val="continuous"/>
        </w:sectPr>
      </w:pPr>
    </w:p>
    <w:p>
      <w:pPr>
        <w:jc w:val="center"/>
        <w:ind w:left="34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80" w:top="140" w:right="239" w:bottom="1440" w:gutter="0" w:footer="0" w:header="0"/>
          <w:type w:val="continuous"/>
        </w:sectPr>
      </w:pPr>
    </w:p>
    <w:bookmarkStart w:id="67" w:name="page68"/>
    <w:bookmarkEnd w:id="6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2017</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(99,013)</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(73,521)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(41,022)</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4,692</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41,610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22,875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7,760</w:t>
            </w: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(14,769)</w:t>
            </w: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(8,345)</w:t>
            </w: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commissions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(20,058)</w:t>
            </w: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(3,267)</w:t>
            </w: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1,922</w:t>
            </w: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4,298</w:t>
            </w: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72,799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63,404</w:t>
            </w: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421</w:t>
            </w: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50"/>
        </w:trPr>
        <w:tc>
          <w:tcPr>
            <w:tcW w:w="7080" w:type="dxa"/>
            <w:vAlign w:val="bottom"/>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(6,266)</w:t>
            </w:r>
          </w:p>
        </w:tc>
      </w:tr>
      <w:tr>
        <w:trPr>
          <w:trHeight w:val="223"/>
        </w:trPr>
        <w:tc>
          <w:tcPr>
            <w:tcW w:w="7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Purchases of investments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(242,059)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(117,488)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maturities of investments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224,594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080" w:type="dxa"/>
            <w:vAlign w:val="bottom"/>
          </w:tcPr>
          <w:p>
            <w:pPr>
              <w:ind w:left="40"/>
              <w:spacing w:after="0"/>
              <w:rPr>
                <w:sz w:val="20"/>
                <w:szCs w:val="20"/>
                <w:color w:val="auto"/>
              </w:rPr>
            </w:pPr>
            <w:r>
              <w:rPr>
                <w:rFonts w:ascii="Arial" w:cs="Arial" w:eastAsia="Arial" w:hAnsi="Arial"/>
                <w:sz w:val="18"/>
                <w:szCs w:val="18"/>
                <w:color w:val="auto"/>
              </w:rPr>
              <w:t>Business combination, net of cash acquired</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(74,911)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(113,050)</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(123,221)</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r>
      <w:tr>
        <w:trPr>
          <w:trHeight w:val="216"/>
        </w:trPr>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Proceeds from initial public offering, net of underwriting discounts and commissions</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268,531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Payments of costs related to initial public offering</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Principal payments under finance lease obligations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Credit facility issuance costs</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the exercise of stock options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3,020</w:t>
            </w:r>
          </w:p>
        </w:tc>
      </w:tr>
      <w:tr>
        <w:trPr>
          <w:trHeight w:val="264"/>
        </w:trPr>
        <w:tc>
          <w:tcPr>
            <w:tcW w:w="7080" w:type="dxa"/>
            <w:vAlign w:val="bottom"/>
          </w:tcPr>
          <w:p>
            <w:pPr>
              <w:ind w:left="4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57"/>
        </w:trPr>
        <w:tc>
          <w:tcPr>
            <w:tcW w:w="70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34,161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264,749</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2,091</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137,906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at beginning of year</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165,378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27,472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34,470</w:t>
            </w:r>
          </w:p>
        </w:tc>
      </w:tr>
      <w:tr>
        <w:trPr>
          <w:trHeight w:val="25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and restricted cash at 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165,378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27,472</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0"/>
        </w:trPr>
        <w:tc>
          <w:tcPr>
            <w:tcW w:w="7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income taxes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bl>
    <w:p>
      <w:pPr>
        <w:spacing w:after="0" w:line="110"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40" w:right="239" w:bottom="1440" w:gutter="0" w:footer="0" w:header="0"/>
        </w:sect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140" w:right="239" w:bottom="1440" w:gutter="0" w:footer="0" w:header="0"/>
          <w:type w:val="continuous"/>
        </w:sectPr>
      </w:pPr>
    </w:p>
    <w:bookmarkStart w:id="68" w:name="page69"/>
    <w:bookmarkEnd w:id="6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47"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Tenable Holdings, Inc. (the “Company,” “we,” "us," or “our”) is a provider of Cyber Exposure solutions, which is a discipline for managing and measuring cybersecurity risk in the digital era. Our enterprise software platform enables broad visibility into an organization’s cyber exposure across the modern attack surface and deep insights that help organizations translate technical data into business insights to understand and reduce their cybersecurity risk.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and have been prepared in conformity with United States generally accepted accounting principles (“GAAP”). All intercompany accounts and transactions have been eliminated in consolidation.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On July 30, 2018, we completed our initial public offering ("IPO"), in which we issued and sold 12,535,000 shares of common stock at a price to the public of $23.00 per share, including 1,635,000 shares of common stock purchased by our underwriters from the full exercise of their over-allotment option. All of the shares sold in the IPO were sold by the Company. We received net proceeds of $264.6 million after deducting underwriting discounts and commissions and other offering expenses.</w:t>
      </w:r>
    </w:p>
    <w:p>
      <w:pPr>
        <w:spacing w:after="0" w:line="204" w:lineRule="exact"/>
        <w:rPr>
          <w:sz w:val="20"/>
          <w:szCs w:val="20"/>
          <w:color w:val="auto"/>
        </w:rPr>
      </w:pPr>
    </w:p>
    <w:p>
      <w:pPr>
        <w:ind w:right="840" w:firstLine="324"/>
        <w:spacing w:after="0" w:line="250" w:lineRule="auto"/>
        <w:rPr>
          <w:sz w:val="20"/>
          <w:szCs w:val="20"/>
          <w:color w:val="auto"/>
        </w:rPr>
      </w:pPr>
      <w:r>
        <w:rPr>
          <w:rFonts w:ascii="Arial" w:cs="Arial" w:eastAsia="Arial" w:hAnsi="Arial"/>
          <w:sz w:val="18"/>
          <w:szCs w:val="18"/>
          <w:color w:val="auto"/>
        </w:rPr>
        <w:t>Upon the completion of our IPO, all 15,847,500 shares of our Series A Redeemable Convertible Preferred Stock ("Series A") and 39,538,354 shares of our Series B Redeemable Convertible Preferred Stock ("Series B") automatically converted into an aggregate</w:t>
      </w:r>
    </w:p>
    <w:p>
      <w:pPr>
        <w:spacing w:after="0" w:line="1"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of 55,385,854 shares of our common stock. Our Amended and Restated Certificate of Incorporation adopted in connection with the IPO authorizes a total of 500,000,000 shares of common stock and 10,000,000 shares of preferred stock.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useful lives of long-lived assets, the fair value of acquired intangible assets, the valuation of stock-based compensation, including the estimated underlying fair value of our common stock prior to our IPO, the incremental borrowing rate for operating leases, and the valuation of deferred tax assets. We base these estimates on historical experience and on various other assumptions that we believe to be reasonable. Actual results could differ significantly from these estimates.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4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functional currency for all of our foreign subsidiaries is the U.S. dollar. Assets and liabilities denominated in other currencies are remeasured into U.S. dollars at current exchange rates for monetary assets and liabilities and at historical exchange rates for non-monetary assets and liabilities. We bill our customers in U.S. dollars. Expenses incurred in non U.S. dollar currencies are remeasured into U.S. dollars when incurred. Remeasurement losses in currencies other than the functional currency were $1.1 million, $1.0 million and $0.1 million in 2019, 2018 and 2017, respectively, and are included as a component of other expense, net in the consolidated statements of operations.</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0" w:right="239" w:bottom="1440" w:gutter="0" w:footer="0" w:header="0"/>
        </w:sectPr>
      </w:pPr>
    </w:p>
    <w:bookmarkStart w:id="69" w:name="page70"/>
    <w:bookmarkEnd w:id="6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1040" w:firstLine="324"/>
        <w:spacing w:after="0" w:line="262" w:lineRule="auto"/>
        <w:rPr>
          <w:sz w:val="20"/>
          <w:szCs w:val="20"/>
          <w:color w:val="auto"/>
        </w:rPr>
      </w:pPr>
      <w:r>
        <w:rPr>
          <w:rFonts w:ascii="Arial" w:cs="Arial" w:eastAsia="Arial" w:hAnsi="Arial"/>
          <w:sz w:val="18"/>
          <w:szCs w:val="18"/>
          <w:color w:val="auto"/>
        </w:rPr>
        <w:t>We recognize revenue in order to depict the transfer of promised goods or services to customers in an amount that reflects the consideration we expect to be entitled in exchange for those goods or services. To achieve this, we apply the following steps:</w:t>
      </w:r>
    </w:p>
    <w:p>
      <w:pPr>
        <w:spacing w:after="0" w:line="3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25"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24282D"/>
        </w:rPr>
        <w:t>In situations where we enter into a contractual arrangement that includes non-standard terms and conditions, such as acceptance provisions or options to purchase additional products and services, as well as contract modifications, we apply judgment in identifying and assessing the impact on revenue recognition.</w:t>
      </w:r>
    </w:p>
    <w:p>
      <w:pPr>
        <w:spacing w:after="0" w:line="202"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r>
      <w:tr>
        <w:trPr>
          <w:trHeight w:val="26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257"/>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Subscription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290,549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205,827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132,873</w:t>
            </w:r>
          </w:p>
        </w:tc>
      </w:tr>
      <w:tr>
        <w:trPr>
          <w:trHeight w:val="263"/>
        </w:trPr>
        <w:tc>
          <w:tcPr>
            <w:tcW w:w="7000" w:type="dxa"/>
            <w:vAlign w:val="bottom"/>
          </w:tcPr>
          <w:p>
            <w:pPr>
              <w:ind w:left="40"/>
              <w:spacing w:after="0"/>
              <w:rPr>
                <w:sz w:val="20"/>
                <w:szCs w:val="20"/>
                <w:color w:val="auto"/>
              </w:rPr>
            </w:pPr>
            <w:r>
              <w:rPr>
                <w:rFonts w:ascii="Arial" w:cs="Arial" w:eastAsia="Arial" w:hAnsi="Arial"/>
                <w:sz w:val="18"/>
                <w:szCs w:val="18"/>
                <w:color w:val="auto"/>
              </w:rPr>
              <w:t>Perpetual license and maintenance revenue</w:t>
            </w:r>
          </w:p>
        </w:tc>
        <w:tc>
          <w:tcPr>
            <w:tcW w:w="32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54,173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54,622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50,337</w:t>
            </w:r>
          </w:p>
        </w:tc>
      </w:tr>
      <w:tr>
        <w:trPr>
          <w:trHeight w:val="270"/>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services and other revenue</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9,864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6,911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4,517</w:t>
            </w:r>
          </w:p>
        </w:tc>
      </w:tr>
      <w:tr>
        <w:trPr>
          <w:trHeight w:val="257"/>
        </w:trPr>
        <w:tc>
          <w:tcPr>
            <w:tcW w:w="7000" w:type="dxa"/>
            <w:vAlign w:val="bottom"/>
          </w:tcPr>
          <w:p>
            <w:pPr>
              <w:ind w:left="28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354,586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267,360</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187,727</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Revenue</w:t>
      </w:r>
    </w:p>
    <w:p>
      <w:pPr>
        <w:spacing w:after="0" w:line="24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Subscription arrangements generally have annual or multi-year contractual terms and allow customers to use our software or cloud solutions, including ongoing software updates and the ability to identify the latest cybersecurity vulnerabilities. Revenue is recognized ratably over the subscription term given the critical utility provided by the ongoing updates that are released throughout the contract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4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w:t>
      </w:r>
    </w:p>
    <w:p>
      <w:pPr>
        <w:spacing w:after="0" w:line="200" w:lineRule="exact"/>
        <w:rPr>
          <w:sz w:val="20"/>
          <w:szCs w:val="20"/>
          <w:color w:val="auto"/>
        </w:rPr>
      </w:pPr>
    </w:p>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40" w:right="239" w:bottom="1440" w:gutter="0" w:footer="0" w:header="0"/>
        </w:sectPr>
      </w:pPr>
    </w:p>
    <w:bookmarkStart w:id="70" w:name="page71"/>
    <w:bookmarkEnd w:id="7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believe that the estimates we have made are reasonable and appropriate, different assumptions and estimates could materially impact our reported financial results.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w:t>
      </w:r>
    </w:p>
    <w:p>
      <w:pPr>
        <w:spacing w:after="0" w:line="24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4"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Sales through our channel network of distributors and resellers are generally discounted as compared to the price that we would sell to an end user. Revenue for sales through our channel network is recorded net of any distributor or reseller margin.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Concentrations</w:t>
      </w:r>
    </w:p>
    <w:p>
      <w:pPr>
        <w:spacing w:after="0" w:line="24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sell our products and services through a channel network of distributors and resellers, along with our own sales teams. We derived 90%, 88% and 83% of revenue through our channel network in 2019, 2018 and 2017, respectively. One of our distributors accounted for 43%, 46% and 45% of revenue in 2019, 2018 and 2017, respectively. That same distributor accounted for 40% and 46% of accounts receivable at December 31, 2019 and 2018,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Balances</w:t>
      </w:r>
    </w:p>
    <w:p>
      <w:pPr>
        <w:spacing w:after="0" w:line="24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2019 and 2018, we recognized revenue of $214.0 million and $154.9 million, respectively, that was included in the deferred revenue balance at the beginning of each of the respective periods.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Remaining Performance Obligations</w:t>
      </w:r>
    </w:p>
    <w:p>
      <w:pPr>
        <w:spacing w:after="0" w:line="24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At December 31, 2019, the future estimated revenue related to unsatisfied performance obligations was $367.3 million, with approximately 75% expected to be recognized as revenue over the succeeding twelve months, and the remainder expected to be recognized over the four years thereafter.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consider all highly liquid financial instruments with an original maturity of three months or less when purchased to be cash equivalents.</w:t>
      </w:r>
    </w:p>
    <w:p>
      <w:pPr>
        <w:spacing w:after="0" w:line="237" w:lineRule="exact"/>
        <w:rPr>
          <w:sz w:val="20"/>
          <w:szCs w:val="20"/>
          <w:color w:val="auto"/>
        </w:rPr>
      </w:pPr>
    </w:p>
    <w:p>
      <w:pPr>
        <w:jc w:val="both"/>
        <w:ind w:right="220" w:firstLine="405"/>
        <w:spacing w:after="0" w:line="256" w:lineRule="auto"/>
        <w:rPr>
          <w:sz w:val="20"/>
          <w:szCs w:val="20"/>
          <w:color w:val="auto"/>
        </w:rPr>
      </w:pPr>
      <w:r>
        <w:rPr>
          <w:rFonts w:ascii="Arial" w:cs="Arial" w:eastAsia="Arial" w:hAnsi="Arial"/>
          <w:sz w:val="18"/>
          <w:szCs w:val="18"/>
          <w:color w:val="auto"/>
        </w:rPr>
        <w:t>At December 31, 2019, cash and cash equivalents included $0.4 million of restricted cash, which is related to collateral for a lease and credit card deposits. Cash and cash equivalents did not include any restricted cash at December 31, 2018. At December 31, 2019 and 2018, cash and cash equivalents excluded $0.3 million of restricted cash, which is</w:t>
      </w:r>
    </w:p>
    <w:p>
      <w:pPr>
        <w:spacing w:after="0" w:line="200" w:lineRule="exact"/>
        <w:rPr>
          <w:sz w:val="20"/>
          <w:szCs w:val="20"/>
          <w:color w:val="auto"/>
        </w:rPr>
      </w:pPr>
    </w:p>
    <w:p>
      <w:pPr>
        <w:spacing w:after="0" w:line="218"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40" w:right="259" w:bottom="1440" w:gutter="0" w:footer="0" w:header="0"/>
        </w:sectPr>
      </w:pPr>
    </w:p>
    <w:bookmarkStart w:id="71" w:name="page72"/>
    <w:bookmarkEnd w:id="7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related to an account established as collateral for a lease arrangement and was included in other assets on the consolidated balance sheets.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We apply fair value accounting for all financial assets and liabilities that are recognized or disclosed at fair value in the financial statements on a recurring basis. We measure cash and cash equivalents and short-term investments at fair value using a fair value hierarchy of inputs. We approximate fair value by using the carrying amounts for accounts receivable, accounts payable and accrued expenses due to their short-term nature.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247"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We currently invest in commercial paper, corporate bonds, and U.S. treasury and agency obligations. Our investments are classified as available-for-sale and recorded at fair value, with unrealized gains and losses reported in accumulated other comprehensive loss within stockholders’ equity (deficit). We review our investment portfolio to determine whether investments have indicators of possible impairment.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47"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Accounts receivable are recorded at the invoiced amount, less an allowance for doubtful accounts, and do not bear interest. We maintain an allowance for doubtful accounts at an amount estimated to be sufficient to cover the risk of collecting less than full payment of the receivables. At each balance sheet date, we evaluate our receivables and assess the allowance for doubtful accounts based on specific customer collection issues and historical write-off trends.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 subscription arrangements and five years for perpetual license arrangements. We estimated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Year Ended December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59,434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50,176</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Capitalization of contract acquisition costs</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40,172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29,075</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deferred contract acquisition costs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72,265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59,434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Amortization of deferred contract acquisition costs is included in sales and marketing expense in the consolidated statements of operations.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4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Property and equipment, net is stated at historical cost less accumulated depreciation. Depreciation is computed using the straight-line method over the estimated useful lives of the assets: three years for computer software and equipment and five years for furniture and fixtures. Leasehold improvements are amortized using the straight-line method over the shorter of the estimated useful lives of the assets or the terms of the respective leases. Property and equipment,</w:t>
      </w:r>
    </w:p>
    <w:p>
      <w:pPr>
        <w:spacing w:after="0" w:line="200" w:lineRule="exact"/>
        <w:rPr>
          <w:sz w:val="20"/>
          <w:szCs w:val="20"/>
          <w:color w:val="auto"/>
        </w:rPr>
      </w:pP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40" w:right="239" w:bottom="1440" w:gutter="0" w:footer="0" w:header="0"/>
        </w:sectPr>
      </w:pPr>
    </w:p>
    <w:bookmarkStart w:id="72" w:name="page73"/>
    <w:bookmarkEnd w:id="7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net includes right-of-use assets acquired under finance leases. Amortization of assets acquired under finance leases is included in depreciation expense. Repairs and maintenance costs are expensed as incurred.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29" w:lineRule="exact"/>
        <w:rPr>
          <w:sz w:val="20"/>
          <w:szCs w:val="20"/>
          <w:color w:val="auto"/>
        </w:rPr>
      </w:pPr>
    </w:p>
    <w:p>
      <w:pPr>
        <w:ind w:right="160" w:firstLine="324"/>
        <w:spacing w:after="0" w:line="281" w:lineRule="auto"/>
        <w:rPr>
          <w:sz w:val="20"/>
          <w:szCs w:val="20"/>
          <w:color w:val="auto"/>
        </w:rPr>
      </w:pPr>
      <w:r>
        <w:rPr>
          <w:rFonts w:ascii="Arial" w:cs="Arial" w:eastAsia="Arial" w:hAnsi="Arial"/>
          <w:sz w:val="17"/>
          <w:szCs w:val="17"/>
          <w:color w:val="auto"/>
        </w:rPr>
        <w:t xml:space="preserve">In December 2018, we early adopted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as of January 1, 2018 using the modified retrospective method applying the transition provisions at the beginning of the period of adoption, rather than at the beginning of the earliest comparative period presented in these financial statements. We elected the package of practical expedients as permitted under the transition guidance, which allowed us to not reassess whether arrangements contain leases, not reassess lease classification, and not reassess initial direct costs.</w:t>
      </w:r>
    </w:p>
    <w:p>
      <w:pPr>
        <w:spacing w:after="0" w:line="18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most significant impact of adopting ASC 842 was the recognition of right-of-use ("ROU") assets and lease liabilities for operating leases of $10.1 million and $12.3 million, respectively on January 1, 2018, which included reclassifying prepaid rent and deferred rent as a component of the ROU asset. Additionally, we concluded that we did not control the building under construction for our new corporate headquarters, and upon adoption, derecognized $2.3 million of construction-in-progress and a $1.8 million construction financing obligation on January 1, 2018 and recognized a $0.5 million deposit. Our accounting for finance leases (formerly referred to as capital leases prior to the adoption of ASC 842) remained substantially unchanged.</w:t>
      </w:r>
    </w:p>
    <w:p>
      <w:pPr>
        <w:spacing w:after="0" w:line="20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determine if an arrangement contains a lease and the classification of that lease, if applicable, at inception. We have elected to not recognize a lease liability or ROU asset for short-term leases (leases with a term of twelve months or less). For contracts with lease and non-lease components, we have elected to not allocate the contract consideration, and account for the lease and non-lease components as a single lease component. Additionally, we enter into arrangements to use shared office spaces and other facilities, and have determined that these arrangements do not contain leases as we do not have the right to use an identified asset. Operating leases are included in operating lease ROU assets, operating lease liabilities and operating lease liabilities (net of current portion) in our consolidated balance sheets. Finance leases are included in property and equipment, other current liabilities and other liabilities in our consolidated balance sheets.</w:t>
      </w:r>
    </w:p>
    <w:p>
      <w:pPr>
        <w:spacing w:after="0" w:line="207"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are generally not determinable and we use our incremental borrowing rate at the lease commencement date to determine the present value of lease payments. The determination of our incremental borrowing rate requires judgment. We determine our incremental borrowing rate for each lease using our current borrowing rate, adjusted for various factors including level of collateralization, term and currency to align with the terms of the lease. The operating lease ROU asset also includes any lease prepayments, offset by lease incentives. Certain of our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7"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evaluate our long-lived assets for impairment whenever events or changes in circumstance indicate that the carrying amount may not be fully recoverable. Recoverability of the long-lived assets is measured by a comparison of the carrying amount of the assets to future undiscounted net cash flows expected to be generated by the assets. If such assets are considered to be impaired, the impairment to be recognized is measured as the excess of the carrying amount over the fair value. There was no impairment of long-lived assets in 2019, 2018 and 2017.</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We account for business combinations by recognizing the fair value of acquired assets and liabilities. The excess purchase consideration over the fair value of acquired assets and liabilities is recorded as goodwill. When determining the fair value of assets acquired and liabilities assumed, we make estimates and assumptions, especially with respect to</w:t>
      </w:r>
    </w:p>
    <w:p>
      <w:pPr>
        <w:spacing w:after="0" w:line="200" w:lineRule="exact"/>
        <w:rPr>
          <w:sz w:val="20"/>
          <w:szCs w:val="20"/>
          <w:color w:val="auto"/>
        </w:rPr>
      </w:pPr>
    </w:p>
    <w:p>
      <w:pPr>
        <w:spacing w:after="0" w:line="218"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40" w:right="259" w:bottom="1440" w:gutter="0" w:footer="0" w:header="0"/>
        </w:sectPr>
      </w:pPr>
    </w:p>
    <w:bookmarkStart w:id="73" w:name="page74"/>
    <w:bookmarkEnd w:id="7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intangible assets. Estimates in valuing certain identifiable intangible assets include, but are not limited to, projected revenue growth rates, future expected operating expenses, the obsolescence factor and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 adjustments made after the measurement period will be reflected in the consolidated statements of operations. Acquisition-related transaction costs are expensed as incurred.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47"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Goodwill is assessed for impairment annually, or more often if there are indications of impairment. During the periods presented, there were no indications of impairment.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247"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Advertising costs are expensed as they are incurred. We incurred advertising costs of $5.3 million, $3.3 million and $3.2 million in 2019, 2018 and 2017, respectively, which was included in sales and marketing expense in the consolidated statements of operations.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Research and development costs to develop software to be sold, leased or marketed are expensed as incurred up to the point of technological feasibility for the related software product. We have not capitalized development costs for software to be sold, leased or marketed to date, as the software development process is essentially completed concurrent with the establishment of technological feasibility. As such, these costs are expensed as incurred and recognized in research and development costs in the consolidated statements of operations.</w:t>
      </w:r>
    </w:p>
    <w:p>
      <w:pPr>
        <w:spacing w:after="0" w:line="20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Software developed for internal use, with no substantive plans to market such software at the time of development, are capitalized and included in property and equipment, net in the consolidated balance sheets. Costs incurred during the preliminary planning and evaluation and post implementation stages of the project are expensed as incurred. Costs incurred during the application development stage of the project are capitalized. In 2019 and 2018, we capitalized $4.2 million and $2.4 million, respectively, of development costs related to internal use software. In 2017, capitalized costs related to software developed for internal use were immaterial.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Stock-based compensation expense related to our stock options, restricted stock, restricted stock units ("RSUs") and purchase rights issued under our 2018 Employee Stock Purchase Plan ("2018 ESPP") is calculated based on the fair value of the awards granted and is recognized on a straight-line basis over the requisite service period, which is generally two to four years, with the exception of RSUs that include performance-based vesting conditions and are expensed using the accelerated attribution method. We account for forfeitures as they occur.</w:t>
      </w:r>
    </w:p>
    <w:p>
      <w:pPr>
        <w:spacing w:after="0" w:line="206" w:lineRule="exact"/>
        <w:rPr>
          <w:sz w:val="20"/>
          <w:szCs w:val="20"/>
          <w:color w:val="auto"/>
        </w:rPr>
      </w:pPr>
    </w:p>
    <w:p>
      <w:pPr>
        <w:ind w:right="380" w:firstLine="324"/>
        <w:spacing w:after="0" w:line="254" w:lineRule="auto"/>
        <w:rPr>
          <w:sz w:val="20"/>
          <w:szCs w:val="20"/>
          <w:color w:val="auto"/>
        </w:rPr>
      </w:pPr>
      <w:r>
        <w:rPr>
          <w:rFonts w:ascii="Arial" w:cs="Arial" w:eastAsia="Arial" w:hAnsi="Arial"/>
          <w:sz w:val="18"/>
          <w:szCs w:val="18"/>
          <w:color w:val="auto"/>
        </w:rPr>
        <w:t>The fair value of stock options and 2018 ESPP purchase rights is estimated on the grant date using the Black-Scholes option pricing model, which requires us to make assumptions and judgments, including the expected term, expected volatility, and risk-free interest rates. Prior to our IPO, we estimated the fair value of our common stock at the date of grant. Following our IPO, we use the market price of our common stock at the date of grant.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calculate basic and diluted net loss per share attributable to common stockholders in conformity with the two-class method required for participating securities. Under the two-class method, the net loss attributable to common stockholders is not allocated to the redeemable convertible preferred stock as the holders of our redeemable convertible preferred stock do not have a contractual obligation to share in losses.</w:t>
      </w:r>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40" w:right="239" w:bottom="1440" w:gutter="0" w:footer="0" w:header="0"/>
        </w:sectPr>
      </w:pPr>
    </w:p>
    <w:bookmarkStart w:id="74" w:name="page75"/>
    <w:bookmarkEnd w:id="7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 Net loss attributable to common stockholders is calculated by adjusting net loss by the current period accretion of redeemable convertible preferred stock.</w:t>
      </w:r>
    </w:p>
    <w:p>
      <w:pPr>
        <w:spacing w:after="0" w:line="202"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Upon the completion of our IPO, all of our Series A and Series B redeemable convertible preferred stock automatically converted into shares of our common stock.</w:t>
      </w:r>
    </w:p>
    <w:p>
      <w:pPr>
        <w:spacing w:after="0" w:line="196"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Diluted earnings per share attributable to common stockholders is computed by giving effect to all potentially dilutive common stock equivalents in the period, including stock options, unvested restricted shares, redeemable convertible preferred stock and shares to be issued under our 2018 ESPP. As we have reported losses for all periods presented, all potentially dilutive securities have been excluded from the calculation of diluted net loss per share attributable to common stockholders as their effect would be antidilutive.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7"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We operate as one operating segment as our chief executive officer, who is our chief operating decision maker, reviews financial information on a consolidated basis for purposes of making operating decisions, allocating resources, and evaluating financial performance.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Income taxes are accounted for under the asset and liability method. This method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A valuation allowance is provided if it is more likely than not that some or all of the deferred tax assets will not be realized.</w:t>
      </w:r>
    </w:p>
    <w:p>
      <w:pPr>
        <w:spacing w:after="0" w:line="204" w:lineRule="exact"/>
        <w:rPr>
          <w:sz w:val="20"/>
          <w:szCs w:val="20"/>
          <w:color w:val="auto"/>
        </w:rPr>
      </w:pPr>
    </w:p>
    <w:p>
      <w:pPr>
        <w:ind w:right="620" w:firstLine="324"/>
        <w:spacing w:after="0" w:line="262" w:lineRule="auto"/>
        <w:rPr>
          <w:sz w:val="20"/>
          <w:szCs w:val="20"/>
          <w:color w:val="auto"/>
        </w:rPr>
      </w:pPr>
      <w:r>
        <w:rPr>
          <w:rFonts w:ascii="Arial" w:cs="Arial" w:eastAsia="Arial" w:hAnsi="Arial"/>
          <w:sz w:val="18"/>
          <w:szCs w:val="18"/>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ASU No. 2016-13 - </w:t>
      </w:r>
      <w:r>
        <w:rPr>
          <w:rFonts w:ascii="Arial" w:cs="Arial" w:eastAsia="Arial" w:hAnsi="Arial"/>
          <w:sz w:val="18"/>
          <w:szCs w:val="18"/>
          <w:i w:val="1"/>
          <w:iCs w:val="1"/>
          <w:color w:val="auto"/>
        </w:rPr>
        <w:t>Financial Instruments-Credit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326)</w:t>
      </w:r>
      <w:r>
        <w:rPr>
          <w:rFonts w:ascii="Arial" w:cs="Arial" w:eastAsia="Arial" w:hAnsi="Arial"/>
          <w:sz w:val="18"/>
          <w:szCs w:val="18"/>
          <w:color w:val="auto"/>
        </w:rPr>
        <w:t>:</w:t>
      </w:r>
      <w:r>
        <w:rPr>
          <w:rFonts w:ascii="Arial" w:cs="Arial" w:eastAsia="Arial" w:hAnsi="Arial"/>
          <w:sz w:val="18"/>
          <w:szCs w:val="18"/>
          <w:i w:val="1"/>
          <w:iCs w:val="1"/>
          <w:color w:val="auto"/>
        </w:rPr>
        <w:t xml:space="preserve"> Measurement of Credit Losses on Financial Instruments</w:t>
      </w:r>
      <w:r>
        <w:rPr>
          <w:rFonts w:ascii="Arial" w:cs="Arial" w:eastAsia="Arial" w:hAnsi="Arial"/>
          <w:sz w:val="18"/>
          <w:szCs w:val="18"/>
          <w:color w:val="auto"/>
        </w:rPr>
        <w:t>. This ASU amended guidance on reporting credit losses for assets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cost basis and available-for-sale debt securities to require that credit losses on available-for-sale debt securities be presented as an allowance rather than as a write-down. The measurement of credit losses for newly recognized financial assets and subsequent changes in the allowance for credit losses are recorded in the statements of operations. This guidance was effective for us beginning January 1, 2020, and will be adopted using the modified-retrospective method. We do not expect the impact of adopting this standard to be material for our consolidated financial statements.</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In August 2018, the FASB issued ASU No. 2018-15 —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 </w:t>
      </w:r>
      <w:r>
        <w:rPr>
          <w:rFonts w:ascii="Arial" w:cs="Arial" w:eastAsia="Arial" w:hAnsi="Arial"/>
          <w:sz w:val="18"/>
          <w:szCs w:val="18"/>
          <w:i w:val="1"/>
          <w:iCs w:val="1"/>
          <w:color w:val="auto"/>
        </w:rPr>
        <w:t>Internal -Use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Under this ASU,</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related to a cloud computing arrangement that is a service contract will be capitalized consistent with the requirements for capitalizing internal-use software development costs. The capitalized implementation costs are subsequently expensed over the term of the hosting arrangement. This guidance was effective for us beginning January 1, 2020, and will be adopted on a prospective basis. We do not expect the impact of adopting this standard to be material for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40" w:right="239" w:bottom="1440" w:gutter="0" w:footer="0" w:header="0"/>
        </w:sectPr>
      </w:pPr>
    </w:p>
    <w:bookmarkStart w:id="75" w:name="page76"/>
    <w:bookmarkEnd w:id="7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Cash and Cash Equivalents and Short-Term Investments</w:t>
      </w:r>
    </w:p>
    <w:p>
      <w:pPr>
        <w:spacing w:after="0" w:line="247"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6"/>
                <w:szCs w:val="16"/>
                <w:b w:val="1"/>
                <w:bCs w:val="1"/>
                <w:color w:val="auto"/>
              </w:rPr>
              <w:t>December 31, 2019</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2"/>
              <w:spacing w:after="0"/>
              <w:rPr>
                <w:sz w:val="20"/>
                <w:szCs w:val="20"/>
                <w:color w:val="auto"/>
              </w:rPr>
            </w:pPr>
            <w:r>
              <w:rPr>
                <w:rFonts w:ascii="Arial" w:cs="Arial" w:eastAsia="Arial" w:hAnsi="Arial"/>
                <w:sz w:val="16"/>
                <w:szCs w:val="16"/>
                <w:b w:val="1"/>
                <w:bCs w:val="1"/>
                <w:color w:val="auto"/>
              </w:rPr>
              <w:t>Estimated Fair</w:t>
            </w:r>
          </w:p>
        </w:tc>
      </w:tr>
      <w:tr>
        <w:trPr>
          <w:trHeight w:val="228"/>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Unrealized Gain</w:t>
            </w:r>
          </w:p>
        </w:tc>
        <w:tc>
          <w:tcPr>
            <w:tcW w:w="1600" w:type="dxa"/>
            <w:vAlign w:val="bottom"/>
            <w:gridSpan w:val="3"/>
          </w:tcPr>
          <w:p>
            <w:pPr>
              <w:ind w:left="120"/>
              <w:spacing w:after="0"/>
              <w:rPr>
                <w:sz w:val="20"/>
                <w:szCs w:val="20"/>
                <w:color w:val="auto"/>
              </w:rPr>
            </w:pPr>
            <w:r>
              <w:rPr>
                <w:rFonts w:ascii="Arial" w:cs="Arial" w:eastAsia="Arial" w:hAnsi="Arial"/>
                <w:sz w:val="16"/>
                <w:szCs w:val="16"/>
                <w:b w:val="1"/>
                <w:bCs w:val="1"/>
                <w:color w:val="auto"/>
              </w:rPr>
              <w:t>Unrealized Loss</w:t>
            </w:r>
          </w:p>
        </w:tc>
        <w:tc>
          <w:tcPr>
            <w:tcW w:w="160" w:type="dxa"/>
            <w:vAlign w:val="bottom"/>
          </w:tcPr>
          <w:p>
            <w:pPr>
              <w:spacing w:after="0"/>
              <w:rPr>
                <w:sz w:val="19"/>
                <w:szCs w:val="19"/>
                <w:color w:val="auto"/>
              </w:rPr>
            </w:pPr>
          </w:p>
        </w:tc>
        <w:tc>
          <w:tcPr>
            <w:tcW w:w="1320" w:type="dxa"/>
            <w:vAlign w:val="bottom"/>
          </w:tcPr>
          <w:p>
            <w:pPr>
              <w:jc w:val="center"/>
              <w:ind w:right="92"/>
              <w:spacing w:after="0"/>
              <w:rPr>
                <w:sz w:val="20"/>
                <w:szCs w:val="20"/>
                <w:color w:val="auto"/>
              </w:rPr>
            </w:pPr>
            <w:r>
              <w:rPr>
                <w:rFonts w:ascii="Arial" w:cs="Arial" w:eastAsia="Arial" w:hAnsi="Arial"/>
                <w:sz w:val="16"/>
                <w:szCs w:val="16"/>
                <w:b w:val="1"/>
                <w:bCs w:val="1"/>
                <w:color w:val="auto"/>
                <w:w w:val="98"/>
              </w:rPr>
              <w:t>Value</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13,588</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Commercial paper</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8,987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8,987</w:t>
            </w: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cash equivalents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22,575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61,371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61,371</w:t>
            </w: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23,869</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and agency obligations</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52,627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52,664</w:t>
            </w: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short-term investments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137,854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137,904</w:t>
            </w:r>
          </w:p>
        </w:tc>
      </w:tr>
      <w:tr>
        <w:trPr>
          <w:trHeight w:val="20"/>
        </w:trPr>
        <w:tc>
          <w:tcPr>
            <w:tcW w:w="5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95"/>
        </w:trPr>
        <w:tc>
          <w:tcPr>
            <w:tcW w:w="5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6"/>
                <w:szCs w:val="16"/>
                <w:b w:val="1"/>
                <w:bCs w:val="1"/>
                <w:color w:val="auto"/>
              </w:rPr>
              <w:t>December 31, 2018</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8"/>
        </w:trPr>
        <w:tc>
          <w:tcPr>
            <w:tcW w:w="5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2"/>
              <w:spacing w:after="0"/>
              <w:rPr>
                <w:sz w:val="20"/>
                <w:szCs w:val="20"/>
                <w:color w:val="auto"/>
              </w:rPr>
            </w:pPr>
            <w:r>
              <w:rPr>
                <w:rFonts w:ascii="Arial" w:cs="Arial" w:eastAsia="Arial" w:hAnsi="Arial"/>
                <w:sz w:val="16"/>
                <w:szCs w:val="16"/>
                <w:b w:val="1"/>
                <w:bCs w:val="1"/>
                <w:color w:val="auto"/>
              </w:rPr>
              <w:t>Estimated Fair</w:t>
            </w:r>
          </w:p>
        </w:tc>
      </w:tr>
      <w:tr>
        <w:trPr>
          <w:trHeight w:val="228"/>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Unrealized Gain</w:t>
            </w:r>
          </w:p>
        </w:tc>
        <w:tc>
          <w:tcPr>
            <w:tcW w:w="1600" w:type="dxa"/>
            <w:vAlign w:val="bottom"/>
            <w:gridSpan w:val="3"/>
          </w:tcPr>
          <w:p>
            <w:pPr>
              <w:ind w:left="120"/>
              <w:spacing w:after="0"/>
              <w:rPr>
                <w:sz w:val="20"/>
                <w:szCs w:val="20"/>
                <w:color w:val="auto"/>
              </w:rPr>
            </w:pPr>
            <w:r>
              <w:rPr>
                <w:rFonts w:ascii="Arial" w:cs="Arial" w:eastAsia="Arial" w:hAnsi="Arial"/>
                <w:sz w:val="16"/>
                <w:szCs w:val="16"/>
                <w:b w:val="1"/>
                <w:bCs w:val="1"/>
                <w:color w:val="auto"/>
              </w:rPr>
              <w:t>Unrealized Loss</w:t>
            </w:r>
          </w:p>
        </w:tc>
        <w:tc>
          <w:tcPr>
            <w:tcW w:w="160" w:type="dxa"/>
            <w:vAlign w:val="bottom"/>
          </w:tcPr>
          <w:p>
            <w:pPr>
              <w:spacing w:after="0"/>
              <w:rPr>
                <w:sz w:val="19"/>
                <w:szCs w:val="19"/>
                <w:color w:val="auto"/>
              </w:rPr>
            </w:pPr>
          </w:p>
        </w:tc>
        <w:tc>
          <w:tcPr>
            <w:tcW w:w="1320" w:type="dxa"/>
            <w:vAlign w:val="bottom"/>
          </w:tcPr>
          <w:p>
            <w:pPr>
              <w:jc w:val="center"/>
              <w:ind w:right="92"/>
              <w:spacing w:after="0"/>
              <w:rPr>
                <w:sz w:val="20"/>
                <w:szCs w:val="20"/>
                <w:color w:val="auto"/>
              </w:rPr>
            </w:pPr>
            <w:r>
              <w:rPr>
                <w:rFonts w:ascii="Arial" w:cs="Arial" w:eastAsia="Arial" w:hAnsi="Arial"/>
                <w:sz w:val="16"/>
                <w:szCs w:val="16"/>
                <w:b w:val="1"/>
                <w:bCs w:val="1"/>
                <w:color w:val="auto"/>
                <w:w w:val="98"/>
              </w:rPr>
              <w:t>Value</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38,022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38,022</w:t>
            </w:r>
          </w:p>
        </w:tc>
      </w:tr>
      <w:tr>
        <w:trPr>
          <w:trHeight w:val="297"/>
        </w:trPr>
        <w:tc>
          <w:tcPr>
            <w:tcW w:w="5260" w:type="dxa"/>
            <w:vAlign w:val="bottom"/>
          </w:tcPr>
          <w:p>
            <w:pPr>
              <w:ind w:left="280"/>
              <w:spacing w:after="0"/>
              <w:rPr>
                <w:sz w:val="20"/>
                <w:szCs w:val="20"/>
                <w:color w:val="auto"/>
              </w:rPr>
            </w:pPr>
            <w:r>
              <w:rPr>
                <w:rFonts w:ascii="Arial" w:cs="Arial" w:eastAsia="Arial" w:hAnsi="Arial"/>
                <w:sz w:val="18"/>
                <w:szCs w:val="18"/>
                <w:color w:val="auto"/>
              </w:rPr>
              <w:t>Total cash equivalents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38,022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38,022</w:t>
            </w:r>
          </w:p>
        </w:tc>
      </w:tr>
      <w:tr>
        <w:trPr>
          <w:trHeight w:val="305"/>
        </w:trPr>
        <w:tc>
          <w:tcPr>
            <w:tcW w:w="526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79,634</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38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16,119</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and agency obligations</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22,366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22,366</w:t>
            </w:r>
          </w:p>
        </w:tc>
      </w:tr>
      <w:tr>
        <w:trPr>
          <w:trHeight w:val="257"/>
        </w:trPr>
        <w:tc>
          <w:tcPr>
            <w:tcW w:w="5260" w:type="dxa"/>
            <w:vAlign w:val="bottom"/>
          </w:tcPr>
          <w:p>
            <w:pPr>
              <w:ind w:left="280"/>
              <w:spacing w:after="0"/>
              <w:rPr>
                <w:sz w:val="20"/>
                <w:szCs w:val="20"/>
                <w:color w:val="auto"/>
              </w:rPr>
            </w:pPr>
            <w:r>
              <w:rPr>
                <w:rFonts w:ascii="Arial" w:cs="Arial" w:eastAsia="Arial" w:hAnsi="Arial"/>
                <w:sz w:val="18"/>
                <w:szCs w:val="18"/>
                <w:color w:val="auto"/>
              </w:rPr>
              <w:t>Total short-term investments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118,119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118,119</w:t>
            </w:r>
          </w:p>
        </w:tc>
      </w:tr>
      <w:tr>
        <w:trPr>
          <w:trHeight w:val="20"/>
        </w:trPr>
        <w:tc>
          <w:tcPr>
            <w:tcW w:w="5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For any investments that were in an unrealized loss position, we considered if we intended on selling the investments before maturity and if it is more-likely-than-not that we would have to sell the security before the recovery of the amortized cost basis. We concluded that there were no other-than-temporary impairments at December 31, 2019.</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2019, all of our short-term investments had maturities within the next twelve months.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Fair Value Measurements</w:t>
      </w:r>
    </w:p>
    <w:p>
      <w:pPr>
        <w:spacing w:after="0" w:line="247"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7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63" w:lineRule="exact"/>
        <w:rPr>
          <w:rFonts w:ascii="Arial" w:cs="Arial" w:eastAsia="Arial" w:hAnsi="Arial"/>
          <w:sz w:val="18"/>
          <w:szCs w:val="18"/>
          <w:color w:val="auto"/>
        </w:rPr>
      </w:pPr>
    </w:p>
    <w:p>
      <w:pPr>
        <w:ind w:left="660" w:right="640" w:hanging="328"/>
        <w:spacing w:after="0" w:line="28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00" w:lineRule="exact"/>
        <w:rPr>
          <w:sz w:val="20"/>
          <w:szCs w:val="20"/>
          <w:color w:val="auto"/>
        </w:rPr>
      </w:pPr>
    </w:p>
    <w:p>
      <w:pPr>
        <w:spacing w:after="0" w:line="25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40" w:right="239" w:bottom="1440" w:gutter="0" w:footer="0" w:header="0"/>
        </w:sectPr>
      </w:pPr>
    </w:p>
    <w:bookmarkStart w:id="76" w:name="page77"/>
    <w:bookmarkEnd w:id="7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6"/>
                <w:szCs w:val="16"/>
                <w:b w:val="1"/>
                <w:bCs w:val="1"/>
                <w:color w:val="auto"/>
              </w:rPr>
              <w:t>December 31, 2019</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13,588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13,588</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8,987</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8,987</w:t>
            </w:r>
          </w:p>
        </w:tc>
      </w:tr>
      <w:tr>
        <w:trPr>
          <w:trHeight w:val="250"/>
        </w:trPr>
        <w:tc>
          <w:tcPr>
            <w:tcW w:w="5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13,588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8,987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22,575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61,371</w:t>
            </w:r>
          </w:p>
        </w:tc>
        <w:tc>
          <w:tcPr>
            <w:tcW w:w="100" w:type="dxa"/>
            <w:vAlign w:val="bottom"/>
          </w:tcPr>
          <w:p>
            <w:pPr>
              <w:spacing w:after="0"/>
              <w:rPr>
                <w:sz w:val="22"/>
                <w:szCs w:val="22"/>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61,371</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23,869</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23,869</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Treasury and agency obligations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52,664</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52,664</w:t>
            </w:r>
          </w:p>
        </w:tc>
      </w:tr>
      <w:tr>
        <w:trPr>
          <w:trHeight w:val="250"/>
        </w:trPr>
        <w:tc>
          <w:tcPr>
            <w:tcW w:w="5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137,904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137,904</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18"/>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6"/>
                <w:szCs w:val="16"/>
                <w:b w:val="1"/>
                <w:bCs w:val="1"/>
                <w:color w:val="auto"/>
              </w:rPr>
              <w:t>December 31, 2018</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38,022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38,022</w:t>
            </w:r>
          </w:p>
        </w:tc>
      </w:tr>
      <w:tr>
        <w:trPr>
          <w:trHeight w:val="290"/>
        </w:trPr>
        <w:tc>
          <w:tcPr>
            <w:tcW w:w="516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38,022</w:t>
            </w:r>
          </w:p>
        </w:tc>
        <w:tc>
          <w:tcPr>
            <w:tcW w:w="10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38,022</w:t>
            </w:r>
          </w:p>
        </w:tc>
      </w:tr>
      <w:tr>
        <w:trPr>
          <w:trHeight w:val="311"/>
        </w:trPr>
        <w:tc>
          <w:tcPr>
            <w:tcW w:w="516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79,634</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79,634</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16,119</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and agency obligations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22,366</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22,366</w:t>
            </w:r>
          </w:p>
        </w:tc>
      </w:tr>
      <w:tr>
        <w:trPr>
          <w:trHeight w:val="250"/>
        </w:trPr>
        <w:tc>
          <w:tcPr>
            <w:tcW w:w="51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118,119</w:t>
            </w:r>
          </w:p>
        </w:tc>
        <w:tc>
          <w:tcPr>
            <w:tcW w:w="100" w:type="dxa"/>
            <w:vAlign w:val="bottom"/>
          </w:tcPr>
          <w:p>
            <w:pPr>
              <w:spacing w:after="0"/>
              <w:rPr>
                <w:sz w:val="21"/>
                <w:szCs w:val="21"/>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118,119</w:t>
            </w:r>
          </w:p>
        </w:tc>
      </w:tr>
      <w:tr>
        <w:trPr>
          <w:trHeight w:val="20"/>
        </w:trPr>
        <w:tc>
          <w:tcPr>
            <w:tcW w:w="5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measured and recorded at fair value at December 31, 2019 or December 31, 2018.</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Property and Equipment,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9"/>
                <w:szCs w:val="19"/>
                <w:color w:val="auto"/>
              </w:rPr>
            </w:pPr>
          </w:p>
        </w:tc>
      </w:tr>
      <w:tr>
        <w:trPr>
          <w:trHeight w:val="264"/>
        </w:trPr>
        <w:tc>
          <w:tcPr>
            <w:tcW w:w="8240" w:type="dxa"/>
            <w:vAlign w:val="bottom"/>
          </w:tcPr>
          <w:p>
            <w:pPr>
              <w:ind w:left="8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250"/>
        </w:trPr>
        <w:tc>
          <w:tcPr>
            <w:tcW w:w="8240" w:type="dxa"/>
            <w:vAlign w:val="bottom"/>
          </w:tcPr>
          <w:p>
            <w:pPr>
              <w:ind w:left="80"/>
              <w:spacing w:after="0"/>
              <w:rPr>
                <w:sz w:val="20"/>
                <w:szCs w:val="20"/>
                <w:color w:val="auto"/>
              </w:rPr>
            </w:pPr>
            <w:r>
              <w:rPr>
                <w:rFonts w:ascii="Arial" w:cs="Arial" w:eastAsia="Arial" w:hAnsi="Arial"/>
                <w:sz w:val="18"/>
                <w:szCs w:val="18"/>
                <w:color w:val="auto"/>
              </w:rPr>
              <w:t>Computer software and equipment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21,234</w:t>
            </w:r>
          </w:p>
        </w:tc>
        <w:tc>
          <w:tcPr>
            <w:tcW w:w="100" w:type="dxa"/>
            <w:vAlign w:val="bottom"/>
          </w:tcPr>
          <w:p>
            <w:pPr>
              <w:spacing w:after="0"/>
              <w:rPr>
                <w:sz w:val="21"/>
                <w:szCs w:val="21"/>
                <w:color w:val="auto"/>
              </w:rPr>
            </w:pP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13,038</w:t>
            </w:r>
          </w:p>
        </w:tc>
      </w:tr>
      <w:tr>
        <w:trPr>
          <w:trHeight w:val="277"/>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Furniture and fixtures</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2,376</w:t>
            </w:r>
          </w:p>
        </w:tc>
      </w:tr>
      <w:tr>
        <w:trPr>
          <w:trHeight w:val="263"/>
        </w:trPr>
        <w:tc>
          <w:tcPr>
            <w:tcW w:w="8240" w:type="dxa"/>
            <w:vAlign w:val="bottom"/>
          </w:tcPr>
          <w:p>
            <w:pPr>
              <w:ind w:left="8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16,953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7,266</w:t>
            </w:r>
          </w:p>
        </w:tc>
      </w:tr>
      <w:tr>
        <w:trPr>
          <w:trHeight w:val="270"/>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Right-of-use assets under finance leases</w:t>
            </w: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1,854</w:t>
            </w:r>
          </w:p>
        </w:tc>
      </w:tr>
      <w:tr>
        <w:trPr>
          <w:trHeight w:val="250"/>
        </w:trPr>
        <w:tc>
          <w:tcPr>
            <w:tcW w:w="8240" w:type="dxa"/>
            <w:vAlign w:val="bottom"/>
          </w:tcPr>
          <w:p>
            <w:pPr>
              <w:ind w:left="30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44,557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24,534</w:t>
            </w:r>
          </w:p>
        </w:tc>
      </w:tr>
      <w:tr>
        <w:trPr>
          <w:trHeight w:val="270"/>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(17,710)</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(13,186)</w:t>
            </w:r>
          </w:p>
        </w:tc>
      </w:tr>
      <w:tr>
        <w:trPr>
          <w:trHeight w:val="257"/>
        </w:trPr>
        <w:tc>
          <w:tcPr>
            <w:tcW w:w="8240" w:type="dxa"/>
            <w:vAlign w:val="bottom"/>
          </w:tcPr>
          <w:p>
            <w:pPr>
              <w:ind w:left="30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26,847</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11,348</w:t>
            </w:r>
          </w:p>
        </w:tc>
      </w:tr>
      <w:tr>
        <w:trPr>
          <w:trHeight w:val="20"/>
        </w:trPr>
        <w:tc>
          <w:tcPr>
            <w:tcW w:w="8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Depreciation and amortization related to property and equipment was $6.3 million, $5.6 million and $4.1 million in 2019, 2018 and 2017, respectively.</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140" w:right="239" w:bottom="1440" w:gutter="0" w:footer="0" w:header="0"/>
          <w:type w:val="continuous"/>
        </w:sectPr>
      </w:pPr>
    </w:p>
    <w:bookmarkStart w:id="77" w:name="page78"/>
    <w:bookmarkEnd w:id="7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Acquisition, Goodwill and 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4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On December 2, 2019, we acquired Indegy Ltd. (“Indegy”) to expand our OT-specific capabilities. Through a share purchase agreement, we acquired 100% of Indegy's equity in exchange for cash consideration of $80.1 million, including cash acquired of $5.5 million. As part of the acquisition, all unvested options to acquire ordinary shares of Indegy vested immediately, and all options to acquire ordinary shares of Indegy were canceled in exchange for a right to receive a portion of the cash consideration. We paid $1.8 million for unvested options, which is included in post-acquisition stock-based compensation expense in our consolidated statements of operations.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consideration was allocated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2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6"/>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acquired</w:t>
            </w:r>
          </w:p>
        </w:tc>
        <w:tc>
          <w:tcPr>
            <w:tcW w:w="8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r>
      <w:tr>
        <w:trPr>
          <w:trHeight w:val="250"/>
        </w:trPr>
        <w:tc>
          <w:tcPr>
            <w:tcW w:w="9240" w:type="dxa"/>
            <w:vAlign w:val="bottom"/>
          </w:tcPr>
          <w:p>
            <w:pPr>
              <w:ind w:left="40"/>
              <w:spacing w:after="0"/>
              <w:rPr>
                <w:sz w:val="20"/>
                <w:szCs w:val="20"/>
                <w:color w:val="auto"/>
              </w:rPr>
            </w:pPr>
            <w:r>
              <w:rPr>
                <w:rFonts w:ascii="Arial" w:cs="Arial" w:eastAsia="Arial" w:hAnsi="Arial"/>
                <w:sz w:val="18"/>
                <w:szCs w:val="18"/>
                <w:color w:val="auto"/>
              </w:rPr>
              <w:t>Other net tangible assets acquired</w:t>
            </w:r>
          </w:p>
        </w:tc>
        <w:tc>
          <w:tcPr>
            <w:tcW w:w="8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735</w:t>
            </w:r>
          </w:p>
        </w:tc>
      </w:tr>
      <w:tr>
        <w:trPr>
          <w:trHeight w:val="263"/>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8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4,243</w:t>
            </w:r>
          </w:p>
        </w:tc>
      </w:tr>
      <w:tr>
        <w:trPr>
          <w:trHeight w:val="250"/>
        </w:trPr>
        <w:tc>
          <w:tcPr>
            <w:tcW w:w="92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8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15,700</w:t>
            </w:r>
          </w:p>
        </w:tc>
      </w:tr>
      <w:tr>
        <w:trPr>
          <w:trHeight w:val="25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53,873</w:t>
            </w:r>
          </w:p>
        </w:tc>
      </w:tr>
      <w:tr>
        <w:trPr>
          <w:trHeight w:val="257"/>
        </w:trPr>
        <w:tc>
          <w:tcPr>
            <w:tcW w:w="9240" w:type="dxa"/>
            <w:vAlign w:val="bottom"/>
          </w:tcPr>
          <w:p>
            <w:pPr>
              <w:ind w:left="280"/>
              <w:spacing w:after="0"/>
              <w:rPr>
                <w:sz w:val="20"/>
                <w:szCs w:val="20"/>
                <w:color w:val="auto"/>
              </w:rPr>
            </w:pPr>
            <w:r>
              <w:rPr>
                <w:rFonts w:ascii="Arial" w:cs="Arial" w:eastAsia="Arial" w:hAnsi="Arial"/>
                <w:sz w:val="18"/>
                <w:szCs w:val="18"/>
                <w:color w:val="auto"/>
              </w:rPr>
              <w:t>Total purchase price allocation</w:t>
            </w:r>
          </w:p>
        </w:tc>
        <w:tc>
          <w:tcPr>
            <w:tcW w:w="8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80,051</w:t>
            </w:r>
          </w:p>
        </w:tc>
      </w:tr>
      <w:tr>
        <w:trPr>
          <w:trHeight w:val="20"/>
        </w:trPr>
        <w:tc>
          <w:tcPr>
            <w:tcW w:w="9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We are still finalizing the allocation of the purchase price, which may change as additional information becomes available related to any working capital adjustment and income taxes.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assets and their estimated useful lives at the date of acquisition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Intangible Assets</w:t>
            </w:r>
          </w:p>
        </w:tc>
      </w:tr>
      <w:tr>
        <w:trPr>
          <w:trHeight w:val="198"/>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r>
      <w:tr>
        <w:trPr>
          <w:trHeight w:val="228"/>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Useful Life</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technology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 years</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2 years</w:t>
            </w: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intangible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0" w:firstLine="324"/>
        <w:spacing w:after="0" w:line="262" w:lineRule="auto"/>
        <w:rPr>
          <w:sz w:val="20"/>
          <w:szCs w:val="20"/>
          <w:color w:val="auto"/>
        </w:rPr>
      </w:pPr>
      <w:r>
        <w:rPr>
          <w:rFonts w:ascii="Arial" w:cs="Arial" w:eastAsia="Arial" w:hAnsi="Arial"/>
          <w:sz w:val="18"/>
          <w:szCs w:val="18"/>
          <w:color w:val="auto"/>
        </w:rPr>
        <w:t>The results of operations of Indegy are included in our consolidated statements of operations from the acquisition date and were not material. Pro forma results of operations are not presented as they are not material to the consolidated statements of operations.</w:t>
      </w:r>
    </w:p>
    <w:p>
      <w:pPr>
        <w:spacing w:after="0" w:line="196"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In 2019, we recognized $4.0 million of acquisition-related transaction costs in general and administrative expense, which included $2.1 million of expense related to the intercompany transfer of intellectual property.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2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6"/>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8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50"/>
        </w:trPr>
        <w:tc>
          <w:tcPr>
            <w:tcW w:w="9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Acquired goodwill</w:t>
            </w:r>
          </w:p>
        </w:tc>
        <w:tc>
          <w:tcPr>
            <w:tcW w:w="8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53,873</w:t>
            </w: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82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54,138</w:t>
            </w:r>
          </w:p>
        </w:tc>
      </w:tr>
      <w:tr>
        <w:trPr>
          <w:trHeight w:val="20"/>
        </w:trPr>
        <w:tc>
          <w:tcPr>
            <w:tcW w:w="9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The acquired goodwill reflects the synergies we expect from integrating Indegy's capabilities into our enterprise platform</w:t>
      </w: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40" w:right="239" w:bottom="1440" w:gutter="0" w:footer="0" w:header="0"/>
        </w:sectPr>
      </w:pPr>
    </w:p>
    <w:bookmarkStart w:id="78" w:name="page79"/>
    <w:bookmarkEnd w:id="7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offerings and from marketing and selling these new capabilities to our customers. None of the acquired goodwill is tax deductible.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2620" w:type="dxa"/>
            <w:vAlign w:val="bottom"/>
          </w:tcPr>
          <w:p>
            <w:pPr>
              <w:spacing w:after="0"/>
              <w:rPr>
                <w:sz w:val="17"/>
                <w:szCs w:val="17"/>
                <w:color w:val="auto"/>
              </w:rPr>
            </w:pPr>
          </w:p>
        </w:tc>
        <w:tc>
          <w:tcPr>
            <w:tcW w:w="138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Carrying</w:t>
            </w:r>
          </w:p>
        </w:tc>
        <w:tc>
          <w:tcPr>
            <w:tcW w:w="136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rPr>
              <w:t>Net Carrying</w:t>
            </w:r>
          </w:p>
        </w:tc>
      </w:tr>
      <w:tr>
        <w:trPr>
          <w:trHeight w:val="228"/>
        </w:trPr>
        <w:tc>
          <w:tcPr>
            <w:tcW w:w="2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Amount</w:t>
            </w:r>
          </w:p>
        </w:tc>
      </w:tr>
      <w:tr>
        <w:trPr>
          <w:trHeight w:val="257"/>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technology</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17,325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15,316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r>
      <w:tr>
        <w:trPr>
          <w:trHeight w:val="264"/>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Trade name</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r>
      <w:tr>
        <w:trPr>
          <w:trHeight w:val="20"/>
        </w:trPr>
        <w:tc>
          <w:tcPr>
            <w:tcW w:w="2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35"/>
        </w:trPr>
        <w:tc>
          <w:tcPr>
            <w:tcW w:w="8720" w:type="dxa"/>
            <w:vAlign w:val="bottom"/>
            <w:gridSpan w:val="14"/>
          </w:tcPr>
          <w:p>
            <w:pPr>
              <w:ind w:left="340"/>
              <w:spacing w:after="0"/>
              <w:rPr>
                <w:sz w:val="20"/>
                <w:szCs w:val="20"/>
                <w:color w:val="auto"/>
              </w:rPr>
            </w:pPr>
            <w:r>
              <w:rPr>
                <w:rFonts w:ascii="Arial" w:cs="Arial" w:eastAsia="Arial" w:hAnsi="Arial"/>
                <w:sz w:val="18"/>
                <w:szCs w:val="18"/>
                <w:color w:val="auto"/>
              </w:rPr>
              <w:t>Amortization of acquired intangible assets was $0.6 million in each of 2019, 2018 and 2017, respectively.</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7340" w:type="dxa"/>
            <w:vAlign w:val="bottom"/>
            <w:gridSpan w:val="11"/>
          </w:tcPr>
          <w:p>
            <w:pPr>
              <w:ind w:left="340"/>
              <w:spacing w:after="0"/>
              <w:rPr>
                <w:sz w:val="20"/>
                <w:szCs w:val="20"/>
                <w:color w:val="auto"/>
              </w:rPr>
            </w:pPr>
            <w:r>
              <w:rPr>
                <w:rFonts w:ascii="Arial" w:cs="Arial" w:eastAsia="Arial" w:hAnsi="Arial"/>
                <w:sz w:val="18"/>
                <w:szCs w:val="18"/>
                <w:color w:val="auto"/>
              </w:rPr>
              <w:t>At December 31, 2019, estimated future amortization of intangible assets is as follows: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5"/>
        </w:trPr>
        <w:tc>
          <w:tcPr>
            <w:tcW w:w="26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0"/>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50"/>
        </w:trPr>
        <w:tc>
          <w:tcPr>
            <w:tcW w:w="262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2,314</w:t>
            </w:r>
          </w:p>
        </w:tc>
      </w:tr>
      <w:tr>
        <w:trPr>
          <w:trHeight w:val="263"/>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2,306</w:t>
            </w:r>
          </w:p>
        </w:tc>
      </w:tr>
      <w:tr>
        <w:trPr>
          <w:trHeight w:val="250"/>
        </w:trPr>
        <w:tc>
          <w:tcPr>
            <w:tcW w:w="262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2,214</w:t>
            </w:r>
          </w:p>
        </w:tc>
      </w:tr>
      <w:tr>
        <w:trPr>
          <w:trHeight w:val="263"/>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2,214</w:t>
            </w:r>
          </w:p>
        </w:tc>
      </w:tr>
      <w:tr>
        <w:trPr>
          <w:trHeight w:val="250"/>
        </w:trPr>
        <w:tc>
          <w:tcPr>
            <w:tcW w:w="2620" w:type="dxa"/>
            <w:vAlign w:val="bottom"/>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2,214</w:t>
            </w:r>
          </w:p>
        </w:tc>
      </w:tr>
      <w:tr>
        <w:trPr>
          <w:trHeight w:val="257"/>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4,246</w:t>
            </w:r>
          </w:p>
        </w:tc>
      </w:tr>
      <w:tr>
        <w:trPr>
          <w:trHeight w:val="257"/>
        </w:trPr>
        <w:tc>
          <w:tcPr>
            <w:tcW w:w="262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15,508</w:t>
            </w:r>
          </w:p>
        </w:tc>
      </w:tr>
      <w:tr>
        <w:trPr>
          <w:trHeight w:val="20"/>
        </w:trPr>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Leases</w:t>
      </w:r>
    </w:p>
    <w:p>
      <w:pPr>
        <w:spacing w:after="0" w:line="247"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We have operating leases for office facilities and finance leases for computer and office equipment. Our leases have remaining terms of less than one year to just over twelve years, some of which include one or more options to renew, with renewal terms up to five years and some of which include options to terminate the leases within the next two to five years. The ROU assets and liabilities at December 31, 2019 assume the option to early terminate one of our leases in 2021 and one of our leases in 2025.</w:t>
      </w:r>
    </w:p>
    <w:p>
      <w:pPr>
        <w:spacing w:after="0" w:line="20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August 2019, we took possession of the leased office space for our future headquarters in Columbia, Maryland. We recorded an initial ROU asset of $32.3 million and a lease liability of $32.0 million, with a lease term of 147 months. In November 2019, we amended this lease to increase square footage and modify the timing of future payments. Future lease payments related to this lease are $72.2 million and the lease payments are expected to commence in the second quarter of 2021.</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6,045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4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280"/>
              <w:spacing w:after="0"/>
              <w:rPr>
                <w:sz w:val="20"/>
                <w:szCs w:val="20"/>
                <w:color w:val="auto"/>
              </w:rPr>
            </w:pPr>
            <w:r>
              <w:rPr>
                <w:rFonts w:ascii="Arial" w:cs="Arial" w:eastAsia="Arial" w:hAnsi="Arial"/>
                <w:sz w:val="18"/>
                <w:szCs w:val="18"/>
                <w:color w:val="auto"/>
              </w:rPr>
              <w:t>Amortization of ROU assets</w:t>
            </w:r>
          </w:p>
        </w:tc>
        <w:tc>
          <w:tcPr>
            <w:tcW w:w="4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on lease liabilities</w:t>
            </w:r>
          </w:p>
        </w:tc>
        <w:tc>
          <w:tcPr>
            <w:tcW w:w="45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Total finance lease cost</w:t>
            </w:r>
          </w:p>
        </w:tc>
        <w:tc>
          <w:tcPr>
            <w:tcW w:w="4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500" w:type="dxa"/>
            <w:vAlign w:val="bottom"/>
            <w:vMerge w:val="restart"/>
          </w:tcPr>
          <w:p>
            <w:pPr>
              <w:jc w:val="right"/>
              <w:ind w:right="2630"/>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8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79" w:name="page80"/>
    <w:bookmarkEnd w:id="7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short-term leases in 2019 and 2018 was not material.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6"/>
                <w:szCs w:val="16"/>
                <w:color w:val="auto"/>
              </w:rPr>
            </w:pPr>
          </w:p>
        </w:tc>
        <w:tc>
          <w:tcPr>
            <w:tcW w:w="1320" w:type="dxa"/>
            <w:vAlign w:val="bottom"/>
            <w:gridSpan w:val="2"/>
          </w:tcPr>
          <w:p>
            <w:pPr>
              <w:jc w:val="right"/>
              <w:ind w:right="71"/>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85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2018</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leases</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3"/>
        </w:trPr>
        <w:tc>
          <w:tcPr>
            <w:tcW w:w="8580" w:type="dxa"/>
            <w:vAlign w:val="bottom"/>
          </w:tcPr>
          <w:p>
            <w:pPr>
              <w:ind w:left="280"/>
              <w:spacing w:after="0"/>
              <w:rPr>
                <w:sz w:val="20"/>
                <w:szCs w:val="20"/>
                <w:color w:val="auto"/>
              </w:rPr>
            </w:pPr>
            <w:r>
              <w:rPr>
                <w:rFonts w:ascii="Arial" w:cs="Arial" w:eastAsia="Arial" w:hAnsi="Arial"/>
                <w:sz w:val="18"/>
                <w:szCs w:val="18"/>
                <w:color w:val="auto"/>
              </w:rPr>
              <w:t>Weighted average remaining lease term</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4"/>
          </w:tcPr>
          <w:p>
            <w:pPr>
              <w:ind w:left="20"/>
              <w:spacing w:after="0"/>
              <w:rPr>
                <w:sz w:val="20"/>
                <w:szCs w:val="20"/>
                <w:color w:val="auto"/>
              </w:rPr>
            </w:pPr>
            <w:r>
              <w:rPr>
                <w:rFonts w:ascii="Arial" w:cs="Arial" w:eastAsia="Arial" w:hAnsi="Arial"/>
                <w:sz w:val="18"/>
                <w:szCs w:val="18"/>
                <w:color w:val="auto"/>
              </w:rPr>
              <w:t>10.0 years</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3.1 years</w:t>
            </w:r>
          </w:p>
        </w:tc>
      </w:tr>
      <w:tr>
        <w:trPr>
          <w:trHeight w:val="277"/>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discount rate</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7.1%</w:t>
            </w:r>
          </w:p>
        </w:tc>
      </w:tr>
      <w:tr>
        <w:trPr>
          <w:trHeight w:val="399"/>
        </w:trPr>
        <w:tc>
          <w:tcPr>
            <w:tcW w:w="8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ind w:left="200"/>
              <w:spacing w:after="0"/>
              <w:rPr>
                <w:sz w:val="20"/>
                <w:szCs w:val="20"/>
                <w:color w:val="auto"/>
              </w:rPr>
            </w:pPr>
            <w:r>
              <w:rPr>
                <w:rFonts w:ascii="Arial" w:cs="Arial" w:eastAsia="Arial" w:hAnsi="Arial"/>
                <w:sz w:val="16"/>
                <w:szCs w:val="16"/>
                <w:b w:val="1"/>
                <w:bCs w:val="1"/>
                <w:color w:val="auto"/>
              </w:rPr>
              <w:t>Year Ended December 31,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2018</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Operating cash payments for operating leases</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4,452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4,313</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cash payments for finance leases</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97"/>
        </w:trPr>
        <w:tc>
          <w:tcPr>
            <w:tcW w:w="8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3"/>
        </w:trPr>
        <w:tc>
          <w:tcPr>
            <w:tcW w:w="858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39,170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1,525</w:t>
            </w:r>
          </w:p>
        </w:tc>
      </w:tr>
      <w:tr>
        <w:trPr>
          <w:trHeight w:val="277"/>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648"/>
        </w:trPr>
        <w:tc>
          <w:tcPr>
            <w:tcW w:w="8580" w:type="dxa"/>
            <w:vAlign w:val="bottom"/>
          </w:tcPr>
          <w:p>
            <w:pPr>
              <w:ind w:left="340"/>
              <w:spacing w:after="0"/>
              <w:rPr>
                <w:sz w:val="20"/>
                <w:szCs w:val="20"/>
                <w:color w:val="auto"/>
              </w:rPr>
            </w:pPr>
            <w:r>
              <w:rPr>
                <w:rFonts w:ascii="Arial" w:cs="Arial" w:eastAsia="Arial" w:hAnsi="Arial"/>
                <w:sz w:val="18"/>
                <w:szCs w:val="18"/>
                <w:color w:val="auto"/>
              </w:rPr>
              <w:t>Maturities of operating lease liabilities at December 31, 2019 were as follows: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5"/>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50"/>
        </w:trPr>
        <w:tc>
          <w:tcPr>
            <w:tcW w:w="8580" w:type="dxa"/>
            <w:vAlign w:val="bottom"/>
          </w:tcPr>
          <w:p>
            <w:pPr>
              <w:ind w:left="4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ind w:right="99"/>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5,308</w:t>
            </w:r>
          </w:p>
        </w:tc>
      </w:tr>
      <w:tr>
        <w:trPr>
          <w:trHeight w:val="26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6,940</w:t>
            </w:r>
          </w:p>
        </w:tc>
      </w:tr>
      <w:tr>
        <w:trPr>
          <w:trHeight w:val="250"/>
        </w:trPr>
        <w:tc>
          <w:tcPr>
            <w:tcW w:w="8580" w:type="dxa"/>
            <w:vAlign w:val="bottom"/>
          </w:tcPr>
          <w:p>
            <w:pPr>
              <w:ind w:left="4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7,048</w:t>
            </w:r>
          </w:p>
        </w:tc>
      </w:tr>
      <w:tr>
        <w:trPr>
          <w:trHeight w:val="26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7,036</w:t>
            </w:r>
          </w:p>
        </w:tc>
      </w:tr>
      <w:tr>
        <w:trPr>
          <w:trHeight w:val="250"/>
        </w:trPr>
        <w:tc>
          <w:tcPr>
            <w:tcW w:w="8580" w:type="dxa"/>
            <w:vAlign w:val="bottom"/>
          </w:tcPr>
          <w:p>
            <w:pPr>
              <w:ind w:left="4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7,171</w:t>
            </w: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50,951</w:t>
            </w:r>
          </w:p>
        </w:tc>
      </w:tr>
      <w:tr>
        <w:trPr>
          <w:trHeight w:val="250"/>
        </w:trPr>
        <w:tc>
          <w:tcPr>
            <w:tcW w:w="8580" w:type="dxa"/>
            <w:vAlign w:val="bottom"/>
          </w:tcPr>
          <w:p>
            <w:pPr>
              <w:ind w:left="280"/>
              <w:spacing w:after="0"/>
              <w:rPr>
                <w:sz w:val="20"/>
                <w:szCs w:val="20"/>
                <w:color w:val="auto"/>
              </w:rPr>
            </w:pPr>
            <w:r>
              <w:rPr>
                <w:rFonts w:ascii="Arial" w:cs="Arial" w:eastAsia="Arial" w:hAnsi="Arial"/>
                <w:sz w:val="18"/>
                <w:szCs w:val="18"/>
                <w:color w:val="auto"/>
              </w:rPr>
              <w:t>Total lease payments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84,454</w:t>
            </w:r>
          </w:p>
        </w:tc>
      </w:tr>
      <w:tr>
        <w:trPr>
          <w:trHeight w:val="26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(24,077)</w:t>
            </w:r>
          </w:p>
        </w:tc>
      </w:tr>
      <w:tr>
        <w:trPr>
          <w:trHeight w:val="25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Tenant incentives</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w:t>
            </w: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45,872</w:t>
            </w:r>
          </w:p>
        </w:tc>
      </w:tr>
      <w:tr>
        <w:trPr>
          <w:trHeight w:val="20"/>
        </w:trPr>
        <w:tc>
          <w:tcPr>
            <w:tcW w:w="8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Debt</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May 4, 2017, we entered into a $25.0 million revolving credit facility (“Credit Facility”) with Silicon Valley Bank, which is available for use until May 4, 2020. The Credit Facility is intended to be used to fund working capital and to provide increased liquidity and financial flexibility and bears interest at either LIBOR plus 2%, or the lender's prime rate plus 1%. In addition, we pay quarterly in arrears 0.25% of the average unused portion. The Credit Facility is secured by a first priority security interest in all of our assets, with a negative pledge on our Intellectual Property, as defined in the credit agreement.</w:t>
      </w:r>
    </w:p>
    <w:p>
      <w:pPr>
        <w:spacing w:after="0" w:line="206"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 Credit Facility contains certain restrictive covenants customary for facilities of this type including restrictions on indebtedness, liens, acquisitions and investments, restricted payments and dispositions. If, as of the last day of any quarter, the outstanding balance of the Credit Facility exceeds $5.0 million, there are financial covenants that require us to maintain a minimum level of earnings before income taxes, interest, depreciation and amortization (“EBITDA”) adjusted to add changes in deferred revenue in the period, and a minimum current ratio level.</w:t>
      </w:r>
    </w:p>
    <w:p>
      <w:pPr>
        <w:spacing w:after="0" w:line="206"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There were no borrowings or letters of credit issued under the Credit Facility in 2019 or 2018. On January 9, 2020, we entered into a $2.5 million standby letter of credit ("Letter of Credit") for the security deposit on our new headquarters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140" w:right="239" w:bottom="1440" w:gutter="0" w:footer="0" w:header="0"/>
          <w:type w:val="continuous"/>
        </w:sectPr>
      </w:pPr>
    </w:p>
    <w:bookmarkStart w:id="80" w:name="page81"/>
    <w:bookmarkEnd w:id="8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lease. The Letter of Credit bears interest at 2% per annum and expires one year from the issue date, with automatic renewals for additional one year terms until the final expiration date of February 2032.</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Redeemable Convertible Preferred Stock and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October 2012, Tenable, Inc. (now a wholly owned subsidiary of Tenable Holdings, Inc.) issued 15,847,500 shares of Series A redeemable convertible preferred stock. In December 2015, we issued 15,847,500 shares, par value of $0.01, of Series A redeemable convertible preferred stock ("Series A") in exchange for Series A redeemable convertible preferred stock of Tenable, Inc. in connection with a recapitalization. This exchange was made on a one for one basis. In addition, we authorized 42,000,000 shares and issued 39,538,354 shares, par value of $ 0.01, of Series B redeemable convertible preferred stock ("Series B"). Upon completion of our IPO, Series A and Series B (together, the “Redeemable Convertible Preferred Stock”) automatically converted into an aggregate of 55,385,854 shares of our common stock.</w:t>
      </w:r>
    </w:p>
    <w:p>
      <w:pPr>
        <w:spacing w:after="0" w:line="207"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We accreted the Redeemable Convertible Preferred Stock to the redemption price at the redemption date using the effective interest method. Upon completion of our IPO, the accretion rights of the Redeemable Convertible Preferred Stock were terminated.</w:t>
      </w:r>
    </w:p>
    <w:p>
      <w:pPr>
        <w:spacing w:after="0" w:line="196" w:lineRule="exact"/>
        <w:rPr>
          <w:sz w:val="20"/>
          <w:szCs w:val="20"/>
          <w:color w:val="auto"/>
        </w:rPr>
      </w:pPr>
    </w:p>
    <w:p>
      <w:pPr>
        <w:ind w:right="740" w:firstLine="324"/>
        <w:spacing w:after="0" w:line="256" w:lineRule="auto"/>
        <w:rPr>
          <w:sz w:val="20"/>
          <w:szCs w:val="20"/>
          <w:color w:val="auto"/>
        </w:rPr>
      </w:pPr>
      <w:r>
        <w:rPr>
          <w:rFonts w:ascii="Arial" w:cs="Arial" w:eastAsia="Arial" w:hAnsi="Arial"/>
          <w:sz w:val="18"/>
          <w:szCs w:val="18"/>
          <w:color w:val="auto"/>
        </w:rPr>
        <w:t>Upon the completion of our IPO, we filed an Amended and Restated Certificate of Incorporation, authorizing a total of 500,000,000 shares of common stock and 10,000,000 shares of preferred stock. There were no shares of preferred stock issued or outstanding at December 31, 2019 or 2018.</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voting, dividend, and liquidation rights of common stockholders are subject to, and qualified by, the rights of preferred stockholders. The common stockholders are entitled to receive dividends when, as and if, declared by the Board of Directors, subject to preferential dividend rights of preferred stockholders. Upon dissolution or liquidation, our common stockholders will be entitled to receive all assets available for distribution to stockholders, subject to any preferential rights of preferred stockholders.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Stock-Based Compensation</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have various stock incentive plans under which we have issued stock-based awards. Stock options granted under our stock incentive plans have a maximum term of ten years, generally vest over a period of three to four years, and the exercise price cannot be less than the fair market value on the date of grant. RSUs granted under our stock incentive plans generally vest over a period of two to four years.</w:t>
      </w:r>
    </w:p>
    <w:p>
      <w:pPr>
        <w:spacing w:after="0" w:line="20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2018, our Board of Directors adopted, and our stockholders approved, our 2018 Equity Incentive Plan ("2018 Plan"). No additional grants were made under our other stock incentive plans, and any shares subject to stock options or other stock awards granted under our other plans that would have returned to such plan (such as upon the expiration or termination of a stock award prior to vesting) were added to, and are available for issuance under, our 2018 Plan. In addition, the number of shares of our common stock reserved for issuance under our 2018 Plan automatically increases on January 1 of each year through 2028, according to an evergreen provision. Due to this provision, we reserved an additional 4,656,320 shares of our common stock in January 2019. At December 31, 2019, there were 15,395,809 shares available for grant.</w:t>
      </w:r>
    </w:p>
    <w:p>
      <w:pPr>
        <w:spacing w:after="0" w:line="200" w:lineRule="exact"/>
        <w:rPr>
          <w:sz w:val="20"/>
          <w:szCs w:val="20"/>
          <w:color w:val="auto"/>
        </w:rPr>
      </w:pP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40" w:right="239" w:bottom="1440" w:gutter="0" w:footer="0" w:header="0"/>
        </w:sectPr>
      </w:pPr>
    </w:p>
    <w:bookmarkStart w:id="81" w:name="page82"/>
    <w:bookmarkEnd w:id="8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9"/>
                <w:szCs w:val="19"/>
                <w:color w:val="auto"/>
              </w:rPr>
            </w:pPr>
          </w:p>
        </w:tc>
      </w:tr>
      <w:tr>
        <w:trPr>
          <w:trHeight w:val="264"/>
        </w:trPr>
        <w:tc>
          <w:tcPr>
            <w:tcW w:w="69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257"/>
        </w:trPr>
        <w:tc>
          <w:tcPr>
            <w:tcW w:w="6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r>
      <w:tr>
        <w:trPr>
          <w:trHeight w:val="263"/>
        </w:trPr>
        <w:tc>
          <w:tcPr>
            <w:tcW w:w="69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16,032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1,579</w:t>
            </w:r>
          </w:p>
        </w:tc>
      </w:tr>
      <w:tr>
        <w:trPr>
          <w:trHeight w:val="277"/>
        </w:trPr>
        <w:tc>
          <w:tcPr>
            <w:tcW w:w="6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8,911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1,782</w:t>
            </w:r>
          </w:p>
        </w:tc>
      </w:tr>
      <w:tr>
        <w:trPr>
          <w:trHeight w:val="264"/>
        </w:trPr>
        <w:tc>
          <w:tcPr>
            <w:tcW w:w="6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15,683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4,118</w:t>
            </w:r>
          </w:p>
        </w:tc>
      </w:tr>
      <w:tr>
        <w:trPr>
          <w:trHeight w:val="257"/>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43,443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22,875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7,760</w:t>
            </w:r>
          </w:p>
        </w:tc>
      </w:tr>
      <w:tr>
        <w:trPr>
          <w:trHeight w:val="20"/>
        </w:trPr>
        <w:tc>
          <w:tcPr>
            <w:tcW w:w="6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At December 31, 2019, the total unrecognized stock-based compensation expense related to outstanding stock options was $24.3 million, which is expected to be recognized over an estimated remaining weighted average period of 2.1 years.</w:t>
      </w:r>
    </w:p>
    <w:p>
      <w:pPr>
        <w:spacing w:after="0" w:line="196"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At December 31, 2019, the unrecognized stock-based compensation expense related to unvested awards of restricted stock was $1.7 million, which is expected to be recognized over an estimated remaining period of 1.0 year.</w:t>
      </w:r>
    </w:p>
    <w:p>
      <w:pPr>
        <w:spacing w:after="0" w:line="196" w:lineRule="exact"/>
        <w:rPr>
          <w:sz w:val="20"/>
          <w:szCs w:val="20"/>
          <w:color w:val="auto"/>
        </w:rPr>
      </w:pPr>
    </w:p>
    <w:p>
      <w:pPr>
        <w:ind w:right="620" w:firstLine="324"/>
        <w:spacing w:after="0" w:line="262" w:lineRule="auto"/>
        <w:rPr>
          <w:sz w:val="20"/>
          <w:szCs w:val="20"/>
          <w:color w:val="auto"/>
        </w:rPr>
      </w:pPr>
      <w:r>
        <w:rPr>
          <w:rFonts w:ascii="Arial" w:cs="Arial" w:eastAsia="Arial" w:hAnsi="Arial"/>
          <w:sz w:val="18"/>
          <w:szCs w:val="18"/>
          <w:color w:val="auto"/>
        </w:rPr>
        <w:t>At December 31, 2019, the unrecognized stock-based compensation expense related to unvested RSUs was $59.4 million, which is expected to be recognized over an estimated remaining period of 3.1 years.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stock option activity for the periods presented is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Weighted-Average</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Weighted</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for per share data and</w:t>
            </w:r>
          </w:p>
        </w:tc>
        <w:tc>
          <w:tcPr>
            <w:tcW w:w="1800" w:type="dxa"/>
            <w:vAlign w:val="bottom"/>
          </w:tcPr>
          <w:p>
            <w:pPr>
              <w:jc w:val="right"/>
              <w:ind w:right="511"/>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Average</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 Term (in</w:t>
            </w:r>
          </w:p>
        </w:tc>
        <w:tc>
          <w:tcPr>
            <w:tcW w:w="200" w:type="dxa"/>
            <w:vAlign w:val="bottom"/>
          </w:tcPr>
          <w:p>
            <w:pPr>
              <w:spacing w:after="0"/>
              <w:rPr>
                <w:sz w:val="16"/>
                <w:szCs w:val="16"/>
                <w:color w:val="auto"/>
              </w:rPr>
            </w:pPr>
          </w:p>
        </w:tc>
        <w:tc>
          <w:tcPr>
            <w:tcW w:w="1680" w:type="dxa"/>
            <w:vAlign w:val="bottom"/>
          </w:tcPr>
          <w:p>
            <w:pPr>
              <w:jc w:val="right"/>
              <w:ind w:right="112"/>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228"/>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years)</w:t>
            </w:r>
          </w:p>
        </w:tc>
        <w:tc>
          <w:tcPr>
            <w:tcW w:w="18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9,336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15,374</w:t>
            </w:r>
          </w:p>
        </w:tc>
        <w:tc>
          <w:tcPr>
            <w:tcW w:w="0" w:type="dxa"/>
            <w:vAlign w:val="bottom"/>
          </w:tcPr>
          <w:p>
            <w:pPr>
              <w:spacing w:after="0"/>
              <w:rPr>
                <w:sz w:val="1"/>
                <w:szCs w:val="1"/>
                <w:color w:val="auto"/>
              </w:rPr>
            </w:pPr>
          </w:p>
        </w:tc>
      </w:tr>
      <w:tr>
        <w:trPr>
          <w:trHeight w:val="263"/>
        </w:trPr>
        <w:tc>
          <w:tcPr>
            <w:tcW w:w="37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9,022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7,667</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77,020</w:t>
            </w:r>
          </w:p>
        </w:tc>
        <w:tc>
          <w:tcPr>
            <w:tcW w:w="0" w:type="dxa"/>
            <w:vAlign w:val="bottom"/>
          </w:tcPr>
          <w:p>
            <w:pPr>
              <w:spacing w:after="0"/>
              <w:rPr>
                <w:sz w:val="1"/>
                <w:szCs w:val="1"/>
                <w:color w:val="auto"/>
              </w:rPr>
            </w:pPr>
          </w:p>
        </w:tc>
      </w:tr>
      <w:tr>
        <w:trPr>
          <w:trHeight w:val="263"/>
        </w:trPr>
        <w:tc>
          <w:tcPr>
            <w:tcW w:w="37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6,108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9,902</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19,219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277,114</w:t>
            </w:r>
          </w:p>
        </w:tc>
        <w:tc>
          <w:tcPr>
            <w:tcW w:w="0" w:type="dxa"/>
            <w:vAlign w:val="bottom"/>
          </w:tcPr>
          <w:p>
            <w:pPr>
              <w:spacing w:after="0"/>
              <w:rPr>
                <w:sz w:val="1"/>
                <w:szCs w:val="1"/>
                <w:color w:val="auto"/>
              </w:rPr>
            </w:pPr>
          </w:p>
        </w:tc>
      </w:tr>
      <w:tr>
        <w:trPr>
          <w:trHeight w:val="290"/>
        </w:trPr>
        <w:tc>
          <w:tcPr>
            <w:tcW w:w="37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98,378</w:t>
            </w:r>
          </w:p>
        </w:tc>
        <w:tc>
          <w:tcPr>
            <w:tcW w:w="0" w:type="dxa"/>
            <w:vAlign w:val="bottom"/>
          </w:tcPr>
          <w:p>
            <w:pPr>
              <w:spacing w:after="0"/>
              <w:rPr>
                <w:sz w:val="1"/>
                <w:szCs w:val="1"/>
                <w:color w:val="auto"/>
              </w:rPr>
            </w:pPr>
          </w:p>
        </w:tc>
      </w:tr>
      <w:tr>
        <w:trPr>
          <w:trHeight w:val="291"/>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12,939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201,608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vMerge w:val="restart"/>
          </w:tcPr>
          <w:p>
            <w:pPr>
              <w:jc w:val="right"/>
              <w:ind w:right="12"/>
              <w:spacing w:after="0"/>
              <w:rPr>
                <w:sz w:val="20"/>
                <w:szCs w:val="20"/>
                <w:color w:val="auto"/>
              </w:rPr>
            </w:pPr>
            <w:r>
              <w:rPr>
                <w:rFonts w:ascii="Arial" w:cs="Arial" w:eastAsia="Arial" w:hAnsi="Arial"/>
                <w:sz w:val="18"/>
                <w:szCs w:val="18"/>
                <w:color w:val="auto"/>
              </w:rPr>
              <w:t>116,016</w:t>
            </w:r>
          </w:p>
        </w:tc>
        <w:tc>
          <w:tcPr>
            <w:tcW w:w="0" w:type="dxa"/>
            <w:vAlign w:val="bottom"/>
          </w:tcPr>
          <w:p>
            <w:pPr>
              <w:spacing w:after="0" w:line="20" w:lineRule="exact"/>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Exercisable at December 31, 2019</w:t>
            </w:r>
          </w:p>
        </w:tc>
        <w:tc>
          <w:tcPr>
            <w:tcW w:w="1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0"/>
                <w:szCs w:val="20"/>
                <w:color w:val="auto"/>
              </w:rPr>
            </w:pPr>
          </w:p>
        </w:tc>
        <w:tc>
          <w:tcPr>
            <w:tcW w:w="1800" w:type="dxa"/>
            <w:vAlign w:val="bottom"/>
          </w:tcPr>
          <w:p>
            <w:pPr>
              <w:jc w:val="right"/>
              <w:ind w:right="67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2019, there were 12.9 million stock options outstanding that were vested and expected to vest.</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2018 and 2017, we granted stock options to employees that vest over three to four years and had a per share weighted average grant date fair value of $ 6.84 and $2.48, respectively. Estimating the fair value of stock options using the Black-Scholes option-pricing model requires assumptions as to the estimated term of the option, the risk-free interest rate, the expected volatility of the price of our common stock, the expected dividend yield, and the fair value of our underlying common stock prior to our IPO.</w:t>
      </w:r>
    </w:p>
    <w:p>
      <w:pPr>
        <w:spacing w:after="0" w:line="200" w:lineRule="exact"/>
        <w:rPr>
          <w:sz w:val="20"/>
          <w:szCs w:val="20"/>
          <w:color w:val="auto"/>
        </w:rPr>
      </w:pP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40" w:right="239" w:bottom="1440" w:gutter="0" w:footer="0" w:header="0"/>
        </w:sectPr>
      </w:pPr>
    </w:p>
    <w:bookmarkStart w:id="82" w:name="page83"/>
    <w:bookmarkEnd w:id="8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Following our IPO, we use the market price of our common stock at the date of grant. Prior to our IPO,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lack of an active public market for our common stock required an estimate of the fair value of the common stock for granting stock options and restricted shares, and for determining stock-based compensation expense. Contemporaneous third-party valuations were obtained to assist in determining the fair value of our common stock. The contemporaneous valuations were performed in accordance with applicable methodologies, approaches and assumptions of the technical practice-aid issued by the American Institute of Certified Public Accountants Practice Aid entitled </w:t>
      </w:r>
      <w:r>
        <w:rPr>
          <w:rFonts w:ascii="Arial" w:cs="Arial" w:eastAsia="Arial" w:hAnsi="Arial"/>
          <w:sz w:val="18"/>
          <w:szCs w:val="18"/>
          <w:i w:val="1"/>
          <w:iCs w:val="1"/>
          <w:color w:val="auto"/>
        </w:rPr>
        <w:t>Valuation of Privately-Held Company Equity Securities Issued as Compensation.</w:t>
      </w:r>
    </w:p>
    <w:p>
      <w:pPr>
        <w:spacing w:after="0" w:line="183"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This is the period of time that the options granted are expected to remain unexercised. We employ the simplified method to</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 the average expected term.</w:t>
      </w:r>
    </w:p>
    <w:p>
      <w:pPr>
        <w:spacing w:after="0" w:line="162"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Volatility is a measure of the amount by which a financial variable, such as a share price, has fluctuated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or is expected to fluctuate (expected volatility) during a period. As we do not yet have sufficient history of our own volatility, we have identified several public entities of similar size, complexity, and stage of development and estimate volatility based on the volatility of these companies.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This is the U.S. Treasury rate, having a term that most closely resembles the expected life of the stock option.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dividends and have no plans to do so in the foreseeable future.</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each stock option was estimated on the grant date based on the following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r>
      <w:tr>
        <w:trPr>
          <w:trHeight w:val="264"/>
        </w:trPr>
        <w:tc>
          <w:tcPr>
            <w:tcW w:w="3880" w:type="dxa"/>
            <w:vAlign w:val="bottom"/>
          </w:tcPr>
          <w:p>
            <w:pPr>
              <w:spacing w:after="0"/>
              <w:rPr>
                <w:sz w:val="22"/>
                <w:szCs w:val="22"/>
                <w:color w:val="auto"/>
              </w:rPr>
            </w:pPr>
          </w:p>
        </w:tc>
        <w:tc>
          <w:tcPr>
            <w:tcW w:w="5600" w:type="dxa"/>
            <w:vAlign w:val="bottom"/>
            <w:gridSpan w:val="3"/>
          </w:tcPr>
          <w:p>
            <w:pPr>
              <w:jc w:val="right"/>
              <w:ind w:right="6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1820" w:type="dxa"/>
            <w:vAlign w:val="bottom"/>
            <w:gridSpan w:val="3"/>
          </w:tcPr>
          <w:p>
            <w:pPr>
              <w:jc w:val="center"/>
              <w:spacing w:after="0"/>
              <w:rPr>
                <w:sz w:val="20"/>
                <w:szCs w:val="20"/>
                <w:color w:val="auto"/>
              </w:rPr>
            </w:pPr>
            <w:r>
              <w:rPr>
                <w:rFonts w:ascii="Arial" w:cs="Arial" w:eastAsia="Arial" w:hAnsi="Arial"/>
                <w:sz w:val="16"/>
                <w:szCs w:val="16"/>
                <w:b w:val="1"/>
                <w:bCs w:val="1"/>
                <w:color w:val="auto"/>
              </w:rPr>
              <w:t>2017</w:t>
            </w:r>
          </w:p>
        </w:tc>
      </w:tr>
      <w:tr>
        <w:trPr>
          <w:trHeight w:val="257"/>
        </w:trPr>
        <w:tc>
          <w:tcPr>
            <w:tcW w:w="3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378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95"/>
              </w:rPr>
              <w:t>6.3</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6.3</w:t>
            </w:r>
          </w:p>
        </w:tc>
        <w:tc>
          <w:tcPr>
            <w:tcW w:w="780" w:type="dxa"/>
            <w:vAlign w:val="bottom"/>
            <w:tcBorders>
              <w:top w:val="single" w:sz="8" w:color="auto"/>
            </w:tcBorders>
            <w:shd w:val="clear" w:color="auto" w:fill="CCEEFF"/>
          </w:tcPr>
          <w:p>
            <w:pPr>
              <w:spacing w:after="0"/>
              <w:rPr>
                <w:sz w:val="22"/>
                <w:szCs w:val="22"/>
                <w:color w:val="auto"/>
              </w:rPr>
            </w:pPr>
          </w:p>
        </w:tc>
      </w:tr>
      <w:tr>
        <w:trPr>
          <w:trHeight w:val="263"/>
        </w:trPr>
        <w:tc>
          <w:tcPr>
            <w:tcW w:w="38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 43.3%</w:t>
            </w:r>
          </w:p>
        </w:tc>
        <w:tc>
          <w:tcPr>
            <w:tcW w:w="780" w:type="dxa"/>
            <w:vAlign w:val="bottom"/>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0"/>
                <w:szCs w:val="20"/>
                <w:color w:val="auto"/>
              </w:rPr>
            </w:pPr>
            <w:r>
              <w:rPr>
                <w:rFonts w:ascii="Arial" w:cs="Arial" w:eastAsia="Arial" w:hAnsi="Arial"/>
                <w:sz w:val="18"/>
                <w:szCs w:val="18"/>
                <w:color w:val="auto"/>
              </w:rPr>
              <w:t>47.0%</w:t>
            </w:r>
          </w:p>
        </w:tc>
      </w:tr>
      <w:tr>
        <w:trPr>
          <w:trHeight w:val="27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2.9%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r>
      <w:tr>
        <w:trPr>
          <w:trHeight w:val="263"/>
        </w:trPr>
        <w:tc>
          <w:tcPr>
            <w:tcW w:w="38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2"/>
                <w:szCs w:val="22"/>
                <w:color w:val="auto"/>
              </w:rPr>
            </w:pPr>
          </w:p>
        </w:tc>
      </w:tr>
      <w:tr>
        <w:trPr>
          <w:trHeight w:val="27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forfeiture rate</w:t>
            </w:r>
          </w:p>
        </w:tc>
        <w:tc>
          <w:tcPr>
            <w:tcW w:w="37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24"/>
                <w:szCs w:val="24"/>
                <w:color w:val="auto"/>
              </w:rPr>
            </w:pPr>
          </w:p>
        </w:tc>
      </w:tr>
      <w:tr>
        <w:trPr>
          <w:trHeight w:val="864"/>
        </w:trPr>
        <w:tc>
          <w:tcPr>
            <w:tcW w:w="3880" w:type="dxa"/>
            <w:vAlign w:val="bottom"/>
          </w:tcPr>
          <w:p>
            <w:pPr>
              <w:spacing w:after="0"/>
              <w:rPr>
                <w:sz w:val="24"/>
                <w:szCs w:val="24"/>
                <w:color w:val="auto"/>
              </w:rPr>
            </w:pPr>
          </w:p>
        </w:tc>
        <w:tc>
          <w:tcPr>
            <w:tcW w:w="3780" w:type="dxa"/>
            <w:vAlign w:val="bottom"/>
          </w:tcPr>
          <w:p>
            <w:pPr>
              <w:jc w:val="right"/>
              <w:ind w:right="1592"/>
              <w:spacing w:after="0"/>
              <w:rPr>
                <w:sz w:val="20"/>
                <w:szCs w:val="20"/>
                <w:color w:val="auto"/>
              </w:rPr>
            </w:pPr>
            <w:r>
              <w:rPr>
                <w:rFonts w:ascii="Arial" w:cs="Arial" w:eastAsia="Arial" w:hAnsi="Arial"/>
                <w:sz w:val="18"/>
                <w:szCs w:val="18"/>
                <w:color w:val="auto"/>
              </w:rPr>
              <w:t>83</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83" w:name="page84"/>
    <w:bookmarkEnd w:id="8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restricted stock and RSU activity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0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Pr>
          <w:p>
            <w:pPr>
              <w:spacing w:after="0"/>
              <w:rPr>
                <w:sz w:val="19"/>
                <w:szCs w:val="19"/>
                <w:color w:val="auto"/>
              </w:rPr>
            </w:pPr>
          </w:p>
        </w:tc>
        <w:tc>
          <w:tcPr>
            <w:tcW w:w="30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2"/>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Average</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2"/>
              <w:spacing w:after="0"/>
              <w:rPr>
                <w:sz w:val="20"/>
                <w:szCs w:val="20"/>
                <w:color w:val="auto"/>
              </w:rPr>
            </w:pPr>
            <w:r>
              <w:rPr>
                <w:rFonts w:ascii="Arial" w:cs="Arial" w:eastAsia="Arial" w:hAnsi="Arial"/>
                <w:sz w:val="16"/>
                <w:szCs w:val="16"/>
                <w:b w:val="1"/>
                <w:bCs w:val="1"/>
                <w:color w:val="auto"/>
              </w:rPr>
              <w:t>Average</w:t>
            </w:r>
          </w:p>
        </w:tc>
      </w:tr>
      <w:tr>
        <w:trPr>
          <w:trHeight w:val="189"/>
        </w:trPr>
        <w:tc>
          <w:tcPr>
            <w:tcW w:w="5160" w:type="dxa"/>
            <w:vAlign w:val="bottom"/>
          </w:tcPr>
          <w:p>
            <w:pPr>
              <w:spacing w:after="0"/>
              <w:rPr>
                <w:sz w:val="16"/>
                <w:szCs w:val="16"/>
                <w:color w:val="auto"/>
              </w:rPr>
            </w:pPr>
          </w:p>
        </w:tc>
        <w:tc>
          <w:tcPr>
            <w:tcW w:w="1740" w:type="dxa"/>
            <w:vAlign w:val="bottom"/>
            <w:gridSpan w:val="3"/>
          </w:tcPr>
          <w:p>
            <w:pPr>
              <w:ind w:left="440"/>
              <w:spacing w:after="0"/>
              <w:rPr>
                <w:sz w:val="20"/>
                <w:szCs w:val="20"/>
                <w:color w:val="auto"/>
              </w:rPr>
            </w:pPr>
            <w:r>
              <w:rPr>
                <w:rFonts w:ascii="Arial" w:cs="Arial" w:eastAsia="Arial" w:hAnsi="Arial"/>
                <w:sz w:val="16"/>
                <w:szCs w:val="16"/>
                <w:b w:val="1"/>
                <w:bCs w:val="1"/>
                <w:color w:val="auto"/>
              </w:rPr>
              <w:t>Number</w:t>
            </w: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Grant Date Fair</w:t>
            </w:r>
          </w:p>
        </w:tc>
        <w:tc>
          <w:tcPr>
            <w:tcW w:w="1720" w:type="dxa"/>
            <w:vAlign w:val="bottom"/>
            <w:gridSpan w:val="3"/>
          </w:tcPr>
          <w:p>
            <w:pPr>
              <w:ind w:left="420"/>
              <w:spacing w:after="0"/>
              <w:rPr>
                <w:sz w:val="20"/>
                <w:szCs w:val="20"/>
                <w:color w:val="auto"/>
              </w:rPr>
            </w:pPr>
            <w:r>
              <w:rPr>
                <w:rFonts w:ascii="Arial" w:cs="Arial" w:eastAsia="Arial" w:hAnsi="Arial"/>
                <w:sz w:val="16"/>
                <w:szCs w:val="16"/>
                <w:b w:val="1"/>
                <w:bCs w:val="1"/>
                <w:color w:val="auto"/>
              </w:rPr>
              <w:t>Number</w:t>
            </w:r>
          </w:p>
        </w:tc>
        <w:tc>
          <w:tcPr>
            <w:tcW w:w="1340" w:type="dxa"/>
            <w:vAlign w:val="bottom"/>
          </w:tcPr>
          <w:p>
            <w:pPr>
              <w:jc w:val="center"/>
              <w:ind w:right="52"/>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data and years)</w:t>
            </w:r>
          </w:p>
        </w:tc>
        <w:tc>
          <w:tcPr>
            <w:tcW w:w="15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8"/>
              </w:rPr>
              <w:t>Value</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2016</w:t>
            </w:r>
          </w:p>
        </w:tc>
        <w:tc>
          <w:tcPr>
            <w:tcW w:w="174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2"/>
                <w:szCs w:val="22"/>
                <w:color w:val="auto"/>
              </w:rPr>
            </w:pP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spacing w:after="0"/>
              <w:rPr>
                <w:sz w:val="22"/>
                <w:szCs w:val="22"/>
                <w:color w:val="auto"/>
              </w:rPr>
            </w:pPr>
          </w:p>
        </w:tc>
        <w:tc>
          <w:tcPr>
            <w:tcW w:w="14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spacing w:after="0"/>
              <w:rPr>
                <w:sz w:val="22"/>
                <w:szCs w:val="22"/>
                <w:color w:val="auto"/>
              </w:rPr>
            </w:pPr>
          </w:p>
        </w:tc>
        <w:tc>
          <w:tcPr>
            <w:tcW w:w="134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2017</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18.75</w:t>
            </w:r>
          </w:p>
        </w:tc>
      </w:tr>
      <w:tr>
        <w:trPr>
          <w:trHeight w:val="277"/>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16.27</w:t>
            </w: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2018</w:t>
            </w:r>
          </w:p>
        </w:tc>
        <w:tc>
          <w:tcPr>
            <w:tcW w:w="15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w:t>
            </w:r>
          </w:p>
        </w:tc>
      </w:tr>
      <w:tr>
        <w:trPr>
          <w:trHeight w:val="263"/>
        </w:trPr>
        <w:tc>
          <w:tcPr>
            <w:tcW w:w="5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27.81</w:t>
            </w:r>
          </w:p>
        </w:tc>
      </w:tr>
      <w:tr>
        <w:trPr>
          <w:trHeight w:val="277"/>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18.28</w:t>
            </w:r>
          </w:p>
        </w:tc>
      </w:tr>
      <w:tr>
        <w:trPr>
          <w:trHeight w:val="264"/>
        </w:trPr>
        <w:tc>
          <w:tcPr>
            <w:tcW w:w="51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25.21</w:t>
            </w:r>
          </w:p>
        </w:tc>
      </w:tr>
      <w:tr>
        <w:trPr>
          <w:trHeight w:val="25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2019</w:t>
            </w:r>
          </w:p>
        </w:tc>
        <w:tc>
          <w:tcPr>
            <w:tcW w:w="15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CCEEFF"/>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2,894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CCEEFF"/>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80" w:firstLine="324"/>
        <w:spacing w:after="0" w:line="278" w:lineRule="auto"/>
        <w:rPr>
          <w:sz w:val="20"/>
          <w:szCs w:val="20"/>
          <w:color w:val="auto"/>
        </w:rPr>
      </w:pPr>
      <w:r>
        <w:rPr>
          <w:rFonts w:ascii="Arial" w:cs="Arial" w:eastAsia="Arial" w:hAnsi="Arial"/>
          <w:sz w:val="17"/>
          <w:szCs w:val="17"/>
          <w:color w:val="auto"/>
        </w:rPr>
        <w:t>The grant date fair value was based on the estimated fair value of our common stock on the date of grant. RSUs granted before July 30, 2018 vest upon the satisfaction of both service-based and performance-based vesting conditions. The performance-based condition was satisfied upon the completion of our IPO. RSUs granted after July 30, 2018 vest upon the satisfaction of a service-based vesting condition.</w:t>
      </w:r>
    </w:p>
    <w:p>
      <w:pPr>
        <w:spacing w:after="0" w:line="185"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Compensation expense for restricted stock and RSUs is recognized on a straight-line basis over the requisite service period, with the exception of RSUs that include performance-based vesting conditions, which are expensed using the accelerated attribution method.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2018, our board of directors adopted, and our stockholders approved, our 2018 ESPP. The number of shares of common stock reserved for issuance under our 2018 ESPP automatically increases on January 1 of each year through 2028 according to an evergreen provision. Due to this provision, we reserved an additional 1,396,896 shares of our common stock in January 2019. At December 31, 2019, there were 4,620,087 shares available for grant.</w:t>
      </w:r>
    </w:p>
    <w:p>
      <w:pPr>
        <w:spacing w:after="0" w:line="204"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18"/>
          <w:szCs w:val="18"/>
          <w:color w:val="auto"/>
        </w:rPr>
        <w:t>Under our 2018 ESPP, employees may set aside up to 15% of their gross earnings, on an after-tax basis, to purchase our common stock at a discounted price, which is calculated at 85% of the lower of the fair market value of our common stock on the first day of an offering or on the date of purchase. The 2018 ESPP permits offerings up to 27 months in duration, with one or more purchase periods in each offering.</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Additionally, in cases where the fair market value of a share of our common stock on the first day of a new purchase period within an offering is less than or equal to the fair market value of a share of our common stock at the beginning of the offering, that offering will be terminated and participants will be automatically enrolled in a new offering with a new 24-month duration with purchase periods every six months.</w:t>
      </w:r>
    </w:p>
    <w:p>
      <w:pPr>
        <w:spacing w:after="0" w:line="202"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In 2019, employees purchased 776,809 shares of our common stock at a weighted average price of $19.48 per share, resulting in cash proceeds to us of $15.1 million.</w:t>
      </w:r>
    </w:p>
    <w:p>
      <w:pPr>
        <w:spacing w:after="0" w:line="196"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At December 31, 2019, there was $5.4 million of employee contributions to the 2018 ESPP included in accrued compensation. The unrecognized stock-based compensation expense related to our 2018 ESPP was $8.5 million, which is expected to be recognized over the remaining offering period of 1.7 years.</w:t>
      </w:r>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40" w:right="239" w:bottom="1440" w:gutter="0" w:footer="0" w:header="0"/>
        </w:sectPr>
      </w:pPr>
    </w:p>
    <w:bookmarkStart w:id="84" w:name="page85"/>
    <w:bookmarkEnd w:id="8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The fair value of the 2018 ESPP purchase rights was estimated on the offering or modification dates using a Black-Scholes option-pricing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r>
      <w:tr>
        <w:trPr>
          <w:trHeight w:val="264"/>
        </w:trPr>
        <w:tc>
          <w:tcPr>
            <w:tcW w:w="7440" w:type="dxa"/>
            <w:vAlign w:val="bottom"/>
          </w:tcPr>
          <w:p>
            <w:pPr>
              <w:spacing w:after="0"/>
              <w:rPr>
                <w:sz w:val="22"/>
                <w:szCs w:val="22"/>
                <w:color w:val="auto"/>
              </w:rPr>
            </w:pPr>
          </w:p>
        </w:tc>
        <w:tc>
          <w:tcPr>
            <w:tcW w:w="1940" w:type="dxa"/>
            <w:vAlign w:val="bottom"/>
            <w:tcBorders>
              <w:bottom w:val="single" w:sz="8" w:color="auto"/>
            </w:tcBorders>
            <w:gridSpan w:val="2"/>
          </w:tcPr>
          <w:p>
            <w:pPr>
              <w:jc w:val="right"/>
              <w:ind w:right="7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2018</w:t>
            </w:r>
          </w:p>
        </w:tc>
      </w:tr>
      <w:tr>
        <w:trPr>
          <w:trHeight w:val="250"/>
        </w:trPr>
        <w:tc>
          <w:tcPr>
            <w:tcW w:w="74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 2.0</w:t>
            </w: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40"/>
              <w:spacing w:after="0"/>
              <w:rPr>
                <w:sz w:val="20"/>
                <w:szCs w:val="20"/>
                <w:color w:val="auto"/>
              </w:rPr>
            </w:pPr>
            <w:r>
              <w:rPr>
                <w:rFonts w:ascii="Arial" w:cs="Arial" w:eastAsia="Arial" w:hAnsi="Arial"/>
                <w:sz w:val="18"/>
                <w:szCs w:val="18"/>
                <w:color w:val="auto"/>
              </w:rPr>
              <w:t>2.1</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44.6%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33.5%</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 2.5%</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40"/>
              <w:spacing w:after="0"/>
              <w:rPr>
                <w:sz w:val="20"/>
                <w:szCs w:val="20"/>
                <w:color w:val="auto"/>
              </w:rPr>
            </w:pPr>
            <w:r>
              <w:rPr>
                <w:rFonts w:ascii="Arial" w:cs="Arial" w:eastAsia="Arial" w:hAnsi="Arial"/>
                <w:sz w:val="18"/>
                <w:szCs w:val="18"/>
                <w:color w:val="auto"/>
              </w:rPr>
              <w:t>2.7%</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8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 attributable to common</w:t>
            </w:r>
          </w:p>
        </w:tc>
        <w:tc>
          <w:tcPr>
            <w:tcW w:w="3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96,014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53,669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22,211</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stockholders, basic and diluted</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10"/>
          </w:tcPr>
          <w:p>
            <w:pPr>
              <w:jc w:val="center"/>
              <w:ind w:left="673"/>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12,939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19,219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14,573</w:t>
            </w:r>
          </w:p>
        </w:tc>
        <w:tc>
          <w:tcPr>
            <w:tcW w:w="0" w:type="dxa"/>
            <w:vAlign w:val="bottom"/>
          </w:tcPr>
          <w:p>
            <w:pPr>
              <w:spacing w:after="0"/>
              <w:rPr>
                <w:sz w:val="1"/>
                <w:szCs w:val="1"/>
                <w:color w:val="auto"/>
              </w:rPr>
            </w:pPr>
          </w:p>
        </w:tc>
      </w:tr>
      <w:tr>
        <w:trPr>
          <w:trHeight w:val="26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28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2,894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6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Shares to be issued under the 2018 ESPP</w:t>
            </w:r>
          </w:p>
        </w:tc>
        <w:tc>
          <w:tcPr>
            <w:tcW w:w="28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55,386</w:t>
            </w:r>
          </w:p>
        </w:tc>
        <w:tc>
          <w:tcPr>
            <w:tcW w:w="0" w:type="dxa"/>
            <w:vAlign w:val="bottom"/>
          </w:tcPr>
          <w:p>
            <w:pPr>
              <w:spacing w:after="0"/>
              <w:rPr>
                <w:sz w:val="1"/>
                <w:szCs w:val="1"/>
                <w:color w:val="auto"/>
              </w:rPr>
            </w:pPr>
          </w:p>
        </w:tc>
      </w:tr>
      <w:tr>
        <w:trPr>
          <w:trHeight w:val="257"/>
        </w:trPr>
        <w:tc>
          <w:tcPr>
            <w:tcW w:w="71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16,606</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21,558</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71,542</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11. Income Taxes</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ind w:left="340"/>
              <w:spacing w:after="0"/>
              <w:rPr>
                <w:sz w:val="20"/>
                <w:szCs w:val="20"/>
                <w:color w:val="auto"/>
              </w:rPr>
            </w:pPr>
            <w:r>
              <w:rPr>
                <w:rFonts w:ascii="Arial" w:cs="Arial" w:eastAsia="Arial" w:hAnsi="Arial"/>
                <w:sz w:val="18"/>
                <w:szCs w:val="18"/>
                <w:color w:val="auto"/>
              </w:rPr>
              <w:t>U.S. and international components of loss before income taxes were as follows: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0"/>
          </w:tcPr>
          <w:p>
            <w:pPr>
              <w:jc w:val="center"/>
              <w:ind w:left="633"/>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52"/>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(loss)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(21,644)</w:t>
            </w:r>
          </w:p>
        </w:tc>
        <w:tc>
          <w:tcPr>
            <w:tcW w:w="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1,429</w:t>
            </w:r>
          </w:p>
        </w:tc>
        <w:tc>
          <w:tcPr>
            <w:tcW w:w="2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(29,357)</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loss</w:t>
            </w: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(64,005)</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loss before income taxes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(85,649)</w:t>
            </w:r>
          </w:p>
        </w:tc>
        <w:tc>
          <w:tcPr>
            <w:tcW w:w="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(71,157)</w:t>
            </w:r>
          </w:p>
        </w:tc>
        <w:tc>
          <w:tcPr>
            <w:tcW w:w="2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5780"/>
              <w:spacing w:after="0"/>
              <w:rPr>
                <w:sz w:val="20"/>
                <w:szCs w:val="20"/>
                <w:color w:val="auto"/>
              </w:rPr>
            </w:pPr>
            <w:r>
              <w:rPr>
                <w:rFonts w:ascii="Arial" w:cs="Arial" w:eastAsia="Arial" w:hAnsi="Arial"/>
                <w:sz w:val="18"/>
                <w:szCs w:val="18"/>
                <w:color w:val="auto"/>
              </w:rPr>
              <w:t>85</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85" w:name="page86"/>
    <w:bookmarkEnd w:id="8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for income taxes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140</w:t>
            </w: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9,245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2,306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898</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tax expense</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9,121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1,044</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4,243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50"/>
        </w:trPr>
        <w:tc>
          <w:tcPr>
            <w:tcW w:w="7080" w:type="dxa"/>
            <w:vAlign w:val="bottom"/>
          </w:tcPr>
          <w:p>
            <w:pPr>
              <w:ind w:left="40"/>
              <w:spacing w:after="0"/>
              <w:rPr>
                <w:sz w:val="20"/>
                <w:szCs w:val="20"/>
                <w:color w:val="auto"/>
              </w:rPr>
            </w:pPr>
            <w:r>
              <w:rPr>
                <w:rFonts w:ascii="Arial" w:cs="Arial" w:eastAsia="Arial" w:hAnsi="Arial"/>
                <w:sz w:val="18"/>
                <w:szCs w:val="18"/>
                <w:color w:val="auto"/>
              </w:rPr>
              <w:t>Total deferred tax expense (benefit)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57"/>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for income taxes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13,364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The items accounting for the difference between income taxes computed at the federal statutory rate and our effective tax rate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tcPr>
          <w:p>
            <w:pPr>
              <w:spacing w:after="0"/>
              <w:rPr>
                <w:sz w:val="19"/>
                <w:szCs w:val="19"/>
                <w:color w:val="auto"/>
              </w:rPr>
            </w:pPr>
          </w:p>
        </w:tc>
        <w:tc>
          <w:tcPr>
            <w:tcW w:w="3520" w:type="dxa"/>
            <w:vAlign w:val="bottom"/>
            <w:tcBorders>
              <w:bottom w:val="single" w:sz="8" w:color="auto"/>
            </w:tcBorders>
            <w:gridSpan w:val="5"/>
          </w:tcPr>
          <w:p>
            <w:pPr>
              <w:ind w:left="134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2017</w:t>
            </w:r>
          </w:p>
        </w:tc>
      </w:tr>
      <w:tr>
        <w:trPr>
          <w:trHeight w:val="257"/>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63"/>
        </w:trPr>
        <w:tc>
          <w:tcPr>
            <w:tcW w:w="6780" w:type="dxa"/>
            <w:vAlign w:val="bottom"/>
          </w:tcPr>
          <w:p>
            <w:pPr>
              <w:ind w:left="40"/>
              <w:spacing w:after="0"/>
              <w:rPr>
                <w:sz w:val="20"/>
                <w:szCs w:val="20"/>
                <w:color w:val="auto"/>
              </w:rPr>
            </w:pPr>
            <w:r>
              <w:rPr>
                <w:rFonts w:ascii="Arial" w:cs="Arial" w:eastAsia="Arial" w:hAnsi="Arial"/>
                <w:sz w:val="18"/>
                <w:szCs w:val="18"/>
                <w:color w:val="auto"/>
              </w:rPr>
              <w:t>State and local taxes</w:t>
            </w:r>
          </w:p>
        </w:tc>
        <w:tc>
          <w:tcPr>
            <w:tcW w:w="1480" w:type="dxa"/>
            <w:vAlign w:val="bottom"/>
          </w:tcPr>
          <w:p>
            <w:pPr>
              <w:jc w:val="right"/>
              <w:ind w:right="17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2.4</w:t>
            </w:r>
          </w:p>
        </w:tc>
      </w:tr>
      <w:tr>
        <w:trPr>
          <w:trHeight w:val="277"/>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w:t>
            </w:r>
          </w:p>
        </w:tc>
        <w:tc>
          <w:tcPr>
            <w:tcW w:w="1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w:t>
            </w:r>
          </w:p>
        </w:tc>
      </w:tr>
      <w:tr>
        <w:trPr>
          <w:trHeight w:val="263"/>
        </w:trPr>
        <w:tc>
          <w:tcPr>
            <w:tcW w:w="67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480" w:type="dxa"/>
            <w:vAlign w:val="bottom"/>
          </w:tcPr>
          <w:p>
            <w:pPr>
              <w:jc w:val="right"/>
              <w:ind w:right="17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1480" w:type="dxa"/>
            <w:vAlign w:val="bottom"/>
          </w:tcPr>
          <w:p>
            <w:pPr>
              <w:jc w:val="right"/>
              <w:ind w:right="17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7"/>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(0.2)</w:t>
            </w:r>
          </w:p>
        </w:tc>
      </w:tr>
      <w:tr>
        <w:trPr>
          <w:trHeight w:val="263"/>
        </w:trPr>
        <w:tc>
          <w:tcPr>
            <w:tcW w:w="6780" w:type="dxa"/>
            <w:vAlign w:val="bottom"/>
          </w:tcPr>
          <w:p>
            <w:pPr>
              <w:ind w:left="40"/>
              <w:spacing w:after="0"/>
              <w:rPr>
                <w:sz w:val="20"/>
                <w:szCs w:val="20"/>
                <w:color w:val="auto"/>
              </w:rPr>
            </w:pPr>
            <w:r>
              <w:rPr>
                <w:rFonts w:ascii="Arial" w:cs="Arial" w:eastAsia="Arial" w:hAnsi="Arial"/>
                <w:sz w:val="18"/>
                <w:szCs w:val="18"/>
                <w:color w:val="auto"/>
              </w:rPr>
              <w:t>Foreign tax rate differential</w:t>
            </w: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(4.0)</w:t>
            </w:r>
          </w:p>
        </w:tc>
      </w:tr>
      <w:tr>
        <w:trPr>
          <w:trHeight w:val="277"/>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2.7</w:t>
            </w:r>
          </w:p>
        </w:tc>
      </w:tr>
      <w:tr>
        <w:trPr>
          <w:trHeight w:val="263"/>
        </w:trPr>
        <w:tc>
          <w:tcPr>
            <w:tcW w:w="6780" w:type="dxa"/>
            <w:vAlign w:val="bottom"/>
          </w:tcPr>
          <w:p>
            <w:pPr>
              <w:ind w:left="40"/>
              <w:spacing w:after="0"/>
              <w:rPr>
                <w:sz w:val="20"/>
                <w:szCs w:val="20"/>
                <w:color w:val="auto"/>
              </w:rPr>
            </w:pPr>
            <w:r>
              <w:rPr>
                <w:rFonts w:ascii="Arial" w:cs="Arial" w:eastAsia="Arial" w:hAnsi="Arial"/>
                <w:sz w:val="18"/>
                <w:szCs w:val="18"/>
                <w:color w:val="auto"/>
              </w:rPr>
              <w:t>Gain on sale of intellectual property</w:t>
            </w: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7"/>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Transition tax</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w:t>
            </w:r>
          </w:p>
        </w:tc>
      </w:tr>
      <w:tr>
        <w:trPr>
          <w:trHeight w:val="263"/>
        </w:trPr>
        <w:tc>
          <w:tcPr>
            <w:tcW w:w="6780" w:type="dxa"/>
            <w:vAlign w:val="bottom"/>
          </w:tcPr>
          <w:p>
            <w:pPr>
              <w:ind w:left="40"/>
              <w:spacing w:after="0"/>
              <w:rPr>
                <w:sz w:val="20"/>
                <w:szCs w:val="20"/>
                <w:color w:val="auto"/>
              </w:rPr>
            </w:pPr>
            <w:r>
              <w:rPr>
                <w:rFonts w:ascii="Arial" w:cs="Arial" w:eastAsia="Arial" w:hAnsi="Arial"/>
                <w:sz w:val="18"/>
                <w:szCs w:val="18"/>
                <w:color w:val="auto"/>
              </w:rPr>
              <w:t>Revaluation of U.S. deferred income taxes</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(34.5)</w:t>
            </w:r>
          </w:p>
        </w:tc>
      </w:tr>
      <w:tr>
        <w:trPr>
          <w:trHeight w:val="270"/>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w:t>
            </w:r>
          </w:p>
        </w:tc>
      </w:tr>
      <w:tr>
        <w:trPr>
          <w:trHeight w:val="257"/>
        </w:trPr>
        <w:tc>
          <w:tcPr>
            <w:tcW w:w="678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6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maintain a valuation allowance on U.S. federal, state and foreign net deferred tax assets as the realization of our deferred tax assets is dependent upon future earnings, if any, the timing and amount of which are uncertain.</w:t>
      </w: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40" w:right="239" w:bottom="1440" w:gutter="0" w:footer="0" w:header="0"/>
        </w:sectPr>
      </w:pPr>
    </w:p>
    <w:bookmarkStart w:id="86" w:name="page87"/>
    <w:bookmarkEnd w:id="8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deferred tax assets and liabilities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9"/>
                <w:szCs w:val="19"/>
                <w:color w:val="auto"/>
              </w:rPr>
            </w:pP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Deferred tax assets: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65,494</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32,745</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13,891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16,488</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10,032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5,581</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7,585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5,320</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10,451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2,436</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r>
      <w:tr>
        <w:trPr>
          <w:trHeight w:val="264"/>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r>
      <w:tr>
        <w:trPr>
          <w:trHeight w:val="25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108,634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63,335</w:t>
            </w:r>
          </w:p>
        </w:tc>
      </w:tr>
      <w:tr>
        <w:trPr>
          <w:trHeight w:val="264"/>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(82,237)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(47,266)</w:t>
            </w:r>
          </w:p>
        </w:tc>
      </w:tr>
      <w:tr>
        <w:trPr>
          <w:trHeight w:val="25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26,397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16,069</w:t>
            </w:r>
          </w:p>
        </w:tc>
      </w:tr>
      <w:tr>
        <w:trPr>
          <w:trHeight w:val="260"/>
        </w:trPr>
        <w:tc>
          <w:tcPr>
            <w:tcW w:w="8560" w:type="dxa"/>
            <w:vAlign w:val="bottom"/>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commissions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(10,086)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(2,166)</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64"/>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5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(26,397)</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(16,069)</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8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2019, we had net operating loss (“NOL”) carryforwards for federal, state and foreign tax purposes of $186.0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$132.0 million, and $163.6 million, respectively, which will begin to expire in 2030, as well as $10.1 million of federal, state and foreign research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tax credits, foreign tax credits, minimum tax credits and certain states’ job creation tax credits. The federal research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and foreign tax credits will begin to expire in 2032 and the state job creation tax credits will begin to expire in 2020.</w:t>
      </w:r>
    </w:p>
    <w:p>
      <w:pPr>
        <w:spacing w:after="0" w:line="225"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In December 2019, we sold acquired intellectual property through an intercompany transaction, which resulted in $6.3 million of current tax expense and $4.2 million of deferred tax expense in Israel.</w:t>
      </w:r>
    </w:p>
    <w:p>
      <w:pPr>
        <w:spacing w:after="0" w:line="196"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In 2018, we recorded a deferred tax asset of $1.7 million related to our operating lease liability and recorded a deferred tax liability of $1.7 million related to our operating lease right-of-use asset due to the adoption of ASU 842. In connection with our IPO, we recorded a $1.9 million increase in our valuation allowance related to certain transaction costs.</w:t>
      </w:r>
    </w:p>
    <w:p>
      <w:pPr>
        <w:spacing w:after="0" w:line="20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currently subject to the annual limitation under Sections 382 and 383 of the Internal Revenue Code. We will not be precluded from realizing the NOL carryforward and tax credits but may be limited in the amount we could utilize in any given tax year in the event that the federal and state taxable income will exceed the limitation imposed by Section 382. The amount of the annual limitation is determined based on our value immediately prior to the ownership change. Subsequent ownership changes may further affect the limitation in future years.</w:t>
      </w:r>
    </w:p>
    <w:p>
      <w:pPr>
        <w:spacing w:after="0" w:line="20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At December 31, 2019 and 2018, the total amount of gross unrecognized tax benefits was $7.2 million and $4.8 million, respectively, which, if recognized, would impact our effective tax rate by less than $0.1 million in each year. Interest and penalties associated with uncertain tax positions recognized as a component of income tax expense were immaterial in 2019, 2018 and 2017.</w:t>
      </w:r>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40" w:right="239" w:bottom="1440" w:gutter="0" w:footer="0" w:header="0"/>
        </w:sectPr>
      </w:pPr>
    </w:p>
    <w:bookmarkStart w:id="87" w:name="page88"/>
    <w:bookmarkEnd w:id="8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gross unrecognized tax benefits, excluding accrued interest,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benefits at the beginning of the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4,814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736</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Additions for tax positions in the current year</w:t>
            </w: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446</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in prior year positions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Decrease in prior year positions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Unrecognized tax benefits at the end of the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7,163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1,199</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80" w:firstLine="324"/>
        <w:spacing w:after="0" w:line="256" w:lineRule="auto"/>
        <w:rPr>
          <w:sz w:val="20"/>
          <w:szCs w:val="20"/>
          <w:color w:val="auto"/>
        </w:rPr>
      </w:pPr>
      <w:r>
        <w:rPr>
          <w:rFonts w:ascii="Arial" w:cs="Arial" w:eastAsia="Arial" w:hAnsi="Arial"/>
          <w:sz w:val="18"/>
          <w:szCs w:val="18"/>
          <w:color w:val="auto"/>
        </w:rPr>
        <w:t>We file income tax returns in the United States, including various state jurisdictions. Our subsidiaries file income tax returns in various foreign jurisdictions. Tax years after 2014 remain open to examination by the major taxing jurisdictions in which we are subject to tax. At December 31, 2019, we were not under examination by the Internal Revenue Service or any state or foreign tax jurisdiction.</w:t>
      </w:r>
    </w:p>
    <w:p>
      <w:pPr>
        <w:spacing w:after="0" w:line="202"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 It is not practicable for us to determine the amount of unrecognized tax expense on these reinvested international earnings.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Geographic Information</w:t>
      </w:r>
    </w:p>
    <w:p>
      <w:pPr>
        <w:spacing w:after="0" w:line="247"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region, based on the address of the end user as specified in our subscription, license or service agreements,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243,616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191,204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138,876</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3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77,676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53,839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34,121</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33,294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22,317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14,730</w:t>
            </w:r>
          </w:p>
        </w:tc>
      </w:tr>
      <w:tr>
        <w:trPr>
          <w:trHeight w:val="257"/>
        </w:trPr>
        <w:tc>
          <w:tcPr>
            <w:tcW w:w="708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354,586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267,360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187,727</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Customers located in the United States accounted for 63%, 67% and 69% of revenue in 2019, 2018 and 2017, respectively. No other country accounted for 10% or more of revenue in the periods presented.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21,464</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6,487</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5,383</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4,861</w:t>
            </w: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26,847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11,348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Benefit Plans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a contributory defined contribution 401(k) plan for our U.S. employees. We adopted a Safe Harbor Plan</w:t>
      </w:r>
    </w:p>
    <w:p>
      <w:pPr>
        <w:spacing w:after="0" w:line="200" w:lineRule="exact"/>
        <w:rPr>
          <w:sz w:val="20"/>
          <w:szCs w:val="20"/>
          <w:color w:val="auto"/>
        </w:rPr>
      </w:pPr>
    </w:p>
    <w:p>
      <w:pPr>
        <w:spacing w:after="0" w:line="24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40" w:right="239" w:bottom="1440" w:gutter="0" w:footer="0" w:header="0"/>
        </w:sectPr>
      </w:pPr>
    </w:p>
    <w:bookmarkStart w:id="88" w:name="page89"/>
    <w:bookmarkEnd w:id="8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effective January 1, 2016, and as a result, company-matched contributions are fully vested. Additional contributory plans are in effect internationally. Our contribution expense for such plans was $6.2 million, $4.8 million and $3.3 million in 2019, 2018 and 2017, respectively.</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Quarterly Results (unaudited)</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following tables summarize our unaudited quarterly consolidated statements of operations data for each of the eight quarters through the period ended December 31, 2019. The information for each of these quarters has been prepared on the same basis as our audited annual consolidated financial statements and reflect, in the opinion of management, all adjustments of a normal, recurring nature that are necessary for the fair presentation of the results of operations for these periods. This data should be read in conjunction with our consolidated financial statements included elsewhere in this Annual Report on Form 10-K. Historical results are not necessarily indicative of the results that may be expected in the future, and the quarterly results are not necessarily indicative of the results that may be expected for the full year or any other period.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3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amounts)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80,301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85,384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91,852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97,049</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13,226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13,918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15,245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18,429</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67,075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71,466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76,607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78,620</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52,689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56,015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56,699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62,632</w:t>
            </w: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21,935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21,698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20,763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22,668</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15,136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15,987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17,472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20,873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89,760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93,700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94,934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106,173</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(27,553)</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(26,504)</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(38,305)</w:t>
            </w:r>
          </w:p>
        </w:tc>
        <w:tc>
          <w:tcPr>
            <w:tcW w:w="0" w:type="dxa"/>
            <w:vAlign w:val="bottom"/>
          </w:tcPr>
          <w:p>
            <w:pPr>
              <w:spacing w:after="0"/>
              <w:rPr>
                <w:sz w:val="1"/>
                <w:szCs w:val="1"/>
                <w:color w:val="auto"/>
              </w:rPr>
            </w:pP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(38,305)</w:t>
            </w: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Net loss per share attributable to common stockholders, basic</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and diluted</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91"/>
              <w:spacing w:after="0"/>
              <w:rPr>
                <w:sz w:val="20"/>
                <w:szCs w:val="20"/>
                <w:color w:val="auto"/>
              </w:rPr>
            </w:pPr>
            <w:r>
              <w:rPr>
                <w:rFonts w:ascii="Arial" w:cs="Arial" w:eastAsia="Arial" w:hAnsi="Arial"/>
                <w:sz w:val="18"/>
                <w:szCs w:val="18"/>
                <w:color w:val="auto"/>
                <w:w w:val="99"/>
              </w:rPr>
              <w:t>89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89" w:name="page90"/>
    <w:bookmarkEnd w:id="8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3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amounts)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59,107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63,592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75,221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8,728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9,879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12,161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12,399</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50,379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53,713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57,279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62,822</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39,588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41,826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47,380</w:t>
            </w: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17,185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17,791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20,553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21,169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10,541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13,272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13,864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65,828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70,158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78,375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82,413</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(19,591)</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(18,407)</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(19,614)</w:t>
            </w:r>
          </w:p>
        </w:tc>
        <w:tc>
          <w:tcPr>
            <w:tcW w:w="0" w:type="dxa"/>
            <w:vAlign w:val="bottom"/>
          </w:tcPr>
          <w:p>
            <w:pPr>
              <w:spacing w:after="0"/>
              <w:rPr>
                <w:sz w:val="1"/>
                <w:szCs w:val="1"/>
                <w:color w:val="auto"/>
              </w:rPr>
            </w:pP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(19,614)</w:t>
            </w: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Net loss per share attributable to common stockholders, basic</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and diluted</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91"/>
              <w:spacing w:after="0"/>
              <w:rPr>
                <w:sz w:val="20"/>
                <w:szCs w:val="20"/>
                <w:color w:val="auto"/>
              </w:rPr>
            </w:pPr>
            <w:r>
              <w:rPr>
                <w:rFonts w:ascii="Arial" w:cs="Arial" w:eastAsia="Arial" w:hAnsi="Arial"/>
                <w:sz w:val="18"/>
                <w:szCs w:val="18"/>
                <w:color w:val="auto"/>
                <w:w w:val="99"/>
              </w:rPr>
              <w:t>90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90" w:name="page91"/>
    <w:bookmarkEnd w:id="9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10-K. Based on such evaluation, our Chief Executive Officer and Chief Financial Officer have concluded that as of December 31, 2019, our disclosure controls and procedures were effective to provide reasonable assurance that the information required to be disclosed by us in this Form 10-K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of the Exchange Act. Our management evaluated the effectiveness of our internal control over financial reporting based on the framework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concluded that our internal control over financial reporting was effective at December 31, 2019. We completed the acquisition of Indegy on December 2, 2019. Since we have not yet fully incorporated the internal controls and procedures of Indegy into our internal control over financial reporting, management excluded Indegy from its assessment of the effectiveness of our internal controls at December 31, 2019. Indegy represented less than 2% of our total assets at December 31, 2019 and less than 1% of our revenue and operating expenses in 2019.</w:t>
      </w:r>
    </w:p>
    <w:p>
      <w:pPr>
        <w:spacing w:after="0" w:line="207"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Our independent registered public accounting firm, Ernst &amp; Young LLP, has issued an audit report with respect to our internal control over financial reporting as of December 31, 2019, which is included in Part II, Item 8 of this Annual Report on Form 10-K.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implemented business combination controls in connection with our acquisition of Indegy. There were no other changes in our internal control over financial reporting identified in management’s evaluation pursuant to Rules 13a-15(d) or 15d-15(d) of the Exchange Act during the period covered by this Form 10-K that materially affected, or are reasonably likely to materially affect, our internal control over financial reporting.</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4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40" w:right="239" w:bottom="1440" w:gutter="0" w:footer="0" w:header="0"/>
        </w:sectPr>
      </w:pPr>
    </w:p>
    <w:bookmarkStart w:id="91" w:name="page92"/>
    <w:bookmarkEnd w:id="9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60"/>
          </w:cols>
          <w:pgMar w:left="240" w:top="140" w:right="499" w:bottom="1440" w:gutter="0" w:footer="0" w:header="0"/>
        </w:sectPr>
      </w:pPr>
    </w:p>
    <w:bookmarkStart w:id="92" w:name="page93"/>
    <w:bookmarkEnd w:id="9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Officers and Directors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our 2020 annual meeting of stockholders, or the Proxy Statement, which is expected to be filed not later than 120 days after the end of our fiscal year ended December 31, 2019, under the captions "Information Regarding the Board of Directors and Corporate Governance," "Election of Directors" and "Executive Officers" and is incorporated in this report by reference.</w:t>
      </w:r>
    </w:p>
    <w:p>
      <w:pPr>
        <w:spacing w:after="0" w:line="18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47"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The information required by this item will be set forth in the Proxy Statement under the captions "Executive Compensation" and "Non-Employee Director Compensation" and is incorporated herein by reference.</w:t>
      </w:r>
    </w:p>
    <w:p>
      <w:pPr>
        <w:spacing w:after="0" w:line="17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information required by this item will be set forth in the Proxy Statement under the captions "Security Ownership of Certain Beneficial Owners and Management" and "Securities Authorized for Issuance under Equity Compensation Plans" and is incorporated herein by reference.</w:t>
      </w:r>
    </w:p>
    <w:p>
      <w:pPr>
        <w:spacing w:after="0" w:line="17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47"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information required by this item will be set forth in the Proxy Statement under the captions "Transactions with Related Persons" and "Independence of the Board of Directors" and is incorporated herein by reference.</w:t>
      </w:r>
    </w:p>
    <w:p>
      <w:pPr>
        <w:spacing w:after="0" w:line="17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47"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The information required by this item will be set forth in the Proxy Statement under the caption "Ratification of Selection of Independent Registered Public Accounting Firm" and is incorporated herein by reference.</w:t>
      </w:r>
    </w:p>
    <w:p>
      <w:pPr>
        <w:spacing w:after="0" w:line="200" w:lineRule="exact"/>
        <w:rPr>
          <w:sz w:val="20"/>
          <w:szCs w:val="20"/>
          <w:color w:val="auto"/>
        </w:rPr>
      </w:pPr>
    </w:p>
    <w:p>
      <w:pPr>
        <w:spacing w:after="0" w:line="21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40" w:right="259" w:bottom="1440" w:gutter="0" w:footer="0" w:header="0"/>
        </w:sectPr>
      </w:pPr>
    </w:p>
    <w:bookmarkStart w:id="93" w:name="page94"/>
    <w:bookmarkEnd w:id="9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(a)(1) Financial Statements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Index to Consolidated Financial Statements in Item 8 of this Annual Report on Form 10-K.</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(a)(2) Financial Statement Schedules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SCHEDULE II</w:t>
      </w:r>
    </w:p>
    <w:p>
      <w:pPr>
        <w:spacing w:after="0" w:line="3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SUPPLEMENTARY CONSOLIDATED FINANCIAL STATEMENT SCHEDULE</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VALUATION AND QUALIFYING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1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Balance at Beginning</w:t>
            </w:r>
          </w:p>
        </w:tc>
        <w:tc>
          <w:tcPr>
            <w:tcW w:w="19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Additions Charged to</w:t>
            </w: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ind w:right="434"/>
              <w:spacing w:after="0"/>
              <w:rPr>
                <w:sz w:val="20"/>
                <w:szCs w:val="20"/>
                <w:color w:val="auto"/>
              </w:rPr>
            </w:pPr>
            <w:r>
              <w:rPr>
                <w:rFonts w:ascii="Arial" w:cs="Arial" w:eastAsia="Arial" w:hAnsi="Arial"/>
                <w:sz w:val="16"/>
                <w:szCs w:val="16"/>
                <w:b w:val="1"/>
                <w:bCs w:val="1"/>
                <w:color w:val="auto"/>
              </w:rPr>
              <w:t>Balance at</w:t>
            </w:r>
          </w:p>
        </w:tc>
      </w:tr>
      <w:tr>
        <w:trPr>
          <w:trHeight w:val="234"/>
        </w:trPr>
        <w:tc>
          <w:tcPr>
            <w:tcW w:w="37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0"/>
                <w:szCs w:val="20"/>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9"/>
              </w:rPr>
              <w:t>of Year</w:t>
            </w:r>
          </w:p>
        </w:tc>
        <w:tc>
          <w:tcPr>
            <w:tcW w:w="12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tcPr>
          <w:p>
            <w:pPr>
              <w:spacing w:after="0"/>
              <w:rPr>
                <w:sz w:val="20"/>
                <w:szCs w:val="20"/>
                <w:color w:val="auto"/>
              </w:rPr>
            </w:pPr>
          </w:p>
        </w:tc>
        <w:tc>
          <w:tcPr>
            <w:tcW w:w="1680" w:type="dxa"/>
            <w:vAlign w:val="bottom"/>
            <w:gridSpan w:val="2"/>
          </w:tcPr>
          <w:p>
            <w:pPr>
              <w:ind w:left="140"/>
              <w:spacing w:after="0" w:line="234" w:lineRule="exact"/>
              <w:rPr>
                <w:sz w:val="20"/>
                <w:szCs w:val="20"/>
                <w:color w:val="auto"/>
              </w:rPr>
            </w:pPr>
            <w:r>
              <w:rPr>
                <w:rFonts w:ascii="Arial" w:cs="Arial" w:eastAsia="Arial" w:hAnsi="Arial"/>
                <w:sz w:val="16"/>
                <w:szCs w:val="16"/>
                <w:b w:val="1"/>
                <w:bCs w:val="1"/>
                <w:color w:val="auto"/>
              </w:rPr>
              <w:t>Deductions</w:t>
            </w:r>
            <w:r>
              <w:rPr>
                <w:rFonts w:ascii="Arial" w:cs="Arial" w:eastAsia="Arial" w:hAnsi="Arial"/>
                <w:sz w:val="21"/>
                <w:szCs w:val="21"/>
                <w:b w:val="1"/>
                <w:bCs w:val="1"/>
                <w:color w:val="auto"/>
                <w:vertAlign w:val="superscript"/>
              </w:rPr>
              <w:t>(1)</w:t>
            </w:r>
          </w:p>
        </w:tc>
        <w:tc>
          <w:tcPr>
            <w:tcW w:w="300" w:type="dxa"/>
            <w:vAlign w:val="bottom"/>
          </w:tcPr>
          <w:p>
            <w:pPr>
              <w:spacing w:after="0"/>
              <w:rPr>
                <w:sz w:val="20"/>
                <w:szCs w:val="20"/>
                <w:color w:val="auto"/>
              </w:rPr>
            </w:pPr>
          </w:p>
        </w:tc>
        <w:tc>
          <w:tcPr>
            <w:tcW w:w="1540" w:type="dxa"/>
            <w:vAlign w:val="bottom"/>
          </w:tcPr>
          <w:p>
            <w:pPr>
              <w:jc w:val="right"/>
              <w:ind w:right="394"/>
              <w:spacing w:after="0"/>
              <w:rPr>
                <w:sz w:val="20"/>
                <w:szCs w:val="20"/>
                <w:color w:val="auto"/>
              </w:rPr>
            </w:pPr>
            <w:r>
              <w:rPr>
                <w:rFonts w:ascii="Arial" w:cs="Arial" w:eastAsia="Arial" w:hAnsi="Arial"/>
                <w:sz w:val="16"/>
                <w:szCs w:val="16"/>
                <w:b w:val="1"/>
                <w:bCs w:val="1"/>
                <w:color w:val="auto"/>
              </w:rPr>
              <w:t>End of Year</w:t>
            </w:r>
          </w:p>
        </w:tc>
      </w:tr>
      <w:tr>
        <w:trPr>
          <w:trHeight w:val="254"/>
        </w:trPr>
        <w:tc>
          <w:tcPr>
            <w:tcW w:w="3740" w:type="dxa"/>
            <w:vAlign w:val="bottom"/>
          </w:tcPr>
          <w:p>
            <w:pPr>
              <w:ind w:left="40"/>
              <w:spacing w:after="0"/>
              <w:rPr>
                <w:sz w:val="20"/>
                <w:szCs w:val="20"/>
                <w:color w:val="auto"/>
              </w:rPr>
            </w:pPr>
            <w:r>
              <w:rPr>
                <w:rFonts w:ascii="Arial" w:cs="Arial" w:eastAsia="Arial" w:hAnsi="Arial"/>
                <w:sz w:val="16"/>
                <w:szCs w:val="16"/>
                <w:b w:val="1"/>
                <w:bCs w:val="1"/>
                <w:color w:val="auto"/>
              </w:rPr>
              <w:t>Allowance for Doubtful Accounts</w:t>
            </w:r>
          </w:p>
        </w:tc>
        <w:tc>
          <w:tcPr>
            <w:tcW w:w="4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r>
      <w:tr>
        <w:trPr>
          <w:trHeight w:val="28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2019</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764</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400" w:type="dxa"/>
            <w:vAlign w:val="bottom"/>
          </w:tcPr>
          <w:p>
            <w:pPr>
              <w:spacing w:after="0"/>
              <w:rPr>
                <w:sz w:val="22"/>
                <w:szCs w:val="22"/>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188</w:t>
            </w:r>
          </w:p>
        </w:tc>
      </w:tr>
      <w:tr>
        <w:trPr>
          <w:trHeight w:val="27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r>
      <w:tr>
        <w:trPr>
          <w:trHeight w:val="167"/>
        </w:trPr>
        <w:tc>
          <w:tcPr>
            <w:tcW w:w="3740" w:type="dxa"/>
            <w:vAlign w:val="bottom"/>
          </w:tcPr>
          <w:p>
            <w:pPr>
              <w:spacing w:after="0"/>
              <w:rPr>
                <w:sz w:val="20"/>
                <w:szCs w:val="20"/>
                <w:color w:val="auto"/>
              </w:rPr>
            </w:pPr>
            <w:r>
              <w:rPr>
                <w:rFonts w:ascii="Arial" w:cs="Arial" w:eastAsia="Arial" w:hAnsi="Arial"/>
                <w:sz w:val="11"/>
                <w:szCs w:val="11"/>
                <w:color w:val="auto"/>
              </w:rPr>
              <w:t>_______________</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51"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Consists of write-offs of uncollectible accounts, net of recoveries.</w:t>
      </w:r>
    </w:p>
    <w:p>
      <w:pPr>
        <w:spacing w:after="0" w:line="19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included in the financial statements or the notes to the financial statements.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(a)(3) Exhibits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100"/>
        <w:spacing w:after="0"/>
        <w:tabs>
          <w:tab w:leader="none" w:pos="3600" w:val="left"/>
          <w:tab w:leader="none" w:pos="90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194" w:lineRule="exact"/>
        <w:rPr>
          <w:sz w:val="20"/>
          <w:szCs w:val="20"/>
          <w:color w:val="auto"/>
        </w:rPr>
      </w:pPr>
    </w:p>
    <w:p>
      <w:pPr>
        <w:ind w:left="960" w:hanging="400"/>
        <w:spacing w:after="0" w:line="251"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2.1</w:t>
      </w:r>
      <w:r>
        <w:rPr>
          <w:sz w:val="20"/>
          <w:szCs w:val="20"/>
          <w:color w:val="auto"/>
        </w:rPr>
        <w:tab/>
      </w:r>
      <w:hyperlink r:id="rId10">
        <w:r>
          <w:rPr>
            <w:rFonts w:ascii="Arial" w:cs="Arial" w:eastAsia="Arial" w:hAnsi="Arial"/>
            <w:sz w:val="16"/>
            <w:szCs w:val="16"/>
            <w:u w:val="single" w:color="auto"/>
            <w:color w:val="0000FF"/>
          </w:rPr>
          <w:t>Share Purchase Agreement, dated as of December 2, 2019, by and between Tenable,</w:t>
        </w:r>
      </w:hyperlink>
      <w:r>
        <w:rPr>
          <w:rFonts w:ascii="Arial" w:cs="Arial" w:eastAsia="Arial" w:hAnsi="Arial"/>
          <w:sz w:val="16"/>
          <w:szCs w:val="16"/>
          <w:u w:val="single" w:color="auto"/>
          <w:color w:val="0000FF"/>
        </w:rPr>
        <w:t xml:space="preserve"> </w:t>
      </w:r>
      <w:hyperlink r:id="rId10">
        <w:r>
          <w:rPr>
            <w:rFonts w:ascii="Arial" w:cs="Arial" w:eastAsia="Arial" w:hAnsi="Arial"/>
            <w:sz w:val="16"/>
            <w:szCs w:val="16"/>
            <w:u w:val="single" w:color="auto"/>
            <w:color w:val="0000FF"/>
          </w:rPr>
          <w:t>Inc., Indegy Ltd., the shareholders of Indegy set forth on Schedule I to the Purchase</w:t>
        </w:r>
      </w:hyperlink>
      <w:r>
        <w:rPr>
          <w:rFonts w:ascii="Arial" w:cs="Arial" w:eastAsia="Arial" w:hAnsi="Arial"/>
          <w:sz w:val="16"/>
          <w:szCs w:val="16"/>
          <w:u w:val="single" w:color="auto"/>
          <w:color w:val="0000FF"/>
        </w:rPr>
        <w:t xml:space="preserve"> </w:t>
      </w:r>
      <w:hyperlink r:id="rId10">
        <w:r>
          <w:rPr>
            <w:rFonts w:ascii="Arial" w:cs="Arial" w:eastAsia="Arial" w:hAnsi="Arial"/>
            <w:sz w:val="16"/>
            <w:szCs w:val="16"/>
            <w:u w:val="single" w:color="auto"/>
            <w:color w:val="0000FF"/>
          </w:rPr>
          <w:t>Agreement and Shareholder Representative Services LLC, as the representative of</w:t>
        </w:r>
      </w:hyperlink>
      <w:r>
        <w:rPr>
          <w:rFonts w:ascii="Arial" w:cs="Arial" w:eastAsia="Arial" w:hAnsi="Arial"/>
          <w:sz w:val="16"/>
          <w:szCs w:val="16"/>
          <w:u w:val="single" w:color="auto"/>
          <w:color w:val="0000FF"/>
        </w:rPr>
        <w:t xml:space="preserve"> </w:t>
      </w:r>
      <w:hyperlink r:id="rId10">
        <w:r>
          <w:rPr>
            <w:rFonts w:ascii="Arial" w:cs="Arial" w:eastAsia="Arial" w:hAnsi="Arial"/>
            <w:sz w:val="16"/>
            <w:szCs w:val="16"/>
            <w:u w:val="single" w:color="auto"/>
            <w:color w:val="0000FF"/>
          </w:rPr>
          <w:t>Indegy’s shareholders and optionholders thereunder.</w:t>
        </w:r>
      </w:hyperlink>
    </w:p>
    <w:p>
      <w:pPr>
        <w:spacing w:after="0" w:line="41" w:lineRule="exact"/>
        <w:rPr>
          <w:rFonts w:ascii="Arial" w:cs="Arial" w:eastAsia="Arial" w:hAnsi="Arial"/>
          <w:sz w:val="16"/>
          <w:szCs w:val="16"/>
          <w:u w:val="single" w:color="auto"/>
          <w:color w:val="0000FF"/>
        </w:rPr>
      </w:pPr>
    </w:p>
    <w:p>
      <w:pPr>
        <w:ind w:left="560"/>
        <w:spacing w:after="0"/>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3.1</w:t>
      </w:r>
      <w:r>
        <w:rPr>
          <w:sz w:val="20"/>
          <w:szCs w:val="20"/>
          <w:color w:val="auto"/>
        </w:rPr>
        <w:tab/>
      </w:r>
      <w:hyperlink r:id="rId11">
        <w:r>
          <w:rPr>
            <w:rFonts w:ascii="Arial" w:cs="Arial" w:eastAsia="Arial" w:hAnsi="Arial"/>
            <w:sz w:val="16"/>
            <w:szCs w:val="16"/>
            <w:u w:val="single" w:color="auto"/>
            <w:color w:val="0000FF"/>
          </w:rPr>
          <w:t>Amended and Restated Certificate of Incorporation of Tenable Holdings, Inc.</w:t>
        </w:r>
      </w:hyperlink>
    </w:p>
    <w:p>
      <w:pPr>
        <w:spacing w:after="0" w:line="200" w:lineRule="exact"/>
        <w:rPr>
          <w:rFonts w:ascii="Arial" w:cs="Arial" w:eastAsia="Arial" w:hAnsi="Arial"/>
          <w:sz w:val="16"/>
          <w:szCs w:val="16"/>
          <w:u w:val="single" w:color="auto"/>
          <w:color w:val="0000FF"/>
        </w:rPr>
      </w:pPr>
    </w:p>
    <w:p>
      <w:pPr>
        <w:spacing w:after="0" w:line="237" w:lineRule="exact"/>
        <w:rPr>
          <w:rFonts w:ascii="Arial" w:cs="Arial" w:eastAsia="Arial" w:hAnsi="Arial"/>
          <w:sz w:val="16"/>
          <w:szCs w:val="16"/>
          <w:u w:val="single" w:color="auto"/>
          <w:color w:val="0000FF"/>
        </w:rPr>
      </w:pPr>
    </w:p>
    <w:p>
      <w:pPr>
        <w:ind w:left="560"/>
        <w:spacing w:after="0"/>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3.2</w:t>
      </w:r>
      <w:r>
        <w:rPr>
          <w:sz w:val="20"/>
          <w:szCs w:val="20"/>
          <w:color w:val="auto"/>
        </w:rPr>
        <w:tab/>
      </w:r>
      <w:hyperlink r:id="rId12">
        <w:r>
          <w:rPr>
            <w:rFonts w:ascii="Arial" w:cs="Arial" w:eastAsia="Arial" w:hAnsi="Arial"/>
            <w:sz w:val="16"/>
            <w:szCs w:val="16"/>
            <w:u w:val="single" w:color="auto"/>
            <w:color w:val="0000FF"/>
          </w:rPr>
          <w:t>Amended and Restated Bylaws of Tenable Holdings, Inc.</w:t>
        </w:r>
      </w:hyperlink>
    </w:p>
    <w:p>
      <w:pPr>
        <w:spacing w:after="0" w:line="200" w:lineRule="exact"/>
        <w:rPr>
          <w:rFonts w:ascii="Arial" w:cs="Arial" w:eastAsia="Arial" w:hAnsi="Arial"/>
          <w:sz w:val="16"/>
          <w:szCs w:val="16"/>
          <w:u w:val="single" w:color="auto"/>
          <w:color w:val="0000FF"/>
        </w:rPr>
      </w:pPr>
    </w:p>
    <w:p>
      <w:pPr>
        <w:spacing w:after="0" w:line="237" w:lineRule="exact"/>
        <w:rPr>
          <w:rFonts w:ascii="Arial" w:cs="Arial" w:eastAsia="Arial" w:hAnsi="Arial"/>
          <w:sz w:val="16"/>
          <w:szCs w:val="16"/>
          <w:u w:val="single" w:color="auto"/>
          <w:color w:val="0000FF"/>
        </w:rPr>
      </w:pPr>
    </w:p>
    <w:p>
      <w:pPr>
        <w:ind w:left="560"/>
        <w:spacing w:after="0"/>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4.1</w:t>
      </w:r>
      <w:r>
        <w:rPr>
          <w:sz w:val="20"/>
          <w:szCs w:val="20"/>
          <w:color w:val="auto"/>
        </w:rPr>
        <w:tab/>
      </w:r>
      <w:hyperlink r:id="rId13">
        <w:r>
          <w:rPr>
            <w:rFonts w:ascii="Arial" w:cs="Arial" w:eastAsia="Arial" w:hAnsi="Arial"/>
            <w:sz w:val="16"/>
            <w:szCs w:val="16"/>
            <w:u w:val="single" w:color="auto"/>
            <w:color w:val="0000FF"/>
          </w:rPr>
          <w:t>Common Stock Certificate of Tenable Holdings, Inc.</w:t>
        </w:r>
      </w:hyperlink>
    </w:p>
    <w:p>
      <w:pPr>
        <w:spacing w:after="0" w:line="200" w:lineRule="exact"/>
        <w:rPr>
          <w:rFonts w:ascii="Arial" w:cs="Arial" w:eastAsia="Arial" w:hAnsi="Arial"/>
          <w:sz w:val="16"/>
          <w:szCs w:val="16"/>
          <w:u w:val="single" w:color="auto"/>
          <w:color w:val="0000FF"/>
        </w:rPr>
      </w:pPr>
    </w:p>
    <w:p>
      <w:pPr>
        <w:spacing w:after="0" w:line="237" w:lineRule="exact"/>
        <w:rPr>
          <w:rFonts w:ascii="Arial" w:cs="Arial" w:eastAsia="Arial" w:hAnsi="Arial"/>
          <w:sz w:val="16"/>
          <w:szCs w:val="16"/>
          <w:u w:val="single" w:color="auto"/>
          <w:color w:val="0000FF"/>
        </w:rPr>
      </w:pPr>
    </w:p>
    <w:p>
      <w:pPr>
        <w:ind w:left="960" w:right="180" w:hanging="400"/>
        <w:spacing w:after="0" w:line="260"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14">
        <w:r>
          <w:rPr>
            <w:rFonts w:ascii="Arial" w:cs="Arial" w:eastAsia="Arial" w:hAnsi="Arial"/>
            <w:sz w:val="16"/>
            <w:szCs w:val="16"/>
            <w:u w:val="single" w:color="auto"/>
            <w:color w:val="0000FF"/>
          </w:rPr>
          <w:t>Investors' Rights Agreement by and among Tenable Holdings, Inc. and certain of its</w:t>
        </w:r>
      </w:hyperlink>
      <w:r>
        <w:rPr>
          <w:rFonts w:ascii="Arial" w:cs="Arial" w:eastAsia="Arial" w:hAnsi="Arial"/>
          <w:sz w:val="16"/>
          <w:szCs w:val="16"/>
          <w:u w:val="single" w:color="auto"/>
          <w:color w:val="0000FF"/>
        </w:rPr>
        <w:t xml:space="preserve"> </w:t>
      </w:r>
      <w:hyperlink r:id="rId14">
        <w:r>
          <w:rPr>
            <w:rFonts w:ascii="Arial" w:cs="Arial" w:eastAsia="Arial" w:hAnsi="Arial"/>
            <w:sz w:val="16"/>
            <w:szCs w:val="16"/>
            <w:u w:val="single" w:color="auto"/>
            <w:color w:val="0000FF"/>
          </w:rPr>
          <w:t>stockholders, dated December 18, 2015</w:t>
        </w:r>
      </w:hyperlink>
    </w:p>
    <w:p>
      <w:pPr>
        <w:spacing w:after="0" w:line="223" w:lineRule="exact"/>
        <w:rPr>
          <w:sz w:val="20"/>
          <w:szCs w:val="20"/>
          <w:color w:val="auto"/>
        </w:rPr>
      </w:pPr>
    </w:p>
    <w:p>
      <w:pPr>
        <w:ind w:left="560"/>
        <w:spacing w:after="0"/>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4.3</w:t>
      </w:r>
      <w:r>
        <w:rPr>
          <w:sz w:val="20"/>
          <w:szCs w:val="20"/>
          <w:color w:val="auto"/>
        </w:rPr>
        <w:tab/>
      </w:r>
      <w:hyperlink w:anchor="page99">
        <w:r>
          <w:rPr>
            <w:rFonts w:ascii="Arial" w:cs="Arial" w:eastAsia="Arial" w:hAnsi="Arial"/>
            <w:sz w:val="16"/>
            <w:szCs w:val="16"/>
            <w:u w:val="single" w:color="auto"/>
            <w:color w:val="0000FF"/>
          </w:rPr>
          <w:t>Description of Common Stock of Tenable Holdings, Inc.</w:t>
        </w:r>
      </w:hyperlink>
    </w:p>
    <w:p>
      <w:pPr>
        <w:spacing w:after="0" w:line="86" w:lineRule="exact"/>
        <w:rPr>
          <w:sz w:val="20"/>
          <w:szCs w:val="20"/>
          <w:color w:val="auto"/>
        </w:rPr>
      </w:pPr>
    </w:p>
    <w:p>
      <w:pPr>
        <w:jc w:val="both"/>
        <w:ind w:left="960" w:right="140" w:hanging="585"/>
        <w:spacing w:after="0" w:line="253"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10.1+</w:t>
      </w:r>
      <w:r>
        <w:rPr>
          <w:sz w:val="20"/>
          <w:szCs w:val="20"/>
          <w:color w:val="auto"/>
        </w:rPr>
        <w:tab/>
      </w:r>
      <w:hyperlink r:id="rId15">
        <w:r>
          <w:rPr>
            <w:rFonts w:ascii="Arial" w:cs="Arial" w:eastAsia="Arial" w:hAnsi="Arial"/>
            <w:sz w:val="16"/>
            <w:szCs w:val="16"/>
            <w:u w:val="single" w:color="auto"/>
            <w:color w:val="0000FF"/>
          </w:rPr>
          <w:t>2016 Stock Incentive Plan and Irish Supplement and Forms of Option Grant Notice</w:t>
        </w:r>
      </w:hyperlink>
      <w:r>
        <w:rPr>
          <w:rFonts w:ascii="Arial" w:cs="Arial" w:eastAsia="Arial" w:hAnsi="Arial"/>
          <w:sz w:val="16"/>
          <w:szCs w:val="16"/>
          <w:u w:val="single" w:color="auto"/>
          <w:color w:val="0000FF"/>
        </w:rPr>
        <w:t xml:space="preserve"> </w:t>
      </w:r>
      <w:hyperlink r:id="rId15">
        <w:r>
          <w:rPr>
            <w:rFonts w:ascii="Arial" w:cs="Arial" w:eastAsia="Arial" w:hAnsi="Arial"/>
            <w:sz w:val="16"/>
            <w:szCs w:val="16"/>
            <w:u w:val="single" w:color="auto"/>
            <w:color w:val="0000FF"/>
          </w:rPr>
          <w:t>and Agreement and Exercise Notice and Form of Restricted Stock Grant Notice and</w:t>
        </w:r>
      </w:hyperlink>
      <w:r>
        <w:rPr>
          <w:rFonts w:ascii="Arial" w:cs="Arial" w:eastAsia="Arial" w:hAnsi="Arial"/>
          <w:sz w:val="16"/>
          <w:szCs w:val="16"/>
          <w:u w:val="single" w:color="auto"/>
          <w:color w:val="0000FF"/>
        </w:rPr>
        <w:t xml:space="preserve"> </w:t>
      </w:r>
      <w:hyperlink r:id="rId15">
        <w:r>
          <w:rPr>
            <w:rFonts w:ascii="Arial" w:cs="Arial" w:eastAsia="Arial" w:hAnsi="Arial"/>
            <w:sz w:val="16"/>
            <w:szCs w:val="16"/>
            <w:u w:val="single" w:color="auto"/>
            <w:color w:val="0000FF"/>
          </w:rPr>
          <w:t>Agreement thereunder, as amended to date</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74" w:lineRule="exact"/>
        <w:rPr>
          <w:rFonts w:ascii="Arial" w:cs="Arial" w:eastAsia="Arial" w:hAnsi="Arial"/>
          <w:sz w:val="16"/>
          <w:szCs w:val="16"/>
          <w:u w:val="single" w:color="auto"/>
          <w:color w:val="0000FF"/>
        </w:rPr>
      </w:pPr>
    </w:p>
    <w:p>
      <w:pPr>
        <w:ind w:right="300"/>
        <w:spacing w:after="0" w:line="253" w:lineRule="auto"/>
        <w:rPr>
          <w:sz w:val="20"/>
          <w:szCs w:val="20"/>
          <w:color w:val="auto"/>
        </w:rPr>
      </w:pPr>
      <w:r>
        <w:rPr>
          <w:rFonts w:ascii="Arial" w:cs="Arial" w:eastAsia="Arial" w:hAnsi="Arial"/>
          <w:sz w:val="16"/>
          <w:szCs w:val="16"/>
          <w:color w:val="auto"/>
        </w:rPr>
        <w:t>Previously filed as Exhibit 10.1 to the Company's Current Report on Form 8-K (File No. 001-38600) on December 2, 2019</w:t>
      </w:r>
    </w:p>
    <w:p>
      <w:pPr>
        <w:spacing w:after="0" w:line="228" w:lineRule="exact"/>
        <w:rPr>
          <w:rFonts w:ascii="Arial" w:cs="Arial" w:eastAsia="Arial" w:hAnsi="Arial"/>
          <w:sz w:val="16"/>
          <w:szCs w:val="16"/>
          <w:u w:val="single" w:color="auto"/>
          <w:color w:val="0000FF"/>
        </w:rPr>
      </w:pPr>
    </w:p>
    <w:p>
      <w:pPr>
        <w:ind w:right="80"/>
        <w:spacing w:after="0" w:line="253" w:lineRule="auto"/>
        <w:rPr>
          <w:sz w:val="20"/>
          <w:szCs w:val="20"/>
          <w:color w:val="auto"/>
        </w:rPr>
      </w:pPr>
      <w:r>
        <w:rPr>
          <w:rFonts w:ascii="Arial" w:cs="Arial" w:eastAsia="Arial" w:hAnsi="Arial"/>
          <w:sz w:val="16"/>
          <w:szCs w:val="16"/>
          <w:color w:val="auto"/>
        </w:rPr>
        <w:t>Previously filed as Exhibit 3.1 to the Company's Current Report on Form 8-K (File No. 001-38600) on July 30, 2018</w:t>
      </w:r>
    </w:p>
    <w:p>
      <w:pPr>
        <w:spacing w:after="0" w:line="39" w:lineRule="exact"/>
        <w:rPr>
          <w:rFonts w:ascii="Arial" w:cs="Arial" w:eastAsia="Arial" w:hAnsi="Arial"/>
          <w:sz w:val="16"/>
          <w:szCs w:val="16"/>
          <w:u w:val="single" w:color="auto"/>
          <w:color w:val="0000FF"/>
        </w:rPr>
      </w:pPr>
    </w:p>
    <w:p>
      <w:pPr>
        <w:ind w:right="460"/>
        <w:spacing w:after="0" w:line="253" w:lineRule="auto"/>
        <w:rPr>
          <w:sz w:val="20"/>
          <w:szCs w:val="20"/>
          <w:color w:val="auto"/>
        </w:rPr>
      </w:pPr>
      <w:r>
        <w:rPr>
          <w:rFonts w:ascii="Arial" w:cs="Arial" w:eastAsia="Arial" w:hAnsi="Arial"/>
          <w:sz w:val="16"/>
          <w:szCs w:val="16"/>
          <w:color w:val="auto"/>
        </w:rPr>
        <w:t>Previously filed as Exhibit 3.4 to the Company's Registration Statement on Form S-1 (File No. 333-226002) on June 29, 2018</w:t>
      </w:r>
    </w:p>
    <w:p>
      <w:pPr>
        <w:spacing w:after="0" w:line="39" w:lineRule="exact"/>
        <w:rPr>
          <w:rFonts w:ascii="Arial" w:cs="Arial" w:eastAsia="Arial" w:hAnsi="Arial"/>
          <w:sz w:val="16"/>
          <w:szCs w:val="16"/>
          <w:u w:val="single" w:color="auto"/>
          <w:color w:val="0000FF"/>
        </w:rPr>
      </w:pPr>
    </w:p>
    <w:p>
      <w:pPr>
        <w:ind w:right="460"/>
        <w:spacing w:after="0" w:line="253" w:lineRule="auto"/>
        <w:rPr>
          <w:sz w:val="20"/>
          <w:szCs w:val="20"/>
          <w:color w:val="auto"/>
        </w:rPr>
      </w:pPr>
      <w:r>
        <w:rPr>
          <w:rFonts w:ascii="Arial" w:cs="Arial" w:eastAsia="Arial" w:hAnsi="Arial"/>
          <w:sz w:val="16"/>
          <w:szCs w:val="16"/>
          <w:color w:val="auto"/>
        </w:rPr>
        <w:t>Previously filed as Exhibit 4.1 to the Company's Registration Statement on Form S-1 (File No. 333-226002) on July 16, 2018</w:t>
      </w:r>
    </w:p>
    <w:p>
      <w:pPr>
        <w:spacing w:after="0" w:line="39" w:lineRule="exact"/>
        <w:rPr>
          <w:rFonts w:ascii="Arial" w:cs="Arial" w:eastAsia="Arial" w:hAnsi="Arial"/>
          <w:sz w:val="16"/>
          <w:szCs w:val="16"/>
          <w:u w:val="single" w:color="auto"/>
          <w:color w:val="0000FF"/>
        </w:rPr>
      </w:pPr>
    </w:p>
    <w:p>
      <w:pPr>
        <w:ind w:right="460"/>
        <w:spacing w:after="0" w:line="253" w:lineRule="auto"/>
        <w:rPr>
          <w:sz w:val="20"/>
          <w:szCs w:val="20"/>
          <w:color w:val="auto"/>
        </w:rPr>
      </w:pPr>
      <w:r>
        <w:rPr>
          <w:rFonts w:ascii="Arial" w:cs="Arial" w:eastAsia="Arial" w:hAnsi="Arial"/>
          <w:sz w:val="16"/>
          <w:szCs w:val="16"/>
          <w:color w:val="auto"/>
        </w:rPr>
        <w:t>Previously filed as Exhibit 4.2 to the Company's Registration Statement on Form S-1 (File No. 333-226002) on July 16, 2018</w:t>
      </w:r>
    </w:p>
    <w:p>
      <w:pPr>
        <w:spacing w:after="0" w:line="39"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rFonts w:ascii="Arial" w:cs="Arial" w:eastAsia="Arial" w:hAnsi="Arial"/>
          <w:sz w:val="16"/>
          <w:szCs w:val="16"/>
          <w:u w:val="single" w:color="auto"/>
          <w:color w:val="0000FF"/>
        </w:rPr>
      </w:pPr>
    </w:p>
    <w:p>
      <w:pPr>
        <w:ind w:right="460"/>
        <w:spacing w:after="0" w:line="253" w:lineRule="auto"/>
        <w:rPr>
          <w:sz w:val="20"/>
          <w:szCs w:val="20"/>
          <w:color w:val="auto"/>
        </w:rPr>
      </w:pPr>
      <w:r>
        <w:rPr>
          <w:rFonts w:ascii="Arial" w:cs="Arial" w:eastAsia="Arial" w:hAnsi="Arial"/>
          <w:sz w:val="16"/>
          <w:szCs w:val="16"/>
          <w:color w:val="auto"/>
        </w:rPr>
        <w:t>Previously filed as Exhibit 10.1 to the Company's Registration Statement on Form S-8 (File No. 333-226347) on July 26, 2018</w:t>
      </w:r>
    </w:p>
    <w:p>
      <w:pPr>
        <w:spacing w:after="0" w:line="200" w:lineRule="exact"/>
        <w:rPr>
          <w:rFonts w:ascii="Arial" w:cs="Arial" w:eastAsia="Arial" w:hAnsi="Arial"/>
          <w:sz w:val="16"/>
          <w:szCs w:val="16"/>
          <w:u w:val="single" w:color="auto"/>
          <w:color w:val="0000FF"/>
        </w:rPr>
      </w:pPr>
    </w:p>
    <w:p>
      <w:pPr>
        <w:sectPr>
          <w:pgSz w:w="11900" w:h="16838" w:orient="portrait"/>
          <w:cols w:equalWidth="0" w:num="2">
            <w:col w:w="7120" w:space="220"/>
            <w:col w:w="4080"/>
          </w:cols>
          <w:pgMar w:left="240" w:top="140" w:right="239" w:bottom="1440" w:gutter="0" w:footer="0" w:header="0"/>
          <w:type w:val="continuous"/>
        </w:sectPr>
      </w:pPr>
    </w:p>
    <w:p>
      <w:pPr>
        <w:spacing w:after="0" w:line="26" w:lineRule="exact"/>
        <w:rPr>
          <w:rFonts w:ascii="Arial" w:cs="Arial" w:eastAsia="Arial" w:hAnsi="Arial"/>
          <w:sz w:val="16"/>
          <w:szCs w:val="16"/>
          <w:u w:val="single" w:color="auto"/>
          <w:color w:val="0000FF"/>
        </w:rPr>
      </w:pPr>
    </w:p>
    <w:p>
      <w:pPr>
        <w:jc w:val="center"/>
        <w:ind w:left="340"/>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140" w:right="239" w:bottom="1440" w:gutter="0" w:footer="0" w:header="0"/>
          <w:type w:val="continuous"/>
        </w:sectPr>
      </w:pPr>
    </w:p>
    <w:bookmarkStart w:id="94" w:name="page95"/>
    <w:bookmarkEnd w:id="94"/>
    <w:p>
      <w:pPr>
        <w:ind w:left="1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ectPr>
          <w:pgSz w:w="11900" w:h="16838" w:orient="portrait"/>
          <w:cols w:equalWidth="0" w:num="1">
            <w:col w:w="10980"/>
          </w:cols>
          <w:pgMar w:left="380" w:top="140" w:right="539" w:bottom="1440" w:gutter="0" w:footer="0" w:header="0"/>
        </w:sect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10.2+</w:t>
            </w:r>
          </w:p>
        </w:tc>
        <w:tc>
          <w:tcPr>
            <w:tcW w:w="6100" w:type="dxa"/>
            <w:vAlign w:val="bottom"/>
            <w:gridSpan w:val="25"/>
          </w:tcPr>
          <w:p>
            <w:pPr>
              <w:spacing w:after="0"/>
              <w:rPr>
                <w:rFonts w:ascii="Arial" w:cs="Arial" w:eastAsia="Arial" w:hAnsi="Arial"/>
                <w:sz w:val="16"/>
                <w:szCs w:val="16"/>
                <w:color w:val="0000FF"/>
              </w:rPr>
            </w:pPr>
            <w:hyperlink r:id="rId16">
              <w:r>
                <w:rPr>
                  <w:rFonts w:ascii="Arial" w:cs="Arial" w:eastAsia="Arial" w:hAnsi="Arial"/>
                  <w:sz w:val="16"/>
                  <w:szCs w:val="16"/>
                  <w:color w:val="0000FF"/>
                </w:rPr>
                <w:t>2012 Stock Incentive Plan and Form of Notice of Stock Option Grant and Form of</w:t>
              </w:r>
            </w:hyperlink>
          </w:p>
        </w:tc>
      </w:tr>
      <w:tr>
        <w:trPr>
          <w:trHeight w:val="169"/>
        </w:trPr>
        <w:tc>
          <w:tcPr>
            <w:tcW w:w="820" w:type="dxa"/>
            <w:vAlign w:val="bottom"/>
          </w:tcPr>
          <w:p>
            <w:pPr>
              <w:spacing w:after="0"/>
              <w:rPr>
                <w:sz w:val="14"/>
                <w:szCs w:val="14"/>
                <w:color w:val="auto"/>
              </w:rPr>
            </w:pPr>
          </w:p>
        </w:tc>
        <w:tc>
          <w:tcPr>
            <w:tcW w:w="5640" w:type="dxa"/>
            <w:vAlign w:val="bottom"/>
            <w:tcBorders>
              <w:top w:val="single" w:sz="8" w:color="0000FF"/>
              <w:bottom w:val="single" w:sz="8" w:color="0000FF"/>
            </w:tcBorders>
            <w:gridSpan w:val="15"/>
          </w:tcPr>
          <w:p>
            <w:pPr>
              <w:spacing w:after="0" w:line="169" w:lineRule="exact"/>
              <w:rPr>
                <w:rFonts w:ascii="Arial" w:cs="Arial" w:eastAsia="Arial" w:hAnsi="Arial"/>
                <w:sz w:val="16"/>
                <w:szCs w:val="16"/>
                <w:color w:val="0000FF"/>
              </w:rPr>
            </w:pPr>
            <w:hyperlink r:id="rId16">
              <w:r>
                <w:rPr>
                  <w:rFonts w:ascii="Arial" w:cs="Arial" w:eastAsia="Arial" w:hAnsi="Arial"/>
                  <w:sz w:val="16"/>
                  <w:szCs w:val="16"/>
                  <w:color w:val="0000FF"/>
                </w:rPr>
                <w:t>Stock Option Agreement and Notice of Exercise and Common Stock Purchase</w:t>
              </w:r>
            </w:hyperlink>
          </w:p>
        </w:tc>
        <w:tc>
          <w:tcPr>
            <w:tcW w:w="180" w:type="dxa"/>
            <w:vAlign w:val="bottom"/>
            <w:tcBorders>
              <w:top w:val="single" w:sz="8" w:color="0000FF"/>
            </w:tcBorders>
            <w:gridSpan w:val="3"/>
          </w:tcPr>
          <w:p>
            <w:pPr>
              <w:spacing w:after="0"/>
              <w:rPr>
                <w:sz w:val="14"/>
                <w:szCs w:val="14"/>
                <w:color w:val="auto"/>
              </w:rPr>
            </w:pPr>
          </w:p>
        </w:tc>
        <w:tc>
          <w:tcPr>
            <w:tcW w:w="280" w:type="dxa"/>
            <w:vAlign w:val="bottom"/>
            <w:gridSpan w:val="7"/>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6100" w:type="dxa"/>
            <w:vAlign w:val="bottom"/>
            <w:gridSpan w:val="25"/>
          </w:tcPr>
          <w:p>
            <w:pPr>
              <w:spacing w:after="0" w:line="169" w:lineRule="exact"/>
              <w:rPr>
                <w:rFonts w:ascii="Arial" w:cs="Arial" w:eastAsia="Arial" w:hAnsi="Arial"/>
                <w:sz w:val="16"/>
                <w:szCs w:val="16"/>
                <w:color w:val="0000FF"/>
              </w:rPr>
            </w:pPr>
            <w:hyperlink r:id="rId16">
              <w:r>
                <w:rPr>
                  <w:rFonts w:ascii="Arial" w:cs="Arial" w:eastAsia="Arial" w:hAnsi="Arial"/>
                  <w:sz w:val="16"/>
                  <w:szCs w:val="16"/>
                  <w:color w:val="0000FF"/>
                </w:rPr>
                <w:t>Agreement thereunder, as amended to date</w:t>
              </w:r>
            </w:hyperlink>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10.3+</w:t>
            </w:r>
          </w:p>
        </w:tc>
        <w:tc>
          <w:tcPr>
            <w:tcW w:w="6100" w:type="dxa"/>
            <w:vAlign w:val="bottom"/>
            <w:gridSpan w:val="25"/>
          </w:tcPr>
          <w:p>
            <w:pPr>
              <w:spacing w:after="0"/>
              <w:rPr>
                <w:rFonts w:ascii="Arial" w:cs="Arial" w:eastAsia="Arial" w:hAnsi="Arial"/>
                <w:sz w:val="16"/>
                <w:szCs w:val="16"/>
                <w:color w:val="0000FF"/>
              </w:rPr>
            </w:pPr>
            <w:hyperlink r:id="rId17">
              <w:r>
                <w:rPr>
                  <w:rFonts w:ascii="Arial" w:cs="Arial" w:eastAsia="Arial" w:hAnsi="Arial"/>
                  <w:sz w:val="16"/>
                  <w:szCs w:val="16"/>
                  <w:color w:val="0000FF"/>
                </w:rPr>
                <w:t>2002 Stock Incentive Plan and Form of Notice of Option Grant and Form of Stock</w:t>
              </w:r>
            </w:hyperlink>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594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7">
              <w:r>
                <w:rPr>
                  <w:rFonts w:ascii="Arial" w:cs="Arial" w:eastAsia="Arial" w:hAnsi="Arial"/>
                  <w:sz w:val="16"/>
                  <w:szCs w:val="16"/>
                  <w:color w:val="0000FF"/>
                </w:rPr>
                <w:t>Option Agreement and Form of Notice of Stock Option Exercise and Form of Stock</w:t>
              </w:r>
            </w:hyperlink>
          </w:p>
        </w:tc>
        <w:tc>
          <w:tcPr>
            <w:tcW w:w="160" w:type="dxa"/>
            <w:vAlign w:val="bottom"/>
            <w:gridSpan w:val="5"/>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366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17">
              <w:r>
                <w:rPr>
                  <w:rFonts w:ascii="Arial" w:cs="Arial" w:eastAsia="Arial" w:hAnsi="Arial"/>
                  <w:sz w:val="16"/>
                  <w:szCs w:val="16"/>
                  <w:color w:val="0000FF"/>
                </w:rPr>
                <w:t>Award Agreement thereunder, as amended to date</w:t>
              </w:r>
            </w:hyperlink>
          </w:p>
        </w:tc>
        <w:tc>
          <w:tcPr>
            <w:tcW w:w="2440" w:type="dxa"/>
            <w:vAlign w:val="bottom"/>
            <w:gridSpan w:val="13"/>
          </w:tcPr>
          <w:p>
            <w:pPr>
              <w:spacing w:after="0"/>
              <w:rPr>
                <w:sz w:val="14"/>
                <w:szCs w:val="14"/>
                <w:color w:val="auto"/>
              </w:rPr>
            </w:pPr>
          </w:p>
        </w:tc>
      </w:tr>
      <w:tr>
        <w:trPr>
          <w:trHeight w:val="223"/>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6020" w:type="dxa"/>
            <w:vAlign w:val="bottom"/>
            <w:tcBorders>
              <w:bottom w:val="single" w:sz="8" w:color="0000FF"/>
            </w:tcBorders>
            <w:gridSpan w:val="22"/>
          </w:tcPr>
          <w:p>
            <w:pPr>
              <w:spacing w:after="0"/>
              <w:rPr>
                <w:rFonts w:ascii="Arial" w:cs="Arial" w:eastAsia="Arial" w:hAnsi="Arial"/>
                <w:sz w:val="16"/>
                <w:szCs w:val="16"/>
                <w:color w:val="0000FF"/>
              </w:rPr>
            </w:pPr>
            <w:hyperlink r:id="rId18">
              <w:r>
                <w:rPr>
                  <w:rFonts w:ascii="Arial" w:cs="Arial" w:eastAsia="Arial" w:hAnsi="Arial"/>
                  <w:sz w:val="16"/>
                  <w:szCs w:val="16"/>
                  <w:color w:val="0000FF"/>
                </w:rPr>
                <w:t>2018 Equity Incentive Plan and Forms of Stock Option Grant Notice and Agreement</w:t>
              </w:r>
            </w:hyperlink>
          </w:p>
        </w:tc>
        <w:tc>
          <w:tcPr>
            <w:tcW w:w="80" w:type="dxa"/>
            <w:vAlign w:val="bottom"/>
            <w:gridSpan w:val="3"/>
          </w:tcPr>
          <w:p>
            <w:pPr>
              <w:spacing w:after="0"/>
              <w:rPr>
                <w:sz w:val="19"/>
                <w:szCs w:val="19"/>
                <w:color w:val="auto"/>
              </w:rPr>
            </w:pPr>
          </w:p>
        </w:tc>
      </w:tr>
      <w:tr>
        <w:trPr>
          <w:trHeight w:val="169"/>
        </w:trPr>
        <w:tc>
          <w:tcPr>
            <w:tcW w:w="820" w:type="dxa"/>
            <w:vAlign w:val="bottom"/>
          </w:tcPr>
          <w:p>
            <w:pPr>
              <w:spacing w:after="0"/>
              <w:rPr>
                <w:sz w:val="14"/>
                <w:szCs w:val="14"/>
                <w:color w:val="auto"/>
              </w:rPr>
            </w:pPr>
          </w:p>
        </w:tc>
        <w:tc>
          <w:tcPr>
            <w:tcW w:w="478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r:id="rId18">
              <w:r>
                <w:rPr>
                  <w:rFonts w:ascii="Arial" w:cs="Arial" w:eastAsia="Arial" w:hAnsi="Arial"/>
                  <w:sz w:val="16"/>
                  <w:szCs w:val="16"/>
                  <w:color w:val="0000FF"/>
                </w:rPr>
                <w:t>and Restricted Stock Unit Grant Notice and Agreement thereunder</w:t>
              </w:r>
            </w:hyperlink>
          </w:p>
        </w:tc>
        <w:tc>
          <w:tcPr>
            <w:tcW w:w="1320" w:type="dxa"/>
            <w:vAlign w:val="bottom"/>
            <w:gridSpan w:val="12"/>
          </w:tcPr>
          <w:p>
            <w:pPr>
              <w:spacing w:after="0"/>
              <w:rPr>
                <w:sz w:val="14"/>
                <w:szCs w:val="14"/>
                <w:color w:val="auto"/>
              </w:rPr>
            </w:pPr>
          </w:p>
        </w:tc>
      </w:tr>
      <w:tr>
        <w:trPr>
          <w:trHeight w:val="412"/>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10.5+</w:t>
            </w:r>
          </w:p>
        </w:tc>
        <w:tc>
          <w:tcPr>
            <w:tcW w:w="6100" w:type="dxa"/>
            <w:vAlign w:val="bottom"/>
            <w:gridSpan w:val="25"/>
          </w:tcPr>
          <w:p>
            <w:pPr>
              <w:spacing w:after="0"/>
              <w:rPr>
                <w:rFonts w:ascii="Arial" w:cs="Arial" w:eastAsia="Arial" w:hAnsi="Arial"/>
                <w:sz w:val="16"/>
                <w:szCs w:val="16"/>
                <w:color w:val="0000FF"/>
              </w:rPr>
            </w:pPr>
            <w:hyperlink r:id="rId19">
              <w:r>
                <w:rPr>
                  <w:rFonts w:ascii="Arial" w:cs="Arial" w:eastAsia="Arial" w:hAnsi="Arial"/>
                  <w:sz w:val="16"/>
                  <w:szCs w:val="16"/>
                  <w:color w:val="0000FF"/>
                </w:rPr>
                <w:t>2018 Employee Stock Purchase Plan</w:t>
              </w:r>
            </w:hyperlink>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6080" w:type="dxa"/>
            <w:vAlign w:val="bottom"/>
            <w:tcBorders>
              <w:bottom w:val="single" w:sz="8" w:color="0000FF"/>
            </w:tcBorders>
            <w:gridSpan w:val="24"/>
          </w:tcPr>
          <w:p>
            <w:pPr>
              <w:spacing w:after="0"/>
              <w:rPr>
                <w:rFonts w:ascii="Arial" w:cs="Arial" w:eastAsia="Arial" w:hAnsi="Arial"/>
                <w:sz w:val="16"/>
                <w:szCs w:val="16"/>
                <w:color w:val="0000FF"/>
              </w:rPr>
            </w:pPr>
            <w:hyperlink r:id="rId20">
              <w:r>
                <w:rPr>
                  <w:rFonts w:ascii="Arial" w:cs="Arial" w:eastAsia="Arial" w:hAnsi="Arial"/>
                  <w:sz w:val="16"/>
                  <w:szCs w:val="16"/>
                  <w:color w:val="0000FF"/>
                </w:rPr>
                <w:t>Form of Indemnification Agreement by and between Tenable Holdings, Inc. and each</w:t>
              </w:r>
            </w:hyperlink>
          </w:p>
        </w:tc>
        <w:tc>
          <w:tcPr>
            <w:tcW w:w="20" w:type="dxa"/>
            <w:vAlign w:val="bottom"/>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6100" w:type="dxa"/>
            <w:vAlign w:val="bottom"/>
            <w:gridSpan w:val="25"/>
          </w:tcPr>
          <w:p>
            <w:pPr>
              <w:spacing w:after="0" w:line="169" w:lineRule="exact"/>
              <w:rPr>
                <w:rFonts w:ascii="Arial" w:cs="Arial" w:eastAsia="Arial" w:hAnsi="Arial"/>
                <w:sz w:val="16"/>
                <w:szCs w:val="16"/>
                <w:color w:val="0000FF"/>
              </w:rPr>
            </w:pPr>
            <w:hyperlink r:id="rId20">
              <w:r>
                <w:rPr>
                  <w:rFonts w:ascii="Arial" w:cs="Arial" w:eastAsia="Arial" w:hAnsi="Arial"/>
                  <w:sz w:val="16"/>
                  <w:szCs w:val="16"/>
                  <w:color w:val="0000FF"/>
                </w:rPr>
                <w:t>of its directors and executive officers</w:t>
              </w:r>
            </w:hyperlink>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10.7+</w:t>
            </w:r>
          </w:p>
        </w:tc>
        <w:tc>
          <w:tcPr>
            <w:tcW w:w="6020" w:type="dxa"/>
            <w:vAlign w:val="bottom"/>
            <w:tcBorders>
              <w:bottom w:val="single" w:sz="8" w:color="0000FF"/>
            </w:tcBorders>
            <w:gridSpan w:val="22"/>
          </w:tcPr>
          <w:p>
            <w:pPr>
              <w:spacing w:after="0"/>
              <w:rPr>
                <w:rFonts w:ascii="Arial" w:cs="Arial" w:eastAsia="Arial" w:hAnsi="Arial"/>
                <w:sz w:val="16"/>
                <w:szCs w:val="16"/>
                <w:color w:val="0000FF"/>
              </w:rPr>
            </w:pPr>
            <w:hyperlink r:id="rId21">
              <w:r>
                <w:rPr>
                  <w:rFonts w:ascii="Arial" w:cs="Arial" w:eastAsia="Arial" w:hAnsi="Arial"/>
                  <w:sz w:val="16"/>
                  <w:szCs w:val="16"/>
                  <w:color w:val="0000FF"/>
                </w:rPr>
                <w:t>Amended and Restated Employment Agreement, dated as of February 20, 2019, by</w:t>
              </w:r>
            </w:hyperlink>
          </w:p>
        </w:tc>
        <w:tc>
          <w:tcPr>
            <w:tcW w:w="80" w:type="dxa"/>
            <w:vAlign w:val="bottom"/>
            <w:gridSpan w:val="3"/>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6100" w:type="dxa"/>
            <w:vAlign w:val="bottom"/>
            <w:gridSpan w:val="25"/>
          </w:tcPr>
          <w:p>
            <w:pPr>
              <w:spacing w:after="0" w:line="169" w:lineRule="exact"/>
              <w:rPr>
                <w:rFonts w:ascii="Arial" w:cs="Arial" w:eastAsia="Arial" w:hAnsi="Arial"/>
                <w:sz w:val="16"/>
                <w:szCs w:val="16"/>
                <w:color w:val="0000FF"/>
              </w:rPr>
            </w:pPr>
            <w:hyperlink r:id="rId21">
              <w:r>
                <w:rPr>
                  <w:rFonts w:ascii="Arial" w:cs="Arial" w:eastAsia="Arial" w:hAnsi="Arial"/>
                  <w:sz w:val="16"/>
                  <w:szCs w:val="16"/>
                  <w:color w:val="0000FF"/>
                </w:rPr>
                <w:t>and between Tenable, Inc. and Amit Yoran</w:t>
              </w:r>
            </w:hyperlink>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10.8+</w:t>
            </w:r>
          </w:p>
        </w:tc>
        <w:tc>
          <w:tcPr>
            <w:tcW w:w="6020" w:type="dxa"/>
            <w:vAlign w:val="bottom"/>
            <w:tcBorders>
              <w:bottom w:val="single" w:sz="8" w:color="0000FF"/>
            </w:tcBorders>
            <w:gridSpan w:val="22"/>
          </w:tcPr>
          <w:p>
            <w:pPr>
              <w:spacing w:after="0"/>
              <w:rPr>
                <w:rFonts w:ascii="Arial" w:cs="Arial" w:eastAsia="Arial" w:hAnsi="Arial"/>
                <w:sz w:val="16"/>
                <w:szCs w:val="16"/>
                <w:color w:val="0000FF"/>
              </w:rPr>
            </w:pPr>
            <w:hyperlink r:id="rId22">
              <w:r>
                <w:rPr>
                  <w:rFonts w:ascii="Arial" w:cs="Arial" w:eastAsia="Arial" w:hAnsi="Arial"/>
                  <w:sz w:val="16"/>
                  <w:szCs w:val="16"/>
                  <w:color w:val="0000FF"/>
                </w:rPr>
                <w:t>Amended and Restated Employment Agreement, dated as of February 20, 2019, by</w:t>
              </w:r>
            </w:hyperlink>
          </w:p>
        </w:tc>
        <w:tc>
          <w:tcPr>
            <w:tcW w:w="80" w:type="dxa"/>
            <w:vAlign w:val="bottom"/>
            <w:gridSpan w:val="3"/>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6100" w:type="dxa"/>
            <w:vAlign w:val="bottom"/>
            <w:gridSpan w:val="25"/>
          </w:tcPr>
          <w:p>
            <w:pPr>
              <w:spacing w:after="0" w:line="169" w:lineRule="exact"/>
              <w:rPr>
                <w:rFonts w:ascii="Arial" w:cs="Arial" w:eastAsia="Arial" w:hAnsi="Arial"/>
                <w:sz w:val="16"/>
                <w:szCs w:val="16"/>
                <w:color w:val="0000FF"/>
              </w:rPr>
            </w:pPr>
            <w:hyperlink r:id="rId22">
              <w:r>
                <w:rPr>
                  <w:rFonts w:ascii="Arial" w:cs="Arial" w:eastAsia="Arial" w:hAnsi="Arial"/>
                  <w:sz w:val="16"/>
                  <w:szCs w:val="16"/>
                  <w:color w:val="0000FF"/>
                </w:rPr>
                <w:t>and between Tenable, Inc. and Stephen A. Vintz</w:t>
              </w:r>
            </w:hyperlink>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10.9+</w:t>
            </w:r>
          </w:p>
        </w:tc>
        <w:tc>
          <w:tcPr>
            <w:tcW w:w="6020" w:type="dxa"/>
            <w:vAlign w:val="bottom"/>
            <w:tcBorders>
              <w:bottom w:val="single" w:sz="8" w:color="0000FF"/>
            </w:tcBorders>
            <w:gridSpan w:val="22"/>
          </w:tcPr>
          <w:p>
            <w:pPr>
              <w:spacing w:after="0"/>
              <w:rPr>
                <w:rFonts w:ascii="Arial" w:cs="Arial" w:eastAsia="Arial" w:hAnsi="Arial"/>
                <w:sz w:val="16"/>
                <w:szCs w:val="16"/>
                <w:color w:val="0000FF"/>
              </w:rPr>
            </w:pPr>
            <w:hyperlink r:id="rId23">
              <w:r>
                <w:rPr>
                  <w:rFonts w:ascii="Arial" w:cs="Arial" w:eastAsia="Arial" w:hAnsi="Arial"/>
                  <w:sz w:val="16"/>
                  <w:szCs w:val="16"/>
                  <w:color w:val="0000FF"/>
                </w:rPr>
                <w:t>Amended and Restated Employment Agreement, dated as of February 20, 2019, by</w:t>
              </w:r>
            </w:hyperlink>
          </w:p>
        </w:tc>
        <w:tc>
          <w:tcPr>
            <w:tcW w:w="80" w:type="dxa"/>
            <w:vAlign w:val="bottom"/>
            <w:gridSpan w:val="3"/>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6100" w:type="dxa"/>
            <w:vAlign w:val="bottom"/>
            <w:gridSpan w:val="25"/>
          </w:tcPr>
          <w:p>
            <w:pPr>
              <w:spacing w:after="0" w:line="169" w:lineRule="exact"/>
              <w:rPr>
                <w:rFonts w:ascii="Arial" w:cs="Arial" w:eastAsia="Arial" w:hAnsi="Arial"/>
                <w:sz w:val="16"/>
                <w:szCs w:val="16"/>
                <w:color w:val="0000FF"/>
              </w:rPr>
            </w:pPr>
            <w:hyperlink r:id="rId23">
              <w:r>
                <w:rPr>
                  <w:rFonts w:ascii="Arial" w:cs="Arial" w:eastAsia="Arial" w:hAnsi="Arial"/>
                  <w:sz w:val="16"/>
                  <w:szCs w:val="16"/>
                  <w:color w:val="0000FF"/>
                </w:rPr>
                <w:t>and between Tenable, Inc. and John G. Negron</w:t>
              </w:r>
            </w:hyperlink>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10.10+</w:t>
            </w:r>
          </w:p>
        </w:tc>
        <w:tc>
          <w:tcPr>
            <w:tcW w:w="6020" w:type="dxa"/>
            <w:vAlign w:val="bottom"/>
            <w:tcBorders>
              <w:bottom w:val="single" w:sz="8" w:color="0000FF"/>
            </w:tcBorders>
            <w:gridSpan w:val="22"/>
          </w:tcPr>
          <w:p>
            <w:pPr>
              <w:spacing w:after="0"/>
              <w:rPr>
                <w:rFonts w:ascii="Arial" w:cs="Arial" w:eastAsia="Arial" w:hAnsi="Arial"/>
                <w:sz w:val="16"/>
                <w:szCs w:val="16"/>
                <w:color w:val="0000FF"/>
              </w:rPr>
            </w:pPr>
            <w:hyperlink r:id="rId24">
              <w:r>
                <w:rPr>
                  <w:rFonts w:ascii="Arial" w:cs="Arial" w:eastAsia="Arial" w:hAnsi="Arial"/>
                  <w:sz w:val="16"/>
                  <w:szCs w:val="16"/>
                  <w:color w:val="0000FF"/>
                </w:rPr>
                <w:t>Amended and Restated Employment Agreement, dated as of February 20, 2019, by</w:t>
              </w:r>
            </w:hyperlink>
          </w:p>
        </w:tc>
        <w:tc>
          <w:tcPr>
            <w:tcW w:w="80" w:type="dxa"/>
            <w:vAlign w:val="bottom"/>
            <w:gridSpan w:val="3"/>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3640" w:type="dxa"/>
            <w:vAlign w:val="bottom"/>
            <w:tcBorders>
              <w:bottom w:val="single" w:sz="8" w:color="0000FF"/>
            </w:tcBorders>
            <w:gridSpan w:val="11"/>
          </w:tcPr>
          <w:p>
            <w:pPr>
              <w:spacing w:after="0" w:line="169" w:lineRule="exact"/>
              <w:rPr>
                <w:rFonts w:ascii="Arial" w:cs="Arial" w:eastAsia="Arial" w:hAnsi="Arial"/>
                <w:sz w:val="16"/>
                <w:szCs w:val="16"/>
                <w:color w:val="0000FF"/>
              </w:rPr>
            </w:pPr>
            <w:hyperlink r:id="rId24">
              <w:r>
                <w:rPr>
                  <w:rFonts w:ascii="Arial" w:cs="Arial" w:eastAsia="Arial" w:hAnsi="Arial"/>
                  <w:sz w:val="16"/>
                  <w:szCs w:val="16"/>
                  <w:color w:val="0000FF"/>
                </w:rPr>
                <w:t>and between Tenable, Inc. and Stephen A. Riddick</w:t>
              </w:r>
            </w:hyperlink>
          </w:p>
        </w:tc>
        <w:tc>
          <w:tcPr>
            <w:tcW w:w="2460" w:type="dxa"/>
            <w:vAlign w:val="bottom"/>
            <w:gridSpan w:val="14"/>
          </w:tcPr>
          <w:p>
            <w:pPr>
              <w:spacing w:after="0"/>
              <w:rPr>
                <w:sz w:val="14"/>
                <w:szCs w:val="14"/>
                <w:color w:val="auto"/>
              </w:rPr>
            </w:pPr>
          </w:p>
        </w:tc>
      </w:tr>
      <w:tr>
        <w:trPr>
          <w:trHeight w:val="412"/>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10.11</w:t>
            </w:r>
          </w:p>
        </w:tc>
        <w:tc>
          <w:tcPr>
            <w:tcW w:w="6100" w:type="dxa"/>
            <w:vAlign w:val="bottom"/>
            <w:gridSpan w:val="25"/>
          </w:tcPr>
          <w:p>
            <w:pPr>
              <w:spacing w:after="0"/>
              <w:rPr>
                <w:rFonts w:ascii="Arial" w:cs="Arial" w:eastAsia="Arial" w:hAnsi="Arial"/>
                <w:sz w:val="16"/>
                <w:szCs w:val="16"/>
                <w:color w:val="0000FF"/>
              </w:rPr>
            </w:pPr>
            <w:hyperlink r:id="rId25">
              <w:r>
                <w:rPr>
                  <w:rFonts w:ascii="Arial" w:cs="Arial" w:eastAsia="Arial" w:hAnsi="Arial"/>
                  <w:sz w:val="16"/>
                  <w:szCs w:val="16"/>
                  <w:color w:val="0000FF"/>
                </w:rPr>
                <w:t>Loan and Security Agreement, dated as of May 4, 2017, by and between Tenable</w:t>
              </w:r>
            </w:hyperlink>
          </w:p>
        </w:tc>
      </w:tr>
      <w:tr>
        <w:trPr>
          <w:trHeight w:val="169"/>
        </w:trPr>
        <w:tc>
          <w:tcPr>
            <w:tcW w:w="82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9"/>
          </w:tcPr>
          <w:p>
            <w:pPr>
              <w:spacing w:after="0" w:line="169" w:lineRule="exact"/>
              <w:rPr>
                <w:rFonts w:ascii="Arial" w:cs="Arial" w:eastAsia="Arial" w:hAnsi="Arial"/>
                <w:sz w:val="16"/>
                <w:szCs w:val="16"/>
                <w:color w:val="0000FF"/>
              </w:rPr>
            </w:pPr>
            <w:hyperlink r:id="rId25">
              <w:r>
                <w:rPr>
                  <w:rFonts w:ascii="Arial" w:cs="Arial" w:eastAsia="Arial" w:hAnsi="Arial"/>
                  <w:sz w:val="16"/>
                  <w:szCs w:val="16"/>
                  <w:color w:val="0000FF"/>
                </w:rPr>
                <w:t>Network Security, Inc. and Silicon Valley Bank</w:t>
              </w:r>
            </w:hyperlink>
          </w:p>
        </w:tc>
        <w:tc>
          <w:tcPr>
            <w:tcW w:w="2520" w:type="dxa"/>
            <w:vAlign w:val="bottom"/>
            <w:tcBorders>
              <w:top w:val="single" w:sz="8" w:color="0000FF"/>
            </w:tcBorders>
            <w:gridSpan w:val="9"/>
          </w:tcPr>
          <w:p>
            <w:pPr>
              <w:spacing w:after="0"/>
              <w:rPr>
                <w:sz w:val="14"/>
                <w:szCs w:val="14"/>
                <w:color w:val="auto"/>
              </w:rPr>
            </w:pPr>
          </w:p>
        </w:tc>
        <w:tc>
          <w:tcPr>
            <w:tcW w:w="280" w:type="dxa"/>
            <w:vAlign w:val="bottom"/>
            <w:gridSpan w:val="7"/>
          </w:tcPr>
          <w:p>
            <w:pPr>
              <w:spacing w:after="0"/>
              <w:rPr>
                <w:sz w:val="14"/>
                <w:szCs w:val="14"/>
                <w:color w:val="auto"/>
              </w:rPr>
            </w:pPr>
          </w:p>
        </w:tc>
      </w:tr>
      <w:tr>
        <w:trPr>
          <w:trHeight w:val="412"/>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10.12#</w:t>
            </w:r>
          </w:p>
        </w:tc>
        <w:tc>
          <w:tcPr>
            <w:tcW w:w="6100" w:type="dxa"/>
            <w:vAlign w:val="bottom"/>
            <w:gridSpan w:val="25"/>
          </w:tcPr>
          <w:p>
            <w:pPr>
              <w:spacing w:after="0"/>
              <w:rPr>
                <w:rFonts w:ascii="Arial" w:cs="Arial" w:eastAsia="Arial" w:hAnsi="Arial"/>
                <w:sz w:val="16"/>
                <w:szCs w:val="16"/>
                <w:color w:val="0000FF"/>
              </w:rPr>
            </w:pPr>
            <w:hyperlink r:id="rId26">
              <w:r>
                <w:rPr>
                  <w:rFonts w:ascii="Arial" w:cs="Arial" w:eastAsia="Arial" w:hAnsi="Arial"/>
                  <w:sz w:val="16"/>
                  <w:szCs w:val="16"/>
                  <w:color w:val="0000FF"/>
                </w:rPr>
                <w:t>Distribution Agreement, dated as of September 10, 2012, by and between Tenable</w:t>
              </w:r>
            </w:hyperlink>
          </w:p>
        </w:tc>
      </w:tr>
      <w:tr>
        <w:trPr>
          <w:trHeight w:val="169"/>
        </w:trPr>
        <w:tc>
          <w:tcPr>
            <w:tcW w:w="820" w:type="dxa"/>
            <w:vAlign w:val="bottom"/>
          </w:tcPr>
          <w:p>
            <w:pPr>
              <w:spacing w:after="0"/>
              <w:rPr>
                <w:sz w:val="14"/>
                <w:szCs w:val="14"/>
                <w:color w:val="auto"/>
              </w:rPr>
            </w:pPr>
          </w:p>
        </w:tc>
        <w:tc>
          <w:tcPr>
            <w:tcW w:w="590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26">
              <w:r>
                <w:rPr>
                  <w:rFonts w:ascii="Arial" w:cs="Arial" w:eastAsia="Arial" w:hAnsi="Arial"/>
                  <w:sz w:val="16"/>
                  <w:szCs w:val="16"/>
                  <w:color w:val="0000FF"/>
                </w:rPr>
                <w:t>Network Security, Inc. and Ingram Micro, Inc.</w:t>
              </w:r>
            </w:hyperlink>
          </w:p>
        </w:tc>
        <w:tc>
          <w:tcPr>
            <w:tcW w:w="200" w:type="dxa"/>
            <w:vAlign w:val="bottom"/>
            <w:gridSpan w:val="6"/>
          </w:tcPr>
          <w:p>
            <w:pPr>
              <w:spacing w:after="0"/>
              <w:rPr>
                <w:sz w:val="14"/>
                <w:szCs w:val="14"/>
                <w:color w:val="auto"/>
              </w:rPr>
            </w:pPr>
          </w:p>
        </w:tc>
      </w:tr>
      <w:tr>
        <w:trPr>
          <w:trHeight w:val="412"/>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21.1</w:t>
            </w:r>
          </w:p>
        </w:tc>
        <w:tc>
          <w:tcPr>
            <w:tcW w:w="3220" w:type="dxa"/>
            <w:vAlign w:val="bottom"/>
            <w:tcBorders>
              <w:top w:val="single" w:sz="8" w:color="0000FF"/>
            </w:tcBorders>
            <w:gridSpan w:val="8"/>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Subsidiaries of Tenable Holdings, Inc.</w:t>
              </w:r>
            </w:hyperlink>
          </w:p>
        </w:tc>
        <w:tc>
          <w:tcPr>
            <w:tcW w:w="2880" w:type="dxa"/>
            <w:vAlign w:val="bottom"/>
            <w:gridSpan w:val="17"/>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23.1</w:t>
            </w:r>
          </w:p>
        </w:tc>
        <w:tc>
          <w:tcPr>
            <w:tcW w:w="5540" w:type="dxa"/>
            <w:vAlign w:val="bottom"/>
            <w:tcBorders>
              <w:bottom w:val="single" w:sz="8" w:color="0000FF"/>
            </w:tcBorders>
            <w:gridSpan w:val="14"/>
          </w:tcPr>
          <w:p>
            <w:pPr>
              <w:spacing w:after="0"/>
              <w:rPr>
                <w:rFonts w:ascii="Arial" w:cs="Arial" w:eastAsia="Arial" w:hAnsi="Arial"/>
                <w:sz w:val="16"/>
                <w:szCs w:val="16"/>
                <w:color w:val="0000FF"/>
              </w:rPr>
            </w:pPr>
            <w:hyperlink w:anchor="page103">
              <w:r>
                <w:rPr>
                  <w:rFonts w:ascii="Arial" w:cs="Arial" w:eastAsia="Arial" w:hAnsi="Arial"/>
                  <w:sz w:val="16"/>
                  <w:szCs w:val="16"/>
                  <w:color w:val="0000FF"/>
                </w:rPr>
                <w:t>Consent of Ernst &amp; Young LLP, independent registered public accounting firm</w:t>
              </w:r>
            </w:hyperlink>
          </w:p>
        </w:tc>
        <w:tc>
          <w:tcPr>
            <w:tcW w:w="560" w:type="dxa"/>
            <w:vAlign w:val="bottom"/>
            <w:gridSpan w:val="11"/>
          </w:tcPr>
          <w:p>
            <w:pPr>
              <w:spacing w:after="0"/>
              <w:rPr>
                <w:sz w:val="21"/>
                <w:szCs w:val="21"/>
                <w:color w:val="auto"/>
              </w:rPr>
            </w:pPr>
          </w:p>
        </w:tc>
      </w:tr>
      <w:tr>
        <w:trPr>
          <w:trHeight w:val="25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24.1</w:t>
            </w:r>
          </w:p>
        </w:tc>
        <w:tc>
          <w:tcPr>
            <w:tcW w:w="1300" w:type="dxa"/>
            <w:vAlign w:val="bottom"/>
            <w:tcBorders>
              <w:bottom w:val="single" w:sz="8" w:color="0000EE"/>
            </w:tcBorders>
            <w:gridSpan w:val="2"/>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Power of Attorney</w:t>
              </w:r>
            </w:hyperlink>
          </w:p>
        </w:tc>
        <w:tc>
          <w:tcPr>
            <w:tcW w:w="4800" w:type="dxa"/>
            <w:vAlign w:val="bottom"/>
            <w:gridSpan w:val="23"/>
          </w:tcPr>
          <w:p>
            <w:pPr>
              <w:spacing w:after="0"/>
              <w:rPr>
                <w:sz w:val="21"/>
                <w:szCs w:val="21"/>
                <w:color w:val="auto"/>
              </w:rPr>
            </w:pPr>
          </w:p>
        </w:tc>
      </w:tr>
      <w:tr>
        <w:trPr>
          <w:trHeight w:val="25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31.1</w:t>
            </w:r>
          </w:p>
        </w:tc>
        <w:tc>
          <w:tcPr>
            <w:tcW w:w="6000" w:type="dxa"/>
            <w:vAlign w:val="bottom"/>
            <w:tcBorders>
              <w:bottom w:val="single" w:sz="8" w:color="0000FF"/>
            </w:tcBorders>
            <w:gridSpan w:val="21"/>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Certification of the Principal Executive Officer pursuant to Rules 13a-14(a) and 15d-</w:t>
              </w:r>
            </w:hyperlink>
          </w:p>
        </w:tc>
        <w:tc>
          <w:tcPr>
            <w:tcW w:w="100" w:type="dxa"/>
            <w:vAlign w:val="bottom"/>
            <w:gridSpan w:val="4"/>
          </w:tcPr>
          <w:p>
            <w:pPr>
              <w:spacing w:after="0"/>
              <w:rPr>
                <w:sz w:val="21"/>
                <w:szCs w:val="21"/>
                <w:color w:val="auto"/>
              </w:rPr>
            </w:pPr>
          </w:p>
        </w:tc>
      </w:tr>
      <w:tr>
        <w:trPr>
          <w:trHeight w:val="169"/>
        </w:trPr>
        <w:tc>
          <w:tcPr>
            <w:tcW w:w="820" w:type="dxa"/>
            <w:vAlign w:val="bottom"/>
          </w:tcPr>
          <w:p>
            <w:pPr>
              <w:spacing w:after="0"/>
              <w:rPr>
                <w:sz w:val="14"/>
                <w:szCs w:val="14"/>
                <w:color w:val="auto"/>
              </w:rPr>
            </w:pPr>
          </w:p>
        </w:tc>
        <w:tc>
          <w:tcPr>
            <w:tcW w:w="606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w:anchor="page104">
              <w:r>
                <w:rPr>
                  <w:rFonts w:ascii="Arial" w:cs="Arial" w:eastAsia="Arial" w:hAnsi="Arial"/>
                  <w:sz w:val="16"/>
                  <w:szCs w:val="16"/>
                  <w:color w:val="0000FF"/>
                </w:rPr>
                <w:t>14(a) under the Exchange Act, as adopted pursuant to Section 302 of the Sarbanes-</w:t>
              </w:r>
            </w:hyperlink>
          </w:p>
        </w:tc>
        <w:tc>
          <w:tcPr>
            <w:tcW w:w="40" w:type="dxa"/>
            <w:vAlign w:val="bottom"/>
            <w:gridSpan w:val="2"/>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6100" w:type="dxa"/>
            <w:vAlign w:val="bottom"/>
            <w:gridSpan w:val="25"/>
          </w:tcPr>
          <w:p>
            <w:pPr>
              <w:spacing w:after="0" w:line="169" w:lineRule="exact"/>
              <w:rPr>
                <w:rFonts w:ascii="Arial" w:cs="Arial" w:eastAsia="Arial" w:hAnsi="Arial"/>
                <w:sz w:val="16"/>
                <w:szCs w:val="16"/>
                <w:color w:val="0000FF"/>
              </w:rPr>
            </w:pPr>
            <w:hyperlink w:anchor="page104">
              <w:r>
                <w:rPr>
                  <w:rFonts w:ascii="Arial" w:cs="Arial" w:eastAsia="Arial" w:hAnsi="Arial"/>
                  <w:sz w:val="16"/>
                  <w:szCs w:val="16"/>
                  <w:color w:val="0000FF"/>
                </w:rPr>
                <w:t>Oxley Act of 2002</w:t>
              </w:r>
            </w:hyperlink>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2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23"/>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31.2</w:t>
            </w:r>
          </w:p>
        </w:tc>
        <w:tc>
          <w:tcPr>
            <w:tcW w:w="5940" w:type="dxa"/>
            <w:vAlign w:val="bottom"/>
            <w:tcBorders>
              <w:bottom w:val="single" w:sz="8" w:color="0000FF"/>
            </w:tcBorders>
            <w:gridSpan w:val="20"/>
          </w:tcPr>
          <w:p>
            <w:pPr>
              <w:spacing w:after="0"/>
              <w:rPr>
                <w:rFonts w:ascii="Arial" w:cs="Arial" w:eastAsia="Arial" w:hAnsi="Arial"/>
                <w:sz w:val="16"/>
                <w:szCs w:val="16"/>
                <w:color w:val="0000FF"/>
              </w:rPr>
            </w:pPr>
            <w:hyperlink w:anchor="page105">
              <w:r>
                <w:rPr>
                  <w:rFonts w:ascii="Arial" w:cs="Arial" w:eastAsia="Arial" w:hAnsi="Arial"/>
                  <w:sz w:val="16"/>
                  <w:szCs w:val="16"/>
                  <w:color w:val="0000FF"/>
                </w:rPr>
                <w:t>Certification of the Principal Financial Officer pursuant to Rules 13a-14(a) and 15d-</w:t>
              </w:r>
            </w:hyperlink>
          </w:p>
        </w:tc>
        <w:tc>
          <w:tcPr>
            <w:tcW w:w="160" w:type="dxa"/>
            <w:vAlign w:val="bottom"/>
            <w:gridSpan w:val="5"/>
          </w:tcPr>
          <w:p>
            <w:pPr>
              <w:spacing w:after="0"/>
              <w:rPr>
                <w:sz w:val="19"/>
                <w:szCs w:val="19"/>
                <w:color w:val="auto"/>
              </w:rPr>
            </w:pPr>
          </w:p>
        </w:tc>
      </w:tr>
      <w:tr>
        <w:trPr>
          <w:trHeight w:val="169"/>
        </w:trPr>
        <w:tc>
          <w:tcPr>
            <w:tcW w:w="820" w:type="dxa"/>
            <w:vAlign w:val="bottom"/>
          </w:tcPr>
          <w:p>
            <w:pPr>
              <w:spacing w:after="0"/>
              <w:rPr>
                <w:sz w:val="14"/>
                <w:szCs w:val="14"/>
                <w:color w:val="auto"/>
              </w:rPr>
            </w:pPr>
          </w:p>
        </w:tc>
        <w:tc>
          <w:tcPr>
            <w:tcW w:w="606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w:anchor="page105">
              <w:r>
                <w:rPr>
                  <w:rFonts w:ascii="Arial" w:cs="Arial" w:eastAsia="Arial" w:hAnsi="Arial"/>
                  <w:sz w:val="16"/>
                  <w:szCs w:val="16"/>
                  <w:color w:val="0000FF"/>
                </w:rPr>
                <w:t>14(a) under the Exchange Act, as adopted pursuant to Section 302 of the Sarbanes-</w:t>
              </w:r>
            </w:hyperlink>
          </w:p>
        </w:tc>
        <w:tc>
          <w:tcPr>
            <w:tcW w:w="40" w:type="dxa"/>
            <w:vAlign w:val="bottom"/>
            <w:gridSpan w:val="2"/>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6100" w:type="dxa"/>
            <w:vAlign w:val="bottom"/>
            <w:gridSpan w:val="25"/>
          </w:tcPr>
          <w:p>
            <w:pPr>
              <w:spacing w:after="0" w:line="169" w:lineRule="exact"/>
              <w:rPr>
                <w:rFonts w:ascii="Arial" w:cs="Arial" w:eastAsia="Arial" w:hAnsi="Arial"/>
                <w:sz w:val="16"/>
                <w:szCs w:val="16"/>
                <w:color w:val="0000FF"/>
              </w:rPr>
            </w:pPr>
            <w:hyperlink w:anchor="page105">
              <w:r>
                <w:rPr>
                  <w:rFonts w:ascii="Arial" w:cs="Arial" w:eastAsia="Arial" w:hAnsi="Arial"/>
                  <w:sz w:val="16"/>
                  <w:szCs w:val="16"/>
                  <w:color w:val="0000FF"/>
                </w:rPr>
                <w:t>Oxley Act of 2002</w:t>
              </w:r>
            </w:hyperlink>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2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r>
      <w:tr>
        <w:trPr>
          <w:trHeight w:val="223"/>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32.1*</w:t>
            </w:r>
          </w:p>
        </w:tc>
        <w:tc>
          <w:tcPr>
            <w:tcW w:w="5720" w:type="dxa"/>
            <w:vAlign w:val="bottom"/>
            <w:tcBorders>
              <w:bottom w:val="single" w:sz="8" w:color="0000FF"/>
            </w:tcBorders>
            <w:gridSpan w:val="17"/>
          </w:tcPr>
          <w:p>
            <w:pPr>
              <w:spacing w:after="0"/>
              <w:rPr>
                <w:rFonts w:ascii="Arial" w:cs="Arial" w:eastAsia="Arial" w:hAnsi="Arial"/>
                <w:sz w:val="16"/>
                <w:szCs w:val="16"/>
                <w:color w:val="0000FF"/>
              </w:rPr>
            </w:pPr>
            <w:hyperlink w:anchor="page106">
              <w:r>
                <w:rPr>
                  <w:rFonts w:ascii="Arial" w:cs="Arial" w:eastAsia="Arial" w:hAnsi="Arial"/>
                  <w:sz w:val="16"/>
                  <w:szCs w:val="16"/>
                  <w:color w:val="0000FF"/>
                </w:rPr>
                <w:t>Certification of the Principal Executive Officer and the Principal Financial Officer</w:t>
              </w:r>
            </w:hyperlink>
          </w:p>
        </w:tc>
        <w:tc>
          <w:tcPr>
            <w:tcW w:w="380" w:type="dxa"/>
            <w:vAlign w:val="bottom"/>
            <w:gridSpan w:val="8"/>
          </w:tcPr>
          <w:p>
            <w:pPr>
              <w:spacing w:after="0"/>
              <w:rPr>
                <w:sz w:val="19"/>
                <w:szCs w:val="19"/>
                <w:color w:val="auto"/>
              </w:rPr>
            </w:pPr>
          </w:p>
        </w:tc>
      </w:tr>
      <w:tr>
        <w:trPr>
          <w:trHeight w:val="169"/>
        </w:trPr>
        <w:tc>
          <w:tcPr>
            <w:tcW w:w="820" w:type="dxa"/>
            <w:vAlign w:val="bottom"/>
          </w:tcPr>
          <w:p>
            <w:pPr>
              <w:spacing w:after="0"/>
              <w:rPr>
                <w:sz w:val="14"/>
                <w:szCs w:val="14"/>
                <w:color w:val="auto"/>
              </w:rPr>
            </w:pPr>
          </w:p>
        </w:tc>
        <w:tc>
          <w:tcPr>
            <w:tcW w:w="566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w:anchor="page106">
              <w:r>
                <w:rPr>
                  <w:rFonts w:ascii="Arial" w:cs="Arial" w:eastAsia="Arial" w:hAnsi="Arial"/>
                  <w:sz w:val="16"/>
                  <w:szCs w:val="16"/>
                  <w:color w:val="0000FF"/>
                </w:rPr>
                <w:t>pursuant to 18 U.S.C. Section 1350, as adopted pursuant to Section 906 of the</w:t>
              </w:r>
            </w:hyperlink>
          </w:p>
        </w:tc>
        <w:tc>
          <w:tcPr>
            <w:tcW w:w="440" w:type="dxa"/>
            <w:vAlign w:val="bottom"/>
            <w:gridSpan w:val="9"/>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2040" w:type="dxa"/>
            <w:vAlign w:val="bottom"/>
            <w:tcBorders>
              <w:bottom w:val="single" w:sz="8" w:color="0000FF"/>
            </w:tcBorders>
            <w:gridSpan w:val="3"/>
          </w:tcPr>
          <w:p>
            <w:pPr>
              <w:spacing w:after="0" w:line="169" w:lineRule="exact"/>
              <w:rPr>
                <w:rFonts w:ascii="Arial" w:cs="Arial" w:eastAsia="Arial" w:hAnsi="Arial"/>
                <w:sz w:val="16"/>
                <w:szCs w:val="16"/>
                <w:color w:val="0000FF"/>
              </w:rPr>
            </w:pPr>
            <w:hyperlink w:anchor="page106">
              <w:r>
                <w:rPr>
                  <w:rFonts w:ascii="Arial" w:cs="Arial" w:eastAsia="Arial" w:hAnsi="Arial"/>
                  <w:sz w:val="16"/>
                  <w:szCs w:val="16"/>
                  <w:color w:val="0000FF"/>
                </w:rPr>
                <w:t>Sarbanes-Oxley Act of 2002</w:t>
              </w:r>
            </w:hyperlink>
          </w:p>
        </w:tc>
        <w:tc>
          <w:tcPr>
            <w:tcW w:w="4060" w:type="dxa"/>
            <w:vAlign w:val="bottom"/>
            <w:gridSpan w:val="22"/>
          </w:tcPr>
          <w:p>
            <w:pPr>
              <w:spacing w:after="0"/>
              <w:rPr>
                <w:sz w:val="14"/>
                <w:szCs w:val="14"/>
                <w:color w:val="auto"/>
              </w:rPr>
            </w:pPr>
          </w:p>
        </w:tc>
      </w:tr>
      <w:tr>
        <w:trPr>
          <w:trHeight w:val="252"/>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101.INS</w:t>
            </w:r>
          </w:p>
        </w:tc>
        <w:tc>
          <w:tcPr>
            <w:tcW w:w="6100" w:type="dxa"/>
            <w:vAlign w:val="bottom"/>
            <w:gridSpan w:val="25"/>
          </w:tcPr>
          <w:p>
            <w:pPr>
              <w:spacing w:after="0"/>
              <w:rPr>
                <w:sz w:val="20"/>
                <w:szCs w:val="20"/>
                <w:color w:val="auto"/>
              </w:rPr>
            </w:pPr>
            <w:r>
              <w:rPr>
                <w:rFonts w:ascii="Arial" w:cs="Arial" w:eastAsia="Arial" w:hAnsi="Arial"/>
                <w:sz w:val="16"/>
                <w:szCs w:val="16"/>
                <w:color w:val="auto"/>
              </w:rPr>
              <w:t>XBRL Instance Document - the instance document does not appear in the Interactive</w:t>
            </w:r>
          </w:p>
        </w:tc>
      </w:tr>
      <w:tr>
        <w:trPr>
          <w:trHeight w:val="195"/>
        </w:trPr>
        <w:tc>
          <w:tcPr>
            <w:tcW w:w="820" w:type="dxa"/>
            <w:vAlign w:val="bottom"/>
          </w:tcPr>
          <w:p>
            <w:pPr>
              <w:spacing w:after="0"/>
              <w:rPr>
                <w:sz w:val="16"/>
                <w:szCs w:val="16"/>
                <w:color w:val="auto"/>
              </w:rPr>
            </w:pPr>
          </w:p>
        </w:tc>
        <w:tc>
          <w:tcPr>
            <w:tcW w:w="6100" w:type="dxa"/>
            <w:vAlign w:val="bottom"/>
            <w:gridSpan w:val="25"/>
          </w:tcPr>
          <w:p>
            <w:pPr>
              <w:spacing w:after="0"/>
              <w:rPr>
                <w:sz w:val="20"/>
                <w:szCs w:val="20"/>
                <w:color w:val="auto"/>
              </w:rPr>
            </w:pPr>
            <w:r>
              <w:rPr>
                <w:rFonts w:ascii="Arial" w:cs="Arial" w:eastAsia="Arial" w:hAnsi="Arial"/>
                <w:sz w:val="16"/>
                <w:szCs w:val="16"/>
                <w:color w:val="auto"/>
              </w:rPr>
              <w:t>Data File because its XBRL tags are embedded within the inline XBRL document</w:t>
            </w:r>
          </w:p>
        </w:tc>
      </w:tr>
      <w:tr>
        <w:trPr>
          <w:trHeight w:val="270"/>
        </w:trPr>
        <w:tc>
          <w:tcPr>
            <w:tcW w:w="820" w:type="dxa"/>
            <w:vAlign w:val="bottom"/>
          </w:tcPr>
          <w:p>
            <w:pPr>
              <w:jc w:val="right"/>
              <w:ind w:right="79"/>
              <w:spacing w:after="0"/>
              <w:rPr>
                <w:sz w:val="20"/>
                <w:szCs w:val="20"/>
                <w:color w:val="auto"/>
              </w:rPr>
            </w:pPr>
            <w:r>
              <w:rPr>
                <w:rFonts w:ascii="Arial" w:cs="Arial" w:eastAsia="Arial" w:hAnsi="Arial"/>
                <w:sz w:val="16"/>
                <w:szCs w:val="16"/>
                <w:color w:val="auto"/>
                <w:w w:val="98"/>
              </w:rPr>
              <w:t>101.SCH</w:t>
            </w:r>
          </w:p>
        </w:tc>
        <w:tc>
          <w:tcPr>
            <w:tcW w:w="6100" w:type="dxa"/>
            <w:vAlign w:val="bottom"/>
            <w:gridSpan w:val="25"/>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7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101.CAL</w:t>
            </w:r>
          </w:p>
        </w:tc>
        <w:tc>
          <w:tcPr>
            <w:tcW w:w="6100" w:type="dxa"/>
            <w:vAlign w:val="bottom"/>
            <w:gridSpan w:val="25"/>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7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101.DEF</w:t>
            </w:r>
          </w:p>
        </w:tc>
        <w:tc>
          <w:tcPr>
            <w:tcW w:w="6100" w:type="dxa"/>
            <w:vAlign w:val="bottom"/>
            <w:gridSpan w:val="25"/>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7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101.LAB</w:t>
            </w:r>
          </w:p>
        </w:tc>
        <w:tc>
          <w:tcPr>
            <w:tcW w:w="6100" w:type="dxa"/>
            <w:vAlign w:val="bottom"/>
            <w:gridSpan w:val="25"/>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70"/>
        </w:trPr>
        <w:tc>
          <w:tcPr>
            <w:tcW w:w="820" w:type="dxa"/>
            <w:vAlign w:val="bottom"/>
          </w:tcPr>
          <w:p>
            <w:pPr>
              <w:jc w:val="right"/>
              <w:ind w:right="79"/>
              <w:spacing w:after="0"/>
              <w:rPr>
                <w:sz w:val="20"/>
                <w:szCs w:val="20"/>
                <w:color w:val="auto"/>
              </w:rPr>
            </w:pPr>
            <w:r>
              <w:rPr>
                <w:rFonts w:ascii="Arial" w:cs="Arial" w:eastAsia="Arial" w:hAnsi="Arial"/>
                <w:sz w:val="16"/>
                <w:szCs w:val="16"/>
                <w:color w:val="auto"/>
                <w:w w:val="99"/>
              </w:rPr>
              <w:t>101.PRE</w:t>
            </w:r>
          </w:p>
        </w:tc>
        <w:tc>
          <w:tcPr>
            <w:tcW w:w="6100" w:type="dxa"/>
            <w:vAlign w:val="bottom"/>
            <w:gridSpan w:val="25"/>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452"/>
        </w:trPr>
        <w:tc>
          <w:tcPr>
            <w:tcW w:w="820" w:type="dxa"/>
            <w:vAlign w:val="bottom"/>
          </w:tcPr>
          <w:p>
            <w:pPr>
              <w:spacing w:after="0"/>
              <w:rPr>
                <w:sz w:val="24"/>
                <w:szCs w:val="24"/>
                <w:color w:val="auto"/>
              </w:rPr>
            </w:pPr>
          </w:p>
        </w:tc>
        <w:tc>
          <w:tcPr>
            <w:tcW w:w="5540" w:type="dxa"/>
            <w:vAlign w:val="bottom"/>
            <w:gridSpan w:val="14"/>
          </w:tcPr>
          <w:p>
            <w:pPr>
              <w:ind w:left="48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Previously filed as Exhibit 10.2 to the Company's Registration Statement on Form S-8 (File No. 333-226347) on July 26, 2018</w:t>
      </w:r>
    </w:p>
    <w:p>
      <w:pPr>
        <w:spacing w:after="0" w:line="3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Previously filed as Exhibit 10.3 to the Company's Registration Statement on Form S-8 (File No. 333-226347) on July 26, 2018</w:t>
      </w:r>
    </w:p>
    <w:p>
      <w:pPr>
        <w:spacing w:after="0" w:line="3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Previously filed as Exhibit 10.4 to the Company's Registration Statement on Form S-8 (File No. 333-226347) on July 26, 2018</w:t>
      </w:r>
    </w:p>
    <w:p>
      <w:pPr>
        <w:spacing w:after="0" w:line="3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Previously filed as Exhibit 10.5 to the Company's Registration Statement on Form S-8 (File No. 333-226347) on July 26, 2018</w:t>
      </w:r>
    </w:p>
    <w:p>
      <w:pPr>
        <w:spacing w:after="0" w:line="3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Previously filed as Exhibit 10.6 to the Company's Registration Statement on Form S-1 (File No. 333-226002) on July 16, 2018</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10.1 to the Company's Current Report on Form 8-K (File No. 001-38600) on February 22, 2019</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10.2 to the Company's Current Report on Form 8-K (File No. 001-38600) on February 22, 2019</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10.4 to the Company's Current Report on Form 8-K (File No. 001-38600) on February 22, 2019</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10.3 to the Company's Current Report on Form 8-K (File No. 001-38600) on February 22, 2019</w:t>
      </w:r>
    </w:p>
    <w:p>
      <w:pPr>
        <w:spacing w:after="0" w:line="39"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Previously filed as Exhibit 10.11 to the Company's Registration Statement on Form S-1 (File No. 333-226002) on July 16, 2018</w:t>
      </w:r>
    </w:p>
    <w:p>
      <w:pPr>
        <w:spacing w:after="0" w:line="39"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Previously filed as Exhibit 10.12 to the Company's Registration Statement on Form S-1 (File No. 333-226002) on July 16, 2018</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ectPr>
          <w:pgSz w:w="11900" w:h="16838" w:orient="portrait"/>
          <w:cols w:equalWidth="0" w:num="2">
            <w:col w:w="6920" w:space="280"/>
            <w:col w:w="3780"/>
          </w:cols>
          <w:pgMar w:left="380" w:top="140" w:right="539" w:bottom="1440" w:gutter="0" w:footer="0" w:header="0"/>
          <w:type w:val="continuous"/>
        </w:sectPr>
      </w:pPr>
    </w:p>
    <w:bookmarkStart w:id="95" w:name="page96"/>
    <w:bookmarkEnd w:id="9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60" w:right="4320" w:hanging="439"/>
        <w:spacing w:after="0" w:line="246" w:lineRule="auto"/>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101.SCH, 101.CAL, 101.DEF, 101.LAB</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and 101.PRE)</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54" w:lineRule="exact"/>
        <w:rPr>
          <w:sz w:val="20"/>
          <w:szCs w:val="20"/>
          <w:color w:val="auto"/>
        </w:rPr>
      </w:pPr>
    </w:p>
    <w:p>
      <w:pPr>
        <w:ind w:firstLine="8"/>
        <w:spacing w:after="0" w:line="253" w:lineRule="auto"/>
        <w:tabs>
          <w:tab w:leader="none" w:pos="34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93"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13" w:lineRule="exact"/>
        <w:rPr>
          <w:sz w:val="20"/>
          <w:szCs w:val="20"/>
          <w:color w:val="auto"/>
        </w:rPr>
      </w:pPr>
    </w:p>
    <w:p>
      <w:pPr>
        <w:ind w:right="360" w:firstLine="8"/>
        <w:spacing w:after="0" w:line="260" w:lineRule="auto"/>
        <w:tabs>
          <w:tab w:leader="none" w:pos="378"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Confidential treatment has been granted as to certain portions, indicated by asterisks, which portions have been omitted and filed separately with the Securities and Exchange Commission.</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140" w:right="279" w:bottom="1440" w:gutter="0" w:footer="0" w:header="0"/>
        </w:sectPr>
      </w:pPr>
    </w:p>
    <w:bookmarkStart w:id="96" w:name="page97"/>
    <w:bookmarkEnd w:id="9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TENABLE HOLDINGS, INC.</w:t>
      </w:r>
    </w:p>
    <w:p>
      <w:pPr>
        <w:spacing w:after="0" w:line="396" w:lineRule="exact"/>
        <w:rPr>
          <w:sz w:val="20"/>
          <w:szCs w:val="20"/>
          <w:color w:val="auto"/>
        </w:rPr>
      </w:pPr>
    </w:p>
    <w:p>
      <w:pPr>
        <w:ind w:left="40"/>
        <w:spacing w:after="0"/>
        <w:tabs>
          <w:tab w:leader="none" w:pos="4200" w:val="left"/>
        </w:tabs>
        <w:rPr>
          <w:sz w:val="20"/>
          <w:szCs w:val="20"/>
          <w:color w:val="auto"/>
        </w:rPr>
      </w:pPr>
      <w:r>
        <w:rPr>
          <w:rFonts w:ascii="Arial" w:cs="Arial" w:eastAsia="Arial" w:hAnsi="Arial"/>
          <w:sz w:val="18"/>
          <w:szCs w:val="18"/>
          <w:color w:val="auto"/>
        </w:rPr>
        <w:t>Date:  February 28, 2020</w:t>
      </w:r>
      <w:r>
        <w:rPr>
          <w:sz w:val="20"/>
          <w:szCs w:val="20"/>
          <w:color w:val="auto"/>
        </w:rPr>
        <w:tab/>
      </w:r>
      <w:r>
        <w:rPr>
          <w:rFonts w:ascii="Arial" w:cs="Arial" w:eastAsia="Arial" w:hAnsi="Arial"/>
          <w:sz w:val="18"/>
          <w:szCs w:val="18"/>
          <w:color w:val="auto"/>
        </w:rPr>
        <w:t>By: /s/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32759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4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and Chief Executive Officer</w:t>
      </w:r>
    </w:p>
    <w:p>
      <w:pPr>
        <w:spacing w:after="0" w:line="374" w:lineRule="exact"/>
        <w:rPr>
          <w:sz w:val="20"/>
          <w:szCs w:val="20"/>
          <w:color w:val="auto"/>
        </w:rPr>
      </w:pPr>
    </w:p>
    <w:p>
      <w:pPr>
        <w:ind w:left="40"/>
        <w:spacing w:after="0"/>
        <w:tabs>
          <w:tab w:leader="none" w:pos="4200" w:val="left"/>
        </w:tabs>
        <w:rPr>
          <w:sz w:val="20"/>
          <w:szCs w:val="20"/>
          <w:color w:val="auto"/>
        </w:rPr>
      </w:pPr>
      <w:r>
        <w:rPr>
          <w:rFonts w:ascii="Arial" w:cs="Arial" w:eastAsia="Arial" w:hAnsi="Arial"/>
          <w:sz w:val="18"/>
          <w:szCs w:val="18"/>
          <w:color w:val="auto"/>
        </w:rPr>
        <w:t>Date:  February 28, 2020</w:t>
      </w:r>
      <w:r>
        <w:rPr>
          <w:sz w:val="20"/>
          <w:szCs w:val="20"/>
          <w:color w:val="auto"/>
        </w:rPr>
        <w:tab/>
      </w:r>
      <w:r>
        <w:rPr>
          <w:rFonts w:ascii="Arial" w:cs="Arial" w:eastAsia="Arial" w:hAnsi="Arial"/>
          <w:sz w:val="18"/>
          <w:szCs w:val="18"/>
          <w:color w:val="auto"/>
        </w:rPr>
        <w:t>By: /s/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32759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4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140" w:right="459" w:bottom="1440" w:gutter="0" w:footer="0" w:header="0"/>
        </w:sectPr>
      </w:pPr>
    </w:p>
    <w:bookmarkStart w:id="97" w:name="page98"/>
    <w:bookmarkEnd w:id="9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POWER OF ATTORNEY</w:t>
      </w:r>
    </w:p>
    <w:p>
      <w:pPr>
        <w:spacing w:after="0" w:line="24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Amit Yoran, Stephen A. Vintz and Stephen A. Riddick, jointly and severally, as his or her true and lawful attorneys-in-fact and agents, with full power of substitution and resubstitution, for him or her and in his or her name, place and stead, in any and all capacities, to sign this Annual Report on Form 10-K of Tenable Holdings,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4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1"/>
                <w:szCs w:val="21"/>
                <w:color w:val="auto"/>
              </w:rPr>
            </w:pPr>
          </w:p>
        </w:tc>
        <w:tc>
          <w:tcPr>
            <w:tcW w:w="570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1"/>
                <w:szCs w:val="21"/>
                <w:color w:val="auto"/>
              </w:rPr>
            </w:pPr>
          </w:p>
        </w:tc>
        <w:tc>
          <w:tcPr>
            <w:tcW w:w="20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Date</w:t>
            </w:r>
          </w:p>
        </w:tc>
      </w:tr>
      <w:tr>
        <w:trPr>
          <w:trHeight w:val="58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Amit Yoran</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Chairman and Chief Executive Officer</w:t>
            </w:r>
          </w:p>
        </w:tc>
        <w:tc>
          <w:tcPr>
            <w:tcW w:w="2060" w:type="dxa"/>
            <w:vAlign w:val="bottom"/>
          </w:tcPr>
          <w:p>
            <w:pPr>
              <w:ind w:left="560"/>
              <w:spacing w:after="0"/>
              <w:rPr>
                <w:sz w:val="20"/>
                <w:szCs w:val="20"/>
                <w:color w:val="auto"/>
              </w:rPr>
            </w:pPr>
            <w:r>
              <w:rPr>
                <w:rFonts w:ascii="Arial" w:cs="Arial" w:eastAsia="Arial" w:hAnsi="Arial"/>
                <w:sz w:val="18"/>
                <w:szCs w:val="18"/>
                <w:color w:val="auto"/>
              </w:rPr>
              <w:t>February 28, 2020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Amit Yoran</w:t>
            </w:r>
          </w:p>
        </w:tc>
        <w:tc>
          <w:tcPr>
            <w:tcW w:w="120" w:type="dxa"/>
            <w:vAlign w:val="bottom"/>
          </w:tcPr>
          <w:p>
            <w:pPr>
              <w:spacing w:after="0"/>
              <w:rPr>
                <w:sz w:val="21"/>
                <w:szCs w:val="21"/>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Stephen A. Vintz</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ind w:left="560"/>
              <w:spacing w:after="0"/>
              <w:rPr>
                <w:sz w:val="20"/>
                <w:szCs w:val="20"/>
                <w:color w:val="auto"/>
              </w:rPr>
            </w:pPr>
            <w:r>
              <w:rPr>
                <w:rFonts w:ascii="Arial" w:cs="Arial" w:eastAsia="Arial" w:hAnsi="Arial"/>
                <w:sz w:val="18"/>
                <w:szCs w:val="18"/>
                <w:color w:val="auto"/>
              </w:rPr>
              <w:t>February 28, 2020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Stephen A. Vintz</w:t>
            </w:r>
          </w:p>
        </w:tc>
        <w:tc>
          <w:tcPr>
            <w:tcW w:w="120" w:type="dxa"/>
            <w:vAlign w:val="bottom"/>
          </w:tcPr>
          <w:p>
            <w:pPr>
              <w:spacing w:after="0"/>
              <w:rPr>
                <w:sz w:val="21"/>
                <w:szCs w:val="21"/>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Arthur W. Coviello, Jr.</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60"/>
              <w:spacing w:after="0"/>
              <w:rPr>
                <w:sz w:val="20"/>
                <w:szCs w:val="20"/>
                <w:color w:val="auto"/>
              </w:rPr>
            </w:pPr>
            <w:r>
              <w:rPr>
                <w:rFonts w:ascii="Arial" w:cs="Arial" w:eastAsia="Arial" w:hAnsi="Arial"/>
                <w:sz w:val="18"/>
                <w:szCs w:val="18"/>
                <w:color w:val="auto"/>
              </w:rPr>
              <w:t>February 28, 2020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Arthur W. Coviello, Jr.</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Kimberly L. Hammonds</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60"/>
              <w:spacing w:after="0"/>
              <w:rPr>
                <w:sz w:val="20"/>
                <w:szCs w:val="20"/>
                <w:color w:val="auto"/>
              </w:rPr>
            </w:pPr>
            <w:r>
              <w:rPr>
                <w:rFonts w:ascii="Arial" w:cs="Arial" w:eastAsia="Arial" w:hAnsi="Arial"/>
                <w:sz w:val="18"/>
                <w:szCs w:val="18"/>
                <w:color w:val="auto"/>
              </w:rPr>
              <w:t>February 28, 2020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Kimberly L. Hammonds</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C. Huffard, Jr.</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60"/>
              <w:spacing w:after="0"/>
              <w:rPr>
                <w:sz w:val="20"/>
                <w:szCs w:val="20"/>
                <w:color w:val="auto"/>
              </w:rPr>
            </w:pPr>
            <w:r>
              <w:rPr>
                <w:rFonts w:ascii="Arial" w:cs="Arial" w:eastAsia="Arial" w:hAnsi="Arial"/>
                <w:sz w:val="18"/>
                <w:szCs w:val="18"/>
                <w:color w:val="auto"/>
              </w:rPr>
              <w:t>February 28, 2020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John C. Huffard, Jr.</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Jerry M. Kennelly</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60"/>
              <w:spacing w:after="0"/>
              <w:rPr>
                <w:sz w:val="20"/>
                <w:szCs w:val="20"/>
                <w:color w:val="auto"/>
              </w:rPr>
            </w:pPr>
            <w:r>
              <w:rPr>
                <w:rFonts w:ascii="Arial" w:cs="Arial" w:eastAsia="Arial" w:hAnsi="Arial"/>
                <w:sz w:val="18"/>
                <w:szCs w:val="18"/>
                <w:color w:val="auto"/>
              </w:rPr>
              <w:t>February 28, 2020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Jerry M. Kennelly</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Ping Li</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60"/>
              <w:spacing w:after="0"/>
              <w:rPr>
                <w:sz w:val="20"/>
                <w:szCs w:val="20"/>
                <w:color w:val="auto"/>
              </w:rPr>
            </w:pPr>
            <w:r>
              <w:rPr>
                <w:rFonts w:ascii="Arial" w:cs="Arial" w:eastAsia="Arial" w:hAnsi="Arial"/>
                <w:sz w:val="18"/>
                <w:szCs w:val="18"/>
                <w:color w:val="auto"/>
              </w:rPr>
              <w:t>February 28, 2020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Ping Li</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 Brooke Seawell</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60"/>
              <w:spacing w:after="0"/>
              <w:rPr>
                <w:sz w:val="20"/>
                <w:szCs w:val="20"/>
                <w:color w:val="auto"/>
              </w:rPr>
            </w:pPr>
            <w:r>
              <w:rPr>
                <w:rFonts w:ascii="Arial" w:cs="Arial" w:eastAsia="Arial" w:hAnsi="Arial"/>
                <w:sz w:val="18"/>
                <w:szCs w:val="18"/>
                <w:color w:val="auto"/>
              </w:rPr>
              <w:t>February 28, 2020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A. Brooke Seawell</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M. Wells</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60"/>
              <w:spacing w:after="0"/>
              <w:rPr>
                <w:sz w:val="20"/>
                <w:szCs w:val="20"/>
                <w:color w:val="auto"/>
              </w:rPr>
            </w:pPr>
            <w:r>
              <w:rPr>
                <w:rFonts w:ascii="Arial" w:cs="Arial" w:eastAsia="Arial" w:hAnsi="Arial"/>
                <w:sz w:val="18"/>
                <w:szCs w:val="18"/>
                <w:color w:val="auto"/>
              </w:rPr>
              <w:t>February 28, 2020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Richard M. Wells</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Linda K. Zecher</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60"/>
              <w:spacing w:after="0"/>
              <w:rPr>
                <w:sz w:val="20"/>
                <w:szCs w:val="20"/>
                <w:color w:val="auto"/>
              </w:rPr>
            </w:pPr>
            <w:r>
              <w:rPr>
                <w:rFonts w:ascii="Arial" w:cs="Arial" w:eastAsia="Arial" w:hAnsi="Arial"/>
                <w:sz w:val="18"/>
                <w:szCs w:val="18"/>
                <w:color w:val="auto"/>
              </w:rPr>
              <w:t>February 28, 2020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Linda K. Zecher</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4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TENABLE HOLDINGS, INC. COMMON STOCK</w:t>
      </w:r>
    </w:p>
    <w:p>
      <w:pPr>
        <w:spacing w:after="0" w:line="247" w:lineRule="exact"/>
        <w:rPr>
          <w:sz w:val="20"/>
          <w:szCs w:val="20"/>
          <w:color w:val="auto"/>
        </w:rPr>
      </w:pPr>
    </w:p>
    <w:p>
      <w:pPr>
        <w:ind w:right="320" w:firstLine="432"/>
        <w:spacing w:after="0" w:line="253" w:lineRule="auto"/>
        <w:rPr>
          <w:sz w:val="20"/>
          <w:szCs w:val="20"/>
          <w:color w:val="auto"/>
        </w:rPr>
      </w:pPr>
      <w:r>
        <w:rPr>
          <w:rFonts w:ascii="Arial" w:cs="Arial" w:eastAsia="Arial" w:hAnsi="Arial"/>
          <w:sz w:val="18"/>
          <w:szCs w:val="18"/>
          <w:color w:val="auto"/>
        </w:rPr>
        <w:t>The following descriptions of the common stock of Tenable Holdings, Inc., or the Company, Delaware law and certain provisions of the Company’s amended and restated certificate of incorporation and amended and restated bylaws are summaries. These summaries are qualified in the entirety by reference to the provisions of the Delaware General Corporation Law, or the DGCL, and the complete text of the Company’s amended and restated certificate of incorporation and amended and restated bylaws, which are incorporated by reference as Exhibits 3.1 and 3.2, respectively, of the Company’s Annual Report on Form 10-K to which this description is also an exhibit.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47"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The amended and restated certificate of incorporation authorizes the issuance of up to 500,000,000 shares of common stock, $0.01 par value per share, and 10,000,000 shares of preferred stock, $0.01 par value per share, all of which shares of preferred stock are undesignated. The Company’s board of directors may establish the rights and preferences of the preferred stock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Voting Rights</w:t>
      </w:r>
    </w:p>
    <w:p>
      <w:pPr>
        <w:spacing w:after="0" w:line="24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Under the amended and restated certificate of incorporation and amended and restated bylaws, holders of common stock do not have cumulative voting rights. Because of this, the holders of a majority of the shares of common stock entitled to vote in any election of directors can elect all of the directors standing for election, if they should so choose.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ind w:right="280" w:firstLine="432"/>
        <w:spacing w:after="0" w:line="262"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Liquidation</w:t>
      </w:r>
    </w:p>
    <w:p>
      <w:pPr>
        <w:spacing w:after="0" w:line="247" w:lineRule="exact"/>
        <w:rPr>
          <w:sz w:val="20"/>
          <w:szCs w:val="20"/>
          <w:color w:val="auto"/>
        </w:rPr>
      </w:pPr>
    </w:p>
    <w:p>
      <w:pPr>
        <w:jc w:val="both"/>
        <w:ind w:right="160" w:firstLine="432"/>
        <w:spacing w:after="0" w:line="256" w:lineRule="auto"/>
        <w:rPr>
          <w:sz w:val="20"/>
          <w:szCs w:val="20"/>
          <w:color w:val="auto"/>
        </w:rPr>
      </w:pPr>
      <w:r>
        <w:rPr>
          <w:rFonts w:ascii="Arial" w:cs="Arial" w:eastAsia="Arial" w:hAnsi="Arial"/>
          <w:sz w:val="18"/>
          <w:szCs w:val="18"/>
          <w:color w:val="auto"/>
        </w:rPr>
        <w:t>In the event of liquidation, dissolution or winding up of the Company, holders of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47" w:lineRule="exact"/>
        <w:rPr>
          <w:sz w:val="20"/>
          <w:szCs w:val="20"/>
          <w:color w:val="auto"/>
        </w:rPr>
      </w:pPr>
    </w:p>
    <w:p>
      <w:pPr>
        <w:jc w:val="both"/>
        <w:ind w:right="240" w:firstLine="432"/>
        <w:spacing w:after="0" w:line="256"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the board of directors may designate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247" w:lineRule="exact"/>
        <w:rPr>
          <w:sz w:val="20"/>
          <w:szCs w:val="20"/>
          <w:color w:val="auto"/>
        </w:rPr>
      </w:pPr>
    </w:p>
    <w:p>
      <w:pPr>
        <w:ind w:right="400" w:firstLine="432"/>
        <w:spacing w:after="0" w:line="256" w:lineRule="auto"/>
        <w:rPr>
          <w:sz w:val="20"/>
          <w:szCs w:val="20"/>
          <w:color w:val="auto"/>
        </w:rPr>
      </w:pPr>
      <w:r>
        <w:rPr>
          <w:rFonts w:ascii="Arial" w:cs="Arial" w:eastAsia="Arial" w:hAnsi="Arial"/>
          <w:sz w:val="18"/>
          <w:szCs w:val="18"/>
          <w:color w:val="auto"/>
        </w:rPr>
        <w:t>The Company is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0" w:lineRule="exact"/>
        <w:rPr>
          <w:sz w:val="20"/>
          <w:szCs w:val="20"/>
          <w:color w:val="auto"/>
        </w:rPr>
      </w:pPr>
    </w:p>
    <w:p>
      <w:pPr>
        <w:ind w:left="660" w:right="120" w:hanging="328"/>
        <w:spacing w:after="0" w:line="262"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34" w:lineRule="exact"/>
        <w:rPr>
          <w:rFonts w:ascii="Arial" w:cs="Arial" w:eastAsia="Arial" w:hAnsi="Arial"/>
          <w:sz w:val="18"/>
          <w:szCs w:val="18"/>
          <w:color w:val="auto"/>
        </w:rPr>
      </w:pPr>
    </w:p>
    <w:p>
      <w:pPr>
        <w:jc w:val="both"/>
        <w:ind w:left="660" w:right="420" w:hanging="328"/>
        <w:spacing w:after="0" w:line="256" w:lineRule="auto"/>
        <w:tabs>
          <w:tab w:leader="none" w:pos="71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w:t>
      </w:r>
    </w:p>
    <w:p>
      <w:pPr>
        <w:sectPr>
          <w:pgSz w:w="11900" w:h="16838" w:orient="portrait"/>
          <w:cols w:equalWidth="0" w:num="1">
            <w:col w:w="11420"/>
          </w:cols>
          <w:pgMar w:left="240" w:top="11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62" w:lineRule="exact"/>
        <w:rPr>
          <w:sz w:val="20"/>
          <w:szCs w:val="20"/>
          <w:color w:val="auto"/>
        </w:rPr>
      </w:pPr>
    </w:p>
    <w:p>
      <w:pPr>
        <w:ind w:left="660" w:right="200"/>
        <w:spacing w:after="0" w:line="256" w:lineRule="auto"/>
        <w:rPr>
          <w:sz w:val="20"/>
          <w:szCs w:val="20"/>
          <w:color w:val="auto"/>
        </w:rPr>
      </w:pPr>
      <w:r>
        <w:rPr>
          <w:rFonts w:ascii="Arial" w:cs="Arial" w:eastAsia="Arial" w:hAnsi="Arial"/>
          <w:sz w:val="18"/>
          <w:szCs w:val="18"/>
          <w:color w:val="auto"/>
        </w:rPr>
        <w:t>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40" w:lineRule="exact"/>
        <w:rPr>
          <w:sz w:val="20"/>
          <w:szCs w:val="20"/>
          <w:color w:val="auto"/>
        </w:rPr>
      </w:pPr>
    </w:p>
    <w:p>
      <w:pPr>
        <w:jc w:val="both"/>
        <w:ind w:left="660" w:right="20" w:hanging="328"/>
        <w:spacing w:after="0" w:line="23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Arial" w:cs="Arial" w:eastAsia="Arial" w:hAnsi="Arial"/>
          <w:sz w:val="21"/>
          <w:szCs w:val="21"/>
          <w:color w:val="auto"/>
          <w:vertAlign w:val="superscript"/>
        </w:rPr>
        <w:t>2</w:t>
      </w:r>
      <w:r>
        <w:rPr>
          <w:rFonts w:ascii="Arial" w:cs="Arial" w:eastAsia="Arial" w:hAnsi="Arial"/>
          <w:sz w:val="18"/>
          <w:szCs w:val="18"/>
          <w:color w:val="auto"/>
        </w:rPr>
        <w:t>/</w:t>
      </w:r>
      <w:r>
        <w:rPr>
          <w:rFonts w:ascii="Arial" w:cs="Arial" w:eastAsia="Arial" w:hAnsi="Arial"/>
          <w:sz w:val="21"/>
          <w:szCs w:val="21"/>
          <w:color w:val="auto"/>
          <w:vertAlign w:val="subscript"/>
        </w:rPr>
        <w:t>3</w:t>
      </w:r>
      <w:r>
        <w:rPr>
          <w:rFonts w:ascii="Arial" w:cs="Arial" w:eastAsia="Arial" w:hAnsi="Arial"/>
          <w:sz w:val="18"/>
          <w:szCs w:val="18"/>
          <w:color w:val="auto"/>
        </w:rPr>
        <w:t>% of the outstanding voting stock that is not owned by the interested stockholder.</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6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63"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34"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34"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96" w:lineRule="exact"/>
        <w:rPr>
          <w:sz w:val="20"/>
          <w:szCs w:val="20"/>
          <w:color w:val="auto"/>
        </w:rPr>
      </w:pPr>
    </w:p>
    <w:p>
      <w:pPr>
        <w:ind w:right="40" w:firstLine="374"/>
        <w:spacing w:after="0" w:line="256"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02"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The Company has not opted out of these provisions. As a result, mergers or other takeover or change in control attempts of the Company may be discouraged or prevented.</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247" w:lineRule="exact"/>
        <w:rPr>
          <w:sz w:val="20"/>
          <w:szCs w:val="20"/>
          <w:color w:val="auto"/>
        </w:rPr>
      </w:pPr>
    </w:p>
    <w:p>
      <w:pPr>
        <w:ind w:right="100" w:firstLine="432"/>
        <w:spacing w:after="0" w:line="251" w:lineRule="auto"/>
        <w:rPr>
          <w:sz w:val="20"/>
          <w:szCs w:val="20"/>
          <w:color w:val="auto"/>
        </w:rPr>
      </w:pPr>
      <w:r>
        <w:rPr>
          <w:rFonts w:ascii="Arial" w:cs="Arial" w:eastAsia="Arial" w:hAnsi="Arial"/>
          <w:sz w:val="18"/>
          <w:szCs w:val="18"/>
          <w:color w:val="auto"/>
        </w:rPr>
        <w:t>The amended and restated certificate of incorporation provides for the Company’s board of directors to be divided into three classes with staggered three-year terms. Only one class of directors will be elected at each annual meeting of the Company’s stockholders, with the other classes continuing for the remainder of their respective three-year terms. Because the Company’s stockholders do not have cumulative voting rights, stockholders holding a majority of the shares of the Company’s common stock outstanding will be able to elect all of the directors. The amended and restated certificate of incorporation and the amended and restated bylaws also provide that directors may be removed by the stockholders only for cause upon the vote of 66 2/3% of the Company’s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213"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amended and restated certificate of incorporation and amended and restated bylaws also provide that all stockholder actions must be effected at a duly called meeting of stockholders and eliminates the right of stockholders to act by written consent without a meeting. The amended and restated bylaws provide that only the chairman of the board, chief executive officer or the board of directors pursuant to a resolution adopted by a majority of the total number of authorized directors may call a special meeting of stockholders.</w:t>
      </w:r>
    </w:p>
    <w:p>
      <w:pPr>
        <w:spacing w:after="0" w:line="204" w:lineRule="exact"/>
        <w:rPr>
          <w:sz w:val="20"/>
          <w:szCs w:val="20"/>
          <w:color w:val="auto"/>
        </w:rPr>
      </w:pPr>
    </w:p>
    <w:p>
      <w:pPr>
        <w:ind w:right="360" w:firstLine="432"/>
        <w:spacing w:after="0" w:line="256" w:lineRule="auto"/>
        <w:rPr>
          <w:sz w:val="20"/>
          <w:szCs w:val="20"/>
          <w:color w:val="auto"/>
        </w:rPr>
      </w:pPr>
      <w:r>
        <w:rPr>
          <w:rFonts w:ascii="Arial" w:cs="Arial" w:eastAsia="Arial" w:hAnsi="Arial"/>
          <w:sz w:val="18"/>
          <w:szCs w:val="18"/>
          <w:color w:val="auto"/>
        </w:rPr>
        <w:t>The amended and restated bylaws also provide that stockholders seeking to present proposals before a meeting of stockholders or to nominate candidates for election as directors at a meeting of stockholders must provide timely advance notice in writing, and specify requirements as to the form and content of a stockholder’s notice.</w:t>
      </w:r>
    </w:p>
    <w:p>
      <w:pPr>
        <w:spacing w:after="0" w:line="202" w:lineRule="exact"/>
        <w:rPr>
          <w:sz w:val="20"/>
          <w:szCs w:val="20"/>
          <w:color w:val="auto"/>
        </w:rPr>
      </w:pPr>
    </w:p>
    <w:p>
      <w:pPr>
        <w:ind w:right="360" w:firstLine="432"/>
        <w:spacing w:after="0" w:line="262" w:lineRule="auto"/>
        <w:rPr>
          <w:sz w:val="20"/>
          <w:szCs w:val="20"/>
          <w:color w:val="auto"/>
        </w:rPr>
      </w:pPr>
      <w:r>
        <w:rPr>
          <w:rFonts w:ascii="Arial" w:cs="Arial" w:eastAsia="Arial" w:hAnsi="Arial"/>
          <w:sz w:val="18"/>
          <w:szCs w:val="18"/>
          <w:color w:val="auto"/>
        </w:rPr>
        <w:t>The amended and restated certificate of incorporation and amended and restated bylaws provide that the stockholders cannot amend many of the provisions described above except by a vote of 66 2/3% or more of the Company’s outstanding common stock.</w:t>
      </w:r>
    </w:p>
    <w:p>
      <w:pPr>
        <w:sectPr>
          <w:pgSz w:w="11900" w:h="16838" w:orient="portrait"/>
          <w:cols w:equalWidth="0" w:num="1">
            <w:col w:w="11420"/>
          </w:cols>
          <w:pgMar w:left="240" w:top="118"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62"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The combination of these provisions will make it more difficult for the Company’s existing stockholders to replace the board of directors as well as for another party to obtain control of the Company by replacing the board of directors. Since the board of directors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of directors to issue preferred stock with voting or other rights or preferences that could delay or impede the success of any attempt to change control of the Company.</w:t>
      </w:r>
    </w:p>
    <w:p>
      <w:pPr>
        <w:spacing w:after="0" w:line="209"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These provisions are intended to facilitate the Company’s continued innovation and the risk-taking that it requires, permit the Company’s board of directors to continue to prioritize the Company’s long-term goals rather than short-term results, enhance the likelihood of continued stability in the composition of the board of directors and its policies. These provisions could discourage potential takeover attempts. These provisions are also designed to reduce the Company’s vulnerability to an unsolicited acquisition proposal and to discourage certain tactics that may be used in proxy fights. However, such provisions could have the effect of discouraging others from making tender offers for the Company’s shares and may have the effect of deterring hostile takeovers or delaying changes in control or management. As a consequence, these provisions may also inhibit increases in the market price of the Company’s stock that could result from actual or rumored takeover attempts.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247" w:lineRule="exact"/>
        <w:rPr>
          <w:sz w:val="20"/>
          <w:szCs w:val="20"/>
          <w:color w:val="auto"/>
        </w:rPr>
      </w:pPr>
    </w:p>
    <w:p>
      <w:pPr>
        <w:ind w:right="200" w:firstLine="432"/>
        <w:spacing w:after="0" w:line="252" w:lineRule="auto"/>
        <w:rPr>
          <w:sz w:val="20"/>
          <w:szCs w:val="20"/>
          <w:color w:val="auto"/>
        </w:rPr>
      </w:pPr>
      <w:r>
        <w:rPr>
          <w:rFonts w:ascii="Arial" w:cs="Arial" w:eastAsia="Arial" w:hAnsi="Arial"/>
          <w:sz w:val="18"/>
          <w:szCs w:val="18"/>
          <w:color w:val="auto"/>
        </w:rPr>
        <w:t>The amended and restated certificate of incorporation provides that no officer or director of the Company who is also an officer, director, managing director or other employee of Accel or Insight (including any portfolio company thereof), will be liable to the Company or its stockholders for breach of any fiduciary duty by reason of the fact that any such individual directs a corporate opportunity to any member of Accel or Insight (including any portfolio company thereof), instead of to the Company, or does not communicate information regarding a corporate opportunity to the Company that the officer, director, employee, managing director or other affiliate has directed to any member of Accel or Insight (including any portfolio company thereof), unless such corporate opportunity is expressly offered to such officer or director in his or her capacity as an officer or director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47"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The amended and restated certificate of incorporation provides that the Court of Chancery of the State of Delaware will be the exclusive forum for: (1) any derivative action or proceeding brought on the Company’s behalf; (2) any action asserting a breach of fiduciary duty owed by any director, officer or other employee to the Company or its stockholders; (3) any action asserting a claim against the Company or any director or officer or other employee arising pursuant to the DGCL, the amended and restated certificate of incorporation or amended and restated bylaws; or (4) any action asserting a claim against the Company or any director or officer or other employee that is governed by the internal affairs doctrine. The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47" w:lineRule="exact"/>
        <w:rPr>
          <w:sz w:val="20"/>
          <w:szCs w:val="20"/>
          <w:color w:val="auto"/>
        </w:rPr>
      </w:pPr>
    </w:p>
    <w:p>
      <w:pPr>
        <w:ind w:right="600" w:firstLine="432"/>
        <w:spacing w:after="0" w:line="262" w:lineRule="auto"/>
        <w:rPr>
          <w:sz w:val="20"/>
          <w:szCs w:val="20"/>
          <w:color w:val="auto"/>
        </w:rPr>
      </w:pPr>
      <w:r>
        <w:rPr>
          <w:rFonts w:ascii="Arial" w:cs="Arial" w:eastAsia="Arial" w:hAnsi="Arial"/>
          <w:sz w:val="18"/>
          <w:szCs w:val="18"/>
          <w:color w:val="auto"/>
        </w:rPr>
        <w:t>The transfer agent and registrar for the Company’s common stock is American Stock Transfer &amp; Trust Company, LLC. The transfer agent’s address is 6201 15th Avenue, Brooklyn, New York 11219.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common stock is listed on the Nasdaq Global Select Market under the symbol “TENB.”</w:t>
      </w:r>
    </w:p>
    <w:p>
      <w:pPr>
        <w:sectPr>
          <w:pgSz w:w="11900" w:h="16838" w:orient="portrait"/>
          <w:cols w:equalWidth="0" w:num="1">
            <w:col w:w="11420"/>
          </w:cols>
          <w:pgMar w:left="240" w:top="118"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0"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SUBSIDIARIES OF TENABLE HOLDINGS, INC.</w:t>
      </w:r>
    </w:p>
    <w:p>
      <w:pPr>
        <w:sectPr>
          <w:pgSz w:w="11900" w:h="16838" w:orient="portrait"/>
          <w:cols w:equalWidth="0" w:num="1">
            <w:col w:w="11380"/>
          </w:cols>
          <w:pgMar w:left="280" w:top="118"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Incorporation</w:t>
      </w:r>
    </w:p>
    <w:p>
      <w:pPr>
        <w:spacing w:after="0" w:line="90" w:lineRule="exact"/>
        <w:rPr>
          <w:sz w:val="20"/>
          <w:szCs w:val="20"/>
          <w:color w:val="auto"/>
        </w:rPr>
      </w:pPr>
    </w:p>
    <w:p>
      <w:pPr>
        <w:sectPr>
          <w:pgSz w:w="11900" w:h="16838" w:orient="portrait"/>
          <w:cols w:equalWidth="0" w:num="2">
            <w:col w:w="6480" w:space="720"/>
            <w:col w:w="4180"/>
          </w:cols>
          <w:pgMar w:left="280" w:top="118" w:right="239" w:bottom="1440" w:gutter="0" w:footer="0" w:header="0"/>
          <w:type w:val="continuous"/>
        </w:sectPr>
      </w:pPr>
    </w:p>
    <w:p>
      <w:pPr>
        <w:spacing w:after="0"/>
        <w:rPr>
          <w:sz w:val="20"/>
          <w:szCs w:val="20"/>
          <w:color w:val="auto"/>
        </w:rPr>
      </w:pPr>
      <w:r>
        <w:rPr>
          <w:rFonts w:ascii="Arial" w:cs="Arial" w:eastAsia="Arial" w:hAnsi="Arial"/>
          <w:sz w:val="17"/>
          <w:szCs w:val="17"/>
          <w:color w:val="auto"/>
        </w:rPr>
        <w:t>Tenable,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ectPr>
          <w:pgSz w:w="11900" w:h="16838" w:orient="portrait"/>
          <w:cols w:equalWidth="0" w:num="2">
            <w:col w:w="6480" w:space="720"/>
            <w:col w:w="4180"/>
          </w:cols>
          <w:pgMar w:left="280" w:top="118" w:right="2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Tenable Network Security Ireland Limited</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Arial" w:cs="Arial" w:eastAsia="Arial" w:hAnsi="Arial"/>
          <w:sz w:val="17"/>
          <w:szCs w:val="17"/>
          <w:color w:val="auto"/>
        </w:rPr>
        <w:t>Ireland</w:t>
      </w:r>
    </w:p>
    <w:p>
      <w:pPr>
        <w:spacing w:after="0" w:line="75" w:lineRule="exact"/>
        <w:rPr>
          <w:sz w:val="20"/>
          <w:szCs w:val="20"/>
          <w:color w:val="auto"/>
        </w:rPr>
      </w:pPr>
    </w:p>
    <w:p>
      <w:pPr>
        <w:sectPr>
          <w:pgSz w:w="11900" w:h="16838" w:orient="portrait"/>
          <w:cols w:equalWidth="0" w:num="2">
            <w:col w:w="6480" w:space="720"/>
            <w:col w:w="4180"/>
          </w:cols>
          <w:pgMar w:left="280" w:top="118" w:right="2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Indegy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Israel</w:t>
      </w:r>
    </w:p>
    <w:p>
      <w:pPr>
        <w:sectPr>
          <w:pgSz w:w="11900" w:h="16838" w:orient="portrait"/>
          <w:cols w:equalWidth="0" w:num="2">
            <w:col w:w="6480" w:space="720"/>
            <w:col w:w="4180"/>
          </w:cols>
          <w:pgMar w:left="280" w:top="118" w:right="23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22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333333"/>
        </w:rPr>
        <w:t>We consent to the incorporation by reference in the following Registration Statements:</w:t>
      </w:r>
    </w:p>
    <w:p>
      <w:pPr>
        <w:spacing w:after="0" w:line="171" w:lineRule="exact"/>
        <w:rPr>
          <w:sz w:val="20"/>
          <w:szCs w:val="20"/>
          <w:color w:val="auto"/>
        </w:rPr>
      </w:pPr>
    </w:p>
    <w:p>
      <w:pPr>
        <w:jc w:val="both"/>
        <w:ind w:left="840" w:right="60" w:hanging="411"/>
        <w:spacing w:after="0" w:line="248" w:lineRule="auto"/>
        <w:tabs>
          <w:tab w:leader="none" w:pos="840" w:val="left"/>
        </w:tabs>
        <w:numPr>
          <w:ilvl w:val="0"/>
          <w:numId w:val="57"/>
        </w:numPr>
        <w:rPr>
          <w:rFonts w:ascii="Arial" w:cs="Arial" w:eastAsia="Arial" w:hAnsi="Arial"/>
          <w:sz w:val="17"/>
          <w:szCs w:val="17"/>
          <w:color w:val="auto"/>
        </w:rPr>
      </w:pPr>
      <w:r>
        <w:rPr>
          <w:rFonts w:ascii="Arial" w:cs="Arial" w:eastAsia="Arial" w:hAnsi="Arial"/>
          <w:sz w:val="17"/>
          <w:szCs w:val="17"/>
          <w:color w:val="333333"/>
        </w:rPr>
        <w:t>Registration Statement (Form S-8 No. 333-226347) pertaining to the Tenable Holdings, Inc. 2002 Stock Incentive Plan, as amended and restated; the Tenable Holdings, Inc. 2012 Stock Incentive Plan as amended and restated; the Tenable Holdings, Inc. 2016 Stock Incentive Plan, as amended and restated; the Tenable Holdings, Inc. 2018 Equity Incentive Plan; and the Tenable Holdings, Inc.</w:t>
      </w:r>
    </w:p>
    <w:p>
      <w:pPr>
        <w:spacing w:after="0" w:line="1"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8"/>
          <w:szCs w:val="18"/>
          <w:color w:val="333333"/>
        </w:rPr>
        <w:t>2018 Employee Stock Purchase Plan, and</w:t>
      </w:r>
    </w:p>
    <w:p>
      <w:pPr>
        <w:spacing w:after="0" w:line="49" w:lineRule="exact"/>
        <w:rPr>
          <w:rFonts w:ascii="Arial" w:cs="Arial" w:eastAsia="Arial" w:hAnsi="Arial"/>
          <w:sz w:val="17"/>
          <w:szCs w:val="17"/>
          <w:color w:val="auto"/>
        </w:rPr>
      </w:pPr>
    </w:p>
    <w:p>
      <w:pPr>
        <w:ind w:left="840" w:right="480" w:hanging="411"/>
        <w:spacing w:after="0" w:line="246"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333333"/>
        </w:rPr>
        <w:t>Registration Statement (Form S-8 No. 333-230040) pertaining to the Tenable Holdings, Inc. 2018 Equity Incentive Plan and the Tenable Holdings, Inc. 2018 Employee Stock Purchase Plan;</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333333"/>
        </w:rPr>
        <w:t>of our reports dated February 28, 2020, with respect to the consolidated financial statements of Tenable Holdings, Inc. and the effectiveness of internal control over financial reporting of Tenable Holding’s Inc. included in this Annual Report (Form 10-K) for the year ended December 31,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118"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334"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 Amit Yoran, certify that:</w:t>
      </w:r>
    </w:p>
    <w:p>
      <w:pPr>
        <w:spacing w:after="0" w:line="17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Tenable Holdings, Inc.;</w:t>
      </w:r>
    </w:p>
    <w:p>
      <w:pPr>
        <w:spacing w:after="0" w:line="225"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100" w:hanging="328"/>
        <w:spacing w:after="0" w:line="26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February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 and Chairman</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1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78"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Tenable Holdings,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328"/>
        <w:spacing w:after="0" w:line="262"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2"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February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118"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7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Annual Report on Form 10-K of Tenable Holdings, Inc. for the fiscal year ended December 31, 2019 fully complies with the requirements of Section 13(a) or 15(d) of the Securities Exchange Act of 1934 and that information contained in such Annual Report on Form 10-K fairly presents, in all material respects, the financial condition and results of operations of Tenable Holdings, Inc.</w:t>
      </w:r>
    </w:p>
    <w:p>
      <w:pPr>
        <w:spacing w:after="0" w:line="366"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February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 and Chairman</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pacing w:after="0" w:line="392"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February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2"/>
    </w:lvl>
  </w:abstractNum>
  <w:abstractNum w:abstractNumId="22">
    <w:nsid w:val="153EA438"/>
    <w:multiLevelType w:val="hybridMultilevel"/>
    <w:lvl w:ilvl="0">
      <w:lvlJc w:val="left"/>
      <w:lvlText w:val="(%1)"/>
      <w:numFmt w:val="decimal"/>
      <w:start w:val="3"/>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104"/>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27" Type="http://schemas.openxmlformats.org/officeDocument/2006/relationships/image" Target="media/image3.png"/><Relationship Id="rId28" Type="http://schemas.openxmlformats.org/officeDocument/2006/relationships/image" Target="media/image4.png"/><Relationship Id="rId29" Type="http://schemas.openxmlformats.org/officeDocument/2006/relationships/image" Target="media/image5.png"/><Relationship Id="rId30" Type="http://schemas.openxmlformats.org/officeDocument/2006/relationships/image" Target="media/image6.png"/><Relationship Id="rId31" Type="http://schemas.openxmlformats.org/officeDocument/2006/relationships/image" Target="media/image7.png"/><Relationship Id="rId32" Type="http://schemas.openxmlformats.org/officeDocument/2006/relationships/image" Target="media/image8.png"/><Relationship Id="rId10" Type="http://schemas.openxmlformats.org/officeDocument/2006/relationships/hyperlink" Target="http://www.sec.gov/Archives/edgar/data/1660280/000166028019000038/ex101.htm" TargetMode="External"/><Relationship Id="rId11" Type="http://schemas.openxmlformats.org/officeDocument/2006/relationships/hyperlink" Target="http://www.sec.gov/Archives/edgar/data/1660280/000119312518231446/d562353dex31.htm" TargetMode="External"/><Relationship Id="rId12" Type="http://schemas.openxmlformats.org/officeDocument/2006/relationships/hyperlink" Target="http://www.sec.gov/Archives/edgar/data/1660280/000119312518209705/d548092dex34.htm" TargetMode="External"/><Relationship Id="rId13" Type="http://schemas.openxmlformats.org/officeDocument/2006/relationships/hyperlink" Target="http://www.sec.gov/Archives/edgar/data/1660280/000119312518218215/d548092dex41.htm" TargetMode="External"/><Relationship Id="rId14" Type="http://schemas.openxmlformats.org/officeDocument/2006/relationships/hyperlink" Target="http://www.sec.gov/Archives/edgar/data/0001660280/000119312518209705/d548092dex42.htm" TargetMode="External"/><Relationship Id="rId15" Type="http://schemas.openxmlformats.org/officeDocument/2006/relationships/hyperlink" Target="http://www.sec.gov/Archives/edgar/data/1660280/000119312518226924/d494510dex101.htm" TargetMode="External"/><Relationship Id="rId16" Type="http://schemas.openxmlformats.org/officeDocument/2006/relationships/hyperlink" Target="http://www.sec.gov/Archives/edgar/data/1660280/000119312518226924/d494510dex102.htm" TargetMode="External"/><Relationship Id="rId17" Type="http://schemas.openxmlformats.org/officeDocument/2006/relationships/hyperlink" Target="http://www.sec.gov/Archives/edgar/data/1660280/000119312518226924/d494510dex103.htm" TargetMode="External"/><Relationship Id="rId18" Type="http://schemas.openxmlformats.org/officeDocument/2006/relationships/hyperlink" Target="http://www.sec.gov/Archives/edgar/data/1660280/000119312518226924/d494510dex104.htm" TargetMode="External"/><Relationship Id="rId19" Type="http://schemas.openxmlformats.org/officeDocument/2006/relationships/hyperlink" Target="http://www.sec.gov/Archives/edgar/data/1660280/000119312518226924/d494510dex105.htm" TargetMode="External"/><Relationship Id="rId20" Type="http://schemas.openxmlformats.org/officeDocument/2006/relationships/hyperlink" Target="http://www.sec.gov/Archives/edgar/data/0001660280/000119312518209705/d548092dex106.htm" TargetMode="External"/><Relationship Id="rId21" Type="http://schemas.openxmlformats.org/officeDocument/2006/relationships/hyperlink" Target="http://www.sec.gov/Archives/edgar/data/1660280/000166028019000005/yoranamendedandrestatedemp.htm" TargetMode="External"/><Relationship Id="rId22" Type="http://schemas.openxmlformats.org/officeDocument/2006/relationships/hyperlink" Target="http://www.sec.gov/Archives/edgar/data/1660280/000166028019000005/vintz-amendedandrestatedem.htm" TargetMode="External"/><Relationship Id="rId23" Type="http://schemas.openxmlformats.org/officeDocument/2006/relationships/hyperlink" Target="http://www.sec.gov/Archives/edgar/data/1660280/000166028019000005/negron-amendedandrestatede.htm" TargetMode="External"/><Relationship Id="rId24" Type="http://schemas.openxmlformats.org/officeDocument/2006/relationships/hyperlink" Target="http://www.sec.gov/Archives/edgar/data/1660280/000166028019000005/riddick-amendedandrestated.htm" TargetMode="External"/><Relationship Id="rId25" Type="http://schemas.openxmlformats.org/officeDocument/2006/relationships/hyperlink" Target="http://www.sec.gov/Archives/edgar/data/0001660280/000119312518209705/d548092dex1011.htm" TargetMode="External"/><Relationship Id="rId26" Type="http://schemas.openxmlformats.org/officeDocument/2006/relationships/hyperlink" Target="http://www.sec.gov/Archives/edgar/data/0001660280/000119312518209705/d548092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2020-02-28T15:30:39Z</dcterms:created>
  <dcterms:modified xsi:type="dcterms:W3CDTF">2020-02-28T15:30:39Z</dcterms:modified>
</cp:coreProperties>
</file>