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053554.xml.htm"/>
      <w:bookmarkStart w:id="1" w:name="kswkform4_17720535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Vintz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375,378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619</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374,759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376,353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524</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375,829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771</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377,403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382,719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2,544</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380,175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385,270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1,674</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383,596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46,586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430,182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17,298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412,884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417,402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1,485</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415,917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46,586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93,172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22, 2023, the Compensation Committee of the Issuer's Board of Directors certified the achievement of the Performance Restricted Stock Units (PRSUs) granted on February 23, 2022 and determined a 106% payout for the measurement period based on the Issuer's fiscal year 2022 criteria. 25% of the shares underlying the PRSUs vested on February 23, 2023,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25% of the shares underlying the RSUs vested on August 22, 2025, 25% on February 22,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594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1323</Words>
  <Characters>7038</Characters>
  <CharactersWithSpaces>8144</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