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053580.xml.htm"/>
      <w:bookmarkStart w:id="1" w:name="kswkform4_17720535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Brown Matthew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TENABLE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6100 MERRIWEATHER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Tenable Holdings, Inc.</w:t>
              </w:r>
            </w:hyperlink>
            <w:r>
              <w:rPr/>
              <w:t xml:space="preserve"> [ </w:t>
            </w:r>
            <w:r>
              <w:rPr>
                <w:rFonts w:ascii="Times;serif" w:hAnsi="Times;serif"/>
                <w:color w:val="0000FF"/>
                <w:sz w:val="24"/>
                <w:shd w:fill="FFFFFF" w:val="clear"/>
              </w:rPr>
              <w:t>TENB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14,544</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23,810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5,269</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17.55</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18,541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14,544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14,544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203,624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the Restricted Stock Units ("RSUs") and does not represent a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Issuer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16 equal quarterly instalments over 4 years starting November 21, 2025, subject to the Reporting Person's continuous service with the Issuer as of the applicable vesting date, and subject to accelerated vesting in specified circumstances.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Bartholomew,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6979" TargetMode="External"/><Relationship Id="rId5" Type="http://schemas.openxmlformats.org/officeDocument/2006/relationships/hyperlink" Target="http://www.sec.gov/cgi-bin/browse-edgar?action=getcompany&amp;CIK=0001660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3719</Characters>
  <CharactersWithSpaces>4326</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