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8-K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18"/>
        </w:rPr>
        <w:t>Date of report (Date of earliest event reported):</w:t>
      </w:r>
      <w:r>
        <w:rPr>
          <w:color w:val="000000"/>
        </w:rPr>
        <w:t> </w:t>
      </w:r>
      <w:r>
        <w:rPr>
          <w:rFonts w:ascii="Arial;sans-serif" w:hAnsi="Arial;sans-serif"/>
          <w:b/>
          <w:color w:val="000000"/>
          <w:sz w:val="18"/>
        </w:rPr>
        <w:t xml:space="preserve">May 13,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9373" w:type="dxa"/>
        <w:jc w:val="left"/>
        <w:tblInd w:w="0" w:type="dxa"/>
        <w:tblLayout w:type="fixed"/>
        <w:tblCellMar>
          <w:top w:w="28" w:type="dxa"/>
          <w:left w:w="28" w:type="dxa"/>
          <w:bottom w:w="28" w:type="dxa"/>
          <w:right w:w="28" w:type="dxa"/>
        </w:tblCellMar>
      </w:tblPr>
      <w:tblGrid>
        <w:gridCol w:w="1566"/>
        <w:gridCol w:w="1374"/>
        <w:gridCol w:w="1395"/>
        <w:gridCol w:w="682"/>
        <w:gridCol w:w="682"/>
        <w:gridCol w:w="690"/>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001-38600</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6100 Merriweather Drive, Columbia, Maryland, 21044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May 13, 2026, Tenable Holdings, Inc. (the “Company”) held its 2026 annual meeting of stockholders (the “Annual Meeting”). The stockholders considered four proposals, each of which is described in more detail in the Company’s definitive proxy statement filed with the Securities and Exchange Commission on April 2, 2026 (the “Proxy Statement”). Of the 114,530,327 shares outstanding as of the record date, 106,390,505 shares, or approximately 92.89%, were present or represented by proxy at the Annual Meeting. Set forth below are the results of the matters submitted for a vote of stockholders at the Annual Meeting.</w:t>
      </w:r>
    </w:p>
    <w:p>
      <w:pPr>
        <w:pStyle w:val="TextBody"/>
        <w:bidi w:val="0"/>
        <w:spacing w:lineRule="auto" w:line="288" w:before="0" w:after="0"/>
        <w:ind w:left="0" w:right="0" w:firstLine="360"/>
        <w:jc w:val="left"/>
        <w:rPr/>
      </w:pPr>
      <w:r>
        <w:rPr>
          <w:rFonts w:ascii="Arial;sans-serif" w:hAnsi="Arial;sans-serif"/>
          <w:b/>
          <w:color w:val="000000"/>
          <w:sz w:val="20"/>
        </w:rPr>
        <w:t xml:space="preserve">Proposal No. 1: </w:t>
      </w:r>
      <w:r>
        <w:rPr>
          <w:rFonts w:ascii="Arial;sans-serif" w:hAnsi="Arial;sans-serif"/>
          <w:b w:val="false"/>
          <w:color w:val="000000"/>
          <w:sz w:val="20"/>
        </w:rPr>
        <w:t>Election of three nominees to serve as directors until the 2029 annual meeting of stockholders and until their respective successors are elected and qualified. The votes were cast as follows:</w:t>
      </w:r>
    </w:p>
    <w:tbl>
      <w:tblPr>
        <w:tblW w:w="5276" w:type="dxa"/>
        <w:jc w:val="left"/>
        <w:tblInd w:w="0" w:type="dxa"/>
        <w:tblLayout w:type="fixed"/>
        <w:tblCellMar>
          <w:top w:w="28" w:type="dxa"/>
          <w:left w:w="28" w:type="dxa"/>
          <w:bottom w:w="28" w:type="dxa"/>
          <w:right w:w="28" w:type="dxa"/>
        </w:tblCellMar>
      </w:tblPr>
      <w:tblGrid>
        <w:gridCol w:w="799"/>
        <w:gridCol w:w="702"/>
        <w:gridCol w:w="704"/>
        <w:gridCol w:w="354"/>
        <w:gridCol w:w="354"/>
        <w:gridCol w:w="358"/>
        <w:gridCol w:w="148"/>
        <w:gridCol w:w="148"/>
        <w:gridCol w:w="150"/>
        <w:gridCol w:w="455"/>
        <w:gridCol w:w="455"/>
        <w:gridCol w:w="649"/>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Votes For</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Votes Withheld</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John C. Huffard, Jr.</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50,765,937</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42,627,545</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Arial;sans-serif" w:hAnsi="Arial;sans-serif"/>
                <w:b w:val="false"/>
                <w:color w:val="000000"/>
                <w:sz w:val="20"/>
              </w:rPr>
            </w:pPr>
            <w:r>
              <w:rPr>
                <w:rFonts w:ascii="Arial;sans-serif" w:hAnsi="Arial;sans-serif"/>
                <w:b w:val="false"/>
                <w:color w:val="000000"/>
                <w:sz w:val="20"/>
              </w:rPr>
              <w:t>A. Brooke Seawell</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69,784,955</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23,608,527</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Arial;sans-serif" w:hAnsi="Arial;sans-serif"/>
                <w:b w:val="false"/>
                <w:color w:val="000000"/>
                <w:sz w:val="20"/>
              </w:rPr>
            </w:pPr>
            <w:r>
              <w:rPr>
                <w:rFonts w:ascii="Arial;sans-serif" w:hAnsi="Arial;sans-serif"/>
                <w:b w:val="false"/>
                <w:color w:val="000000"/>
                <w:sz w:val="20"/>
              </w:rPr>
              <w:t>Raymond Vicks, Jr.</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70,871,351</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22,522,131</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Broker Non-Votes: 12,997,023</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All nominees were elected.</w:t>
      </w:r>
    </w:p>
    <w:p>
      <w:pPr>
        <w:pStyle w:val="TextBody"/>
        <w:bidi w:val="0"/>
        <w:spacing w:lineRule="auto" w:line="288" w:before="0" w:after="120"/>
        <w:ind w:left="0" w:right="0" w:firstLine="360"/>
        <w:jc w:val="left"/>
        <w:rPr/>
      </w:pPr>
      <w:r>
        <w:rPr>
          <w:rFonts w:ascii="Arial;sans-serif" w:hAnsi="Arial;sans-serif"/>
          <w:b/>
          <w:color w:val="000000"/>
          <w:sz w:val="20"/>
        </w:rPr>
        <w:t>Proposal No. 2:</w:t>
      </w:r>
      <w:r>
        <w:rPr>
          <w:color w:val="000000"/>
        </w:rPr>
        <w:t xml:space="preserve"> </w:t>
      </w:r>
      <w:r>
        <w:rPr>
          <w:rFonts w:ascii="Arial;sans-serif" w:hAnsi="Arial;sans-serif"/>
          <w:b w:val="false"/>
          <w:color w:val="000000"/>
          <w:sz w:val="20"/>
        </w:rPr>
        <w:t>Ratification of the appointment of Ernst &amp; Young LLP as independent registered public accounting firm for the fiscal year ending December 31, 2026. The votes were cast as follows:</w:t>
      </w:r>
    </w:p>
    <w:tbl>
      <w:tblPr>
        <w:tblW w:w="7681" w:type="dxa"/>
        <w:jc w:val="left"/>
        <w:tblInd w:w="0" w:type="dxa"/>
        <w:tblLayout w:type="fixed"/>
        <w:tblCellMar>
          <w:top w:w="28" w:type="dxa"/>
          <w:left w:w="28" w:type="dxa"/>
          <w:bottom w:w="28" w:type="dxa"/>
          <w:right w:w="28" w:type="dxa"/>
        </w:tblCellMar>
      </w:tblPr>
      <w:tblGrid>
        <w:gridCol w:w="429"/>
        <w:gridCol w:w="376"/>
        <w:gridCol w:w="381"/>
        <w:gridCol w:w="148"/>
        <w:gridCol w:w="148"/>
        <w:gridCol w:w="150"/>
        <w:gridCol w:w="464"/>
        <w:gridCol w:w="464"/>
        <w:gridCol w:w="466"/>
        <w:gridCol w:w="148"/>
        <w:gridCol w:w="148"/>
        <w:gridCol w:w="150"/>
        <w:gridCol w:w="539"/>
        <w:gridCol w:w="539"/>
        <w:gridCol w:w="541"/>
        <w:gridCol w:w="148"/>
        <w:gridCol w:w="148"/>
        <w:gridCol w:w="150"/>
        <w:gridCol w:w="628"/>
        <w:gridCol w:w="628"/>
        <w:gridCol w:w="888"/>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Votes For</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Votes Against</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Votes Abstained</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Broker Non-Votes</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105,641,971</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589,380</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159,154</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ind w:left="0" w:right="0" w:firstLine="360"/>
        <w:jc w:val="left"/>
        <w:rPr/>
      </w:pPr>
      <w:r>
        <w:rPr>
          <w:rFonts w:ascii="Arial;sans-serif" w:hAnsi="Arial;sans-serif"/>
          <w:b/>
          <w:color w:val="000000"/>
          <w:sz w:val="20"/>
        </w:rPr>
        <w:t>Proposal No. 3:</w:t>
      </w:r>
      <w:r>
        <w:rPr>
          <w:color w:val="000000"/>
        </w:rPr>
        <w:t xml:space="preserve"> </w:t>
      </w:r>
      <w:r>
        <w:rPr>
          <w:rFonts w:ascii="Arial;sans-serif" w:hAnsi="Arial;sans-serif"/>
          <w:b w:val="false"/>
          <w:color w:val="000000"/>
          <w:sz w:val="20"/>
        </w:rPr>
        <w:t>The advisory vote on the compensation of the Company’s named executive officers as disclosed in the Proxy Statement. The votes were cast as follows:</w:t>
      </w:r>
    </w:p>
    <w:tbl>
      <w:tblPr>
        <w:tblW w:w="7576" w:type="dxa"/>
        <w:jc w:val="left"/>
        <w:tblInd w:w="0" w:type="dxa"/>
        <w:tblLayout w:type="fixed"/>
        <w:tblCellMar>
          <w:top w:w="28" w:type="dxa"/>
          <w:left w:w="28" w:type="dxa"/>
          <w:bottom w:w="28" w:type="dxa"/>
          <w:right w:w="28" w:type="dxa"/>
        </w:tblCellMar>
      </w:tblPr>
      <w:tblGrid>
        <w:gridCol w:w="391"/>
        <w:gridCol w:w="343"/>
        <w:gridCol w:w="347"/>
        <w:gridCol w:w="148"/>
        <w:gridCol w:w="148"/>
        <w:gridCol w:w="150"/>
        <w:gridCol w:w="464"/>
        <w:gridCol w:w="464"/>
        <w:gridCol w:w="466"/>
        <w:gridCol w:w="148"/>
        <w:gridCol w:w="148"/>
        <w:gridCol w:w="150"/>
        <w:gridCol w:w="539"/>
        <w:gridCol w:w="539"/>
        <w:gridCol w:w="541"/>
        <w:gridCol w:w="148"/>
        <w:gridCol w:w="148"/>
        <w:gridCol w:w="150"/>
        <w:gridCol w:w="628"/>
        <w:gridCol w:w="628"/>
        <w:gridCol w:w="888"/>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Votes For</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20"/>
              </w:rPr>
            </w:pPr>
            <w:r>
              <w:rPr>
                <w:rFonts w:ascii="Arial;sans-serif" w:hAnsi="Arial;sans-serif"/>
                <w:b/>
                <w:color w:val="000000"/>
                <w:sz w:val="20"/>
              </w:rPr>
              <w:t>Votes Against</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20"/>
              </w:rPr>
            </w:pPr>
            <w:r>
              <w:rPr>
                <w:rFonts w:ascii="Arial;sans-serif" w:hAnsi="Arial;sans-serif"/>
                <w:b/>
                <w:color w:val="000000"/>
                <w:sz w:val="20"/>
              </w:rPr>
              <w:t>Votes Abstained</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360"/>
              <w:jc w:val="center"/>
              <w:rPr>
                <w:rFonts w:ascii="Arial;sans-serif" w:hAnsi="Arial;sans-serif"/>
                <w:b/>
                <w:color w:val="000000"/>
                <w:sz w:val="20"/>
              </w:rPr>
            </w:pPr>
            <w:r>
              <w:rPr>
                <w:rFonts w:ascii="Arial;sans-serif" w:hAnsi="Arial;sans-serif"/>
                <w:b/>
                <w:color w:val="000000"/>
                <w:sz w:val="20"/>
              </w:rPr>
              <w:t>Broker Non-Votes</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83,235,799</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9,941,420</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216,263</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12,997,023</w:t>
            </w:r>
          </w:p>
        </w:tc>
      </w:tr>
    </w:tbl>
    <w:p>
      <w:pPr>
        <w:pStyle w:val="TextBody"/>
        <w:bidi w:val="0"/>
        <w:spacing w:lineRule="auto" w:line="288" w:before="0" w:after="120"/>
        <w:ind w:left="0" w:right="0" w:firstLine="360"/>
        <w:jc w:val="left"/>
        <w:rPr/>
      </w:pPr>
      <w:r>
        <w:rPr>
          <w:rFonts w:ascii="Arial;sans-serif" w:hAnsi="Arial;sans-serif"/>
          <w:b/>
          <w:color w:val="000000"/>
          <w:sz w:val="20"/>
        </w:rPr>
        <w:t>Proposal No. 4:</w:t>
      </w:r>
      <w:r>
        <w:rPr>
          <w:color w:val="000000"/>
        </w:rPr>
        <w:t xml:space="preserve"> </w:t>
      </w:r>
      <w:r>
        <w:rPr>
          <w:rFonts w:ascii="Arial;sans-serif" w:hAnsi="Arial;sans-serif"/>
          <w:b w:val="false"/>
          <w:color w:val="000000"/>
          <w:sz w:val="20"/>
        </w:rPr>
        <w:t>The advisory vote on the frequency of solicitation of future advisory stockholder approval of named executive officer compensation. The votes were cast as follows:</w:t>
      </w:r>
    </w:p>
    <w:tbl>
      <w:tblPr>
        <w:tblW w:w="8099" w:type="dxa"/>
        <w:jc w:val="left"/>
        <w:tblInd w:w="0" w:type="dxa"/>
        <w:tblLayout w:type="fixed"/>
        <w:tblCellMar>
          <w:top w:w="28" w:type="dxa"/>
          <w:left w:w="28" w:type="dxa"/>
          <w:bottom w:w="28" w:type="dxa"/>
          <w:right w:w="28" w:type="dxa"/>
        </w:tblCellMar>
      </w:tblPr>
      <w:tblGrid>
        <w:gridCol w:w="391"/>
        <w:gridCol w:w="343"/>
        <w:gridCol w:w="347"/>
        <w:gridCol w:w="148"/>
        <w:gridCol w:w="148"/>
        <w:gridCol w:w="150"/>
        <w:gridCol w:w="264"/>
        <w:gridCol w:w="264"/>
        <w:gridCol w:w="266"/>
        <w:gridCol w:w="148"/>
        <w:gridCol w:w="148"/>
        <w:gridCol w:w="150"/>
        <w:gridCol w:w="264"/>
        <w:gridCol w:w="264"/>
        <w:gridCol w:w="268"/>
        <w:gridCol w:w="109"/>
        <w:gridCol w:w="109"/>
        <w:gridCol w:w="109"/>
        <w:gridCol w:w="539"/>
        <w:gridCol w:w="539"/>
        <w:gridCol w:w="541"/>
        <w:gridCol w:w="148"/>
        <w:gridCol w:w="148"/>
        <w:gridCol w:w="150"/>
        <w:gridCol w:w="628"/>
        <w:gridCol w:w="628"/>
        <w:gridCol w:w="888"/>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 Year</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20"/>
              </w:rPr>
            </w:pPr>
            <w:r>
              <w:rPr>
                <w:rFonts w:ascii="Arial;sans-serif" w:hAnsi="Arial;sans-serif"/>
                <w:b/>
                <w:color w:val="000000"/>
                <w:sz w:val="20"/>
              </w:rPr>
              <w:t>2 Years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20"/>
              </w:rPr>
            </w:pPr>
            <w:r>
              <w:rPr>
                <w:rFonts w:ascii="Arial;sans-serif" w:hAnsi="Arial;sans-serif"/>
                <w:b/>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Votes Abstained</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360"/>
              <w:jc w:val="center"/>
              <w:rPr>
                <w:rFonts w:ascii="Arial;sans-serif" w:hAnsi="Arial;sans-serif"/>
                <w:b/>
                <w:color w:val="000000"/>
                <w:sz w:val="20"/>
              </w:rPr>
            </w:pPr>
            <w:r>
              <w:rPr>
                <w:rFonts w:ascii="Arial;sans-serif" w:hAnsi="Arial;sans-serif"/>
                <w:b/>
                <w:color w:val="000000"/>
                <w:sz w:val="20"/>
              </w:rPr>
              <w:t>Broker Non-Votes</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92,531,025</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15,905</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789,886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56,666</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12,997,023</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Consistent with the stockholder voting results above and the recommendation of the Board as disclosed in the Proxy Statement for the Annual Meeting, the Board of the Company has determined to solicit a non-binding advisory vote on the compensation of the Company’s named executive officers every year until the next required stockholder vote on the frequency of such non-binding advisory vote, or until the Board of the Company determines that a different frequency of such non-binding advisory vote is in the best interest of the Company’s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7055"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412"/>
        <w:gridCol w:w="412"/>
        <w:gridCol w:w="412"/>
        <w:gridCol w:w="1145"/>
        <w:gridCol w:w="1145"/>
        <w:gridCol w:w="16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13, 2026</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4109</Characters>
  <CharactersWithSpaces>4750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