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016528.xml.htm"/>
      <w:bookmarkStart w:id="1" w:name="kswkform4_17710165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Vicks Raymond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TENABLE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6100 MERRIWEATHER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Tenable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TENB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2"/>
        <w:gridCol w:w="921"/>
        <w:gridCol w:w="789"/>
        <w:gridCol w:w="611"/>
        <w:gridCol w:w="347"/>
        <w:gridCol w:w="834"/>
        <w:gridCol w:w="440"/>
        <w:gridCol w:w="758"/>
        <w:gridCol w:w="1146"/>
        <w:gridCol w:w="989"/>
        <w:gridCol w:w="11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02/12/2026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22.17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16,266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held for the granddaughter of the Reporting Person, through a custodial account established pursuant to the Uniform Transfer to Minors Act ("UTMA") for which the reporting person serves as custodian.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8127" TargetMode="External"/><Relationship Id="rId5" Type="http://schemas.openxmlformats.org/officeDocument/2006/relationships/hyperlink" Target="http://www.sec.gov/cgi-bin/browse-edgar?action=getcompany&amp;CIK=0001660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3285</Characters>
  <CharactersWithSpaces>3822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